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A74597">
        <w:tblPrEx>
          <w:tblCellMar>
            <w:top w:w="0" w:type="dxa"/>
            <w:bottom w:w="0" w:type="dxa"/>
          </w:tblCellMar>
        </w:tblPrEx>
        <w:trPr>
          <w:trHeight w:hRule="exact" w:val="1055"/>
        </w:trPr>
        <w:tc>
          <w:tcPr>
            <w:tcW w:w="9639" w:type="dxa"/>
          </w:tcPr>
          <w:p w:rsidR="00A74597" w:rsidRDefault="00A74597">
            <w:pPr>
              <w:spacing w:line="240" w:lineRule="atLeast"/>
              <w:jc w:val="center"/>
              <w:rPr>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A74597" w:rsidRDefault="00A74597">
                        <w:r>
                          <w:rPr>
                            <w:b/>
                            <w:bCs/>
                          </w:rPr>
                          <w:t>Projektas</w:t>
                        </w:r>
                      </w:p>
                    </w:txbxContent>
                  </v:textbox>
                </v:shape>
              </w:pict>
            </w:r>
            <w:r>
              <w:object w:dxaOrig="10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7" o:title=""/>
                </v:shape>
                <o:OLEObject Type="Embed" ProgID="Word.Picture.8" ShapeID="_x0000_i1025" DrawAspect="Content" ObjectID="_1498645271" r:id="rId8"/>
              </w:object>
            </w:r>
          </w:p>
        </w:tc>
      </w:tr>
      <w:tr w:rsidR="00A74597">
        <w:tblPrEx>
          <w:tblCellMar>
            <w:top w:w="0" w:type="dxa"/>
            <w:bottom w:w="0" w:type="dxa"/>
          </w:tblCellMar>
        </w:tblPrEx>
        <w:trPr>
          <w:trHeight w:hRule="exact" w:val="2069"/>
        </w:trPr>
        <w:tc>
          <w:tcPr>
            <w:tcW w:w="9639" w:type="dxa"/>
          </w:tcPr>
          <w:p w:rsidR="00A74597" w:rsidRDefault="00A74597">
            <w:pPr>
              <w:pStyle w:val="Heading2"/>
            </w:pPr>
            <w:r>
              <w:t>Pagėgių savivaldybės taryba</w:t>
            </w:r>
          </w:p>
          <w:p w:rsidR="00A74597" w:rsidRDefault="00A74597">
            <w:pPr>
              <w:spacing w:before="120"/>
              <w:jc w:val="center"/>
              <w:rPr>
                <w:b/>
                <w:bCs/>
                <w:caps/>
                <w:color w:val="000000"/>
              </w:rPr>
            </w:pPr>
          </w:p>
          <w:p w:rsidR="00A74597" w:rsidRDefault="00A74597">
            <w:pPr>
              <w:spacing w:before="120"/>
              <w:jc w:val="center"/>
              <w:rPr>
                <w:b/>
                <w:bCs/>
                <w:caps/>
                <w:color w:val="000000"/>
              </w:rPr>
            </w:pPr>
            <w:r>
              <w:rPr>
                <w:b/>
                <w:bCs/>
                <w:caps/>
                <w:color w:val="000000"/>
              </w:rPr>
              <w:t>sprendimas</w:t>
            </w:r>
          </w:p>
          <w:p w:rsidR="00A74597" w:rsidRDefault="00A74597" w:rsidP="00B546A1">
            <w:pPr>
              <w:spacing w:before="120"/>
              <w:jc w:val="center"/>
              <w:rPr>
                <w:b/>
                <w:bCs/>
                <w:caps/>
                <w:color w:val="000000"/>
              </w:rPr>
            </w:pPr>
            <w:r>
              <w:rPr>
                <w:b/>
                <w:bCs/>
                <w:caps/>
                <w:color w:val="000000"/>
              </w:rPr>
              <w:t>dėl pagėgių savivaldybės BIUDŽetinių įstaigų ir išteklių fondų</w:t>
            </w:r>
          </w:p>
          <w:p w:rsidR="00A74597" w:rsidRDefault="00A74597" w:rsidP="00B546A1">
            <w:pPr>
              <w:spacing w:before="120"/>
              <w:jc w:val="center"/>
              <w:rPr>
                <w:b/>
                <w:bCs/>
                <w:caps/>
                <w:color w:val="000000"/>
              </w:rPr>
            </w:pPr>
            <w:r>
              <w:rPr>
                <w:b/>
                <w:bCs/>
                <w:caps/>
                <w:color w:val="000000"/>
              </w:rPr>
              <w:t xml:space="preserve"> 2014 metų finansinių atAskaitų  patvirtinimo</w:t>
            </w:r>
          </w:p>
        </w:tc>
      </w:tr>
      <w:tr w:rsidR="00A74597">
        <w:tblPrEx>
          <w:tblCellMar>
            <w:top w:w="0" w:type="dxa"/>
            <w:bottom w:w="0" w:type="dxa"/>
          </w:tblCellMar>
        </w:tblPrEx>
        <w:trPr>
          <w:trHeight w:hRule="exact" w:val="703"/>
        </w:trPr>
        <w:tc>
          <w:tcPr>
            <w:tcW w:w="9639" w:type="dxa"/>
          </w:tcPr>
          <w:p w:rsidR="00A74597" w:rsidRDefault="00A74597">
            <w:pPr>
              <w:pStyle w:val="Heading2"/>
              <w:rPr>
                <w:b w:val="0"/>
                <w:bCs w:val="0"/>
                <w:caps w:val="0"/>
              </w:rPr>
            </w:pPr>
            <w:r>
              <w:rPr>
                <w:b w:val="0"/>
                <w:bCs w:val="0"/>
                <w:caps w:val="0"/>
              </w:rPr>
              <w:t>2015 m. liepos 16 d. Nr. T-</w:t>
            </w:r>
          </w:p>
          <w:p w:rsidR="00A74597" w:rsidRDefault="00A74597">
            <w:pPr>
              <w:jc w:val="center"/>
            </w:pPr>
            <w:r>
              <w:t>Pagėgiai</w:t>
            </w:r>
          </w:p>
        </w:tc>
      </w:tr>
    </w:tbl>
    <w:p w:rsidR="00A74597" w:rsidRDefault="00A74597"/>
    <w:p w:rsidR="00A74597" w:rsidRDefault="00A74597"/>
    <w:p w:rsidR="00A74597" w:rsidRDefault="00A74597" w:rsidP="00AE13BC">
      <w:pPr>
        <w:spacing w:line="360" w:lineRule="auto"/>
        <w:ind w:firstLine="720"/>
        <w:jc w:val="both"/>
      </w:pPr>
      <w:r>
        <w:t xml:space="preserve">        Vadovaudamasi Lietuvos Respublikos vietos savivaldos įstatymo 16 straipsnio 3 dalies 2 punktu, Lietuvos Respublikos viešojo sektoriaus atskaitomybės įstatymo 26, 33 straipsniais</w:t>
      </w:r>
      <w:r w:rsidRPr="003877A0">
        <w:t>,</w:t>
      </w:r>
      <w:r>
        <w:t xml:space="preserve"> </w:t>
      </w:r>
      <w:r w:rsidRPr="003877A0">
        <w:t xml:space="preserve">Pagėgių savivaldybės taryba </w:t>
      </w:r>
      <w:r>
        <w:t xml:space="preserve"> </w:t>
      </w:r>
      <w:r w:rsidRPr="003877A0">
        <w:t>n u s p r e n d ž i a:</w:t>
      </w:r>
      <w:r>
        <w:t xml:space="preserve"> </w:t>
      </w:r>
    </w:p>
    <w:p w:rsidR="00A74597" w:rsidRDefault="00A74597" w:rsidP="00E20019">
      <w:pPr>
        <w:spacing w:line="360" w:lineRule="auto"/>
        <w:jc w:val="both"/>
      </w:pPr>
      <w:r>
        <w:t xml:space="preserve">                    1. Patvirtinti Pagėgių savivaldybės biudžetinių įstaigų ir išteklių fondų 2014 metų finansinių ataskaitų rinkinius:</w:t>
      </w:r>
    </w:p>
    <w:p w:rsidR="00A74597" w:rsidRDefault="00A74597" w:rsidP="00E20019">
      <w:pPr>
        <w:spacing w:line="360" w:lineRule="auto"/>
        <w:jc w:val="both"/>
        <w:rPr>
          <w:szCs w:val="24"/>
        </w:rPr>
      </w:pPr>
      <w:r>
        <w:t xml:space="preserve">                    1.1. Pagėgių </w:t>
      </w:r>
      <w:r>
        <w:rPr>
          <w:szCs w:val="24"/>
        </w:rPr>
        <w:t xml:space="preserve"> savivaldybės iždo (1 priedas);</w:t>
      </w:r>
    </w:p>
    <w:p w:rsidR="00A74597" w:rsidRDefault="00A74597" w:rsidP="00E20019">
      <w:pPr>
        <w:spacing w:line="360" w:lineRule="auto"/>
        <w:jc w:val="both"/>
        <w:rPr>
          <w:szCs w:val="24"/>
        </w:rPr>
      </w:pPr>
      <w:r>
        <w:rPr>
          <w:szCs w:val="24"/>
        </w:rPr>
        <w:t xml:space="preserve">                    1.2. Pagėgių savivaldybės privatizavimo fondo (2 priedas);</w:t>
      </w:r>
    </w:p>
    <w:p w:rsidR="00A74597" w:rsidRDefault="00A74597" w:rsidP="00E20019">
      <w:pPr>
        <w:spacing w:line="360" w:lineRule="auto"/>
        <w:jc w:val="both"/>
        <w:rPr>
          <w:szCs w:val="24"/>
        </w:rPr>
      </w:pPr>
      <w:r>
        <w:rPr>
          <w:szCs w:val="24"/>
        </w:rPr>
        <w:t xml:space="preserve">                    1.3. Pagėgių savivaldybės administracijos (3 priedas);</w:t>
      </w:r>
    </w:p>
    <w:p w:rsidR="00A74597" w:rsidRDefault="00A74597" w:rsidP="00E20019">
      <w:pPr>
        <w:spacing w:line="360" w:lineRule="auto"/>
        <w:jc w:val="both"/>
        <w:rPr>
          <w:szCs w:val="24"/>
        </w:rPr>
      </w:pPr>
      <w:r>
        <w:rPr>
          <w:szCs w:val="24"/>
        </w:rPr>
        <w:t xml:space="preserve">                    1.4. Pagėgių savivaldybės Pagėgių pradinės mokyklos (4 priedas);</w:t>
      </w:r>
    </w:p>
    <w:p w:rsidR="00A74597" w:rsidRDefault="00A74597" w:rsidP="00E20019">
      <w:pPr>
        <w:spacing w:line="360" w:lineRule="auto"/>
        <w:jc w:val="both"/>
        <w:rPr>
          <w:szCs w:val="24"/>
        </w:rPr>
      </w:pPr>
      <w:r>
        <w:rPr>
          <w:szCs w:val="24"/>
        </w:rPr>
        <w:t xml:space="preserve">                    1.5. Pagėgių savivaldybės Meno ir sporto mokyklos (5 priedas);</w:t>
      </w:r>
    </w:p>
    <w:p w:rsidR="00A74597" w:rsidRDefault="00A74597" w:rsidP="00E20019">
      <w:pPr>
        <w:spacing w:line="360" w:lineRule="auto"/>
        <w:jc w:val="both"/>
        <w:rPr>
          <w:szCs w:val="24"/>
        </w:rPr>
      </w:pPr>
      <w:r>
        <w:rPr>
          <w:szCs w:val="24"/>
        </w:rPr>
        <w:t xml:space="preserve">                    1.6. Pagėgių savivaldybės Pagėgių lopšelio – darželio (6 priedas);</w:t>
      </w:r>
    </w:p>
    <w:p w:rsidR="00A74597" w:rsidRDefault="00A74597" w:rsidP="00E20019">
      <w:pPr>
        <w:spacing w:line="360" w:lineRule="auto"/>
        <w:jc w:val="both"/>
        <w:rPr>
          <w:szCs w:val="24"/>
        </w:rPr>
      </w:pPr>
      <w:r>
        <w:rPr>
          <w:szCs w:val="24"/>
        </w:rPr>
        <w:t xml:space="preserve">                    1.7. Pagėgių Algimanto Mackaus gimnazijos (7 priedas);</w:t>
      </w:r>
    </w:p>
    <w:p w:rsidR="00A74597" w:rsidRDefault="00A74597" w:rsidP="00E20019">
      <w:pPr>
        <w:spacing w:line="360" w:lineRule="auto"/>
        <w:jc w:val="both"/>
        <w:rPr>
          <w:szCs w:val="24"/>
        </w:rPr>
      </w:pPr>
      <w:r>
        <w:rPr>
          <w:szCs w:val="24"/>
        </w:rPr>
        <w:t xml:space="preserve">                    1.8. Pagėgių savivaldybės Piktupėnų pagrindinės mokyklos (8 priedas);</w:t>
      </w:r>
    </w:p>
    <w:p w:rsidR="00A74597" w:rsidRDefault="00A74597" w:rsidP="00512F36">
      <w:pPr>
        <w:spacing w:line="360" w:lineRule="auto"/>
        <w:jc w:val="both"/>
        <w:rPr>
          <w:szCs w:val="24"/>
        </w:rPr>
      </w:pPr>
      <w:r>
        <w:rPr>
          <w:szCs w:val="24"/>
        </w:rPr>
        <w:t xml:space="preserve">                    1.9. Pagėgių savivaldybės Natkiškių Zosės Petraitienės pagrindinės mokyklos (9 priedas);</w:t>
      </w:r>
    </w:p>
    <w:p w:rsidR="00A74597" w:rsidRDefault="00A74597" w:rsidP="00E20019">
      <w:pPr>
        <w:spacing w:line="360" w:lineRule="auto"/>
        <w:jc w:val="both"/>
        <w:rPr>
          <w:szCs w:val="24"/>
        </w:rPr>
      </w:pPr>
      <w:r>
        <w:rPr>
          <w:szCs w:val="24"/>
        </w:rPr>
        <w:t xml:space="preserve">                    1.10. Pagėgių savivaldybės Stoniškių pagrindinės mokyklos (10 priedas);</w:t>
      </w:r>
    </w:p>
    <w:p w:rsidR="00A74597" w:rsidRDefault="00A74597" w:rsidP="00E20019">
      <w:pPr>
        <w:spacing w:line="360" w:lineRule="auto"/>
        <w:jc w:val="both"/>
        <w:rPr>
          <w:szCs w:val="24"/>
        </w:rPr>
      </w:pPr>
      <w:r>
        <w:rPr>
          <w:szCs w:val="24"/>
        </w:rPr>
        <w:t xml:space="preserve">                    1.1. Pagėgių savivaldybės Vilkyškių Johaneso Bobrovskio vidurinės mokyklos (11 priedas);</w:t>
      </w:r>
    </w:p>
    <w:p w:rsidR="00A74597" w:rsidRDefault="00A74597" w:rsidP="00E20019">
      <w:pPr>
        <w:spacing w:line="360" w:lineRule="auto"/>
        <w:jc w:val="both"/>
        <w:rPr>
          <w:szCs w:val="24"/>
        </w:rPr>
      </w:pPr>
      <w:r>
        <w:rPr>
          <w:szCs w:val="24"/>
        </w:rPr>
        <w:t xml:space="preserve">                   1.12. Pagėgių savivaldybės viešosios bibliotekos ( 12 priedas); </w:t>
      </w:r>
    </w:p>
    <w:p w:rsidR="00A74597" w:rsidRDefault="00A74597" w:rsidP="00E20019">
      <w:pPr>
        <w:spacing w:line="360" w:lineRule="auto"/>
        <w:jc w:val="both"/>
        <w:rPr>
          <w:szCs w:val="24"/>
        </w:rPr>
      </w:pPr>
      <w:r>
        <w:rPr>
          <w:szCs w:val="24"/>
        </w:rPr>
        <w:t xml:space="preserve">                   1.13. Pagėgių savivaldybės M.Jankaus muziejaus (13 priedas);</w:t>
      </w:r>
    </w:p>
    <w:p w:rsidR="00A74597" w:rsidRDefault="00A74597" w:rsidP="00E20019">
      <w:pPr>
        <w:spacing w:line="360" w:lineRule="auto"/>
        <w:jc w:val="both"/>
        <w:rPr>
          <w:szCs w:val="24"/>
        </w:rPr>
      </w:pPr>
      <w:r>
        <w:rPr>
          <w:szCs w:val="24"/>
        </w:rPr>
        <w:t xml:space="preserve">                   1.14. Pagėgių savivaldybės kultūros centro (14 priedas);</w:t>
      </w:r>
    </w:p>
    <w:p w:rsidR="00A74597" w:rsidRDefault="00A74597" w:rsidP="00E20019">
      <w:pPr>
        <w:spacing w:line="360" w:lineRule="auto"/>
        <w:jc w:val="both"/>
        <w:rPr>
          <w:szCs w:val="24"/>
        </w:rPr>
      </w:pPr>
      <w:r>
        <w:rPr>
          <w:szCs w:val="24"/>
        </w:rPr>
        <w:t xml:space="preserve">                   1.15. Pagėgių savivaldybės Pagėgių palaikomojo gydymo, slaugos ir senelių globos namų (15 priedas);</w:t>
      </w:r>
    </w:p>
    <w:p w:rsidR="00A74597" w:rsidRDefault="00A74597" w:rsidP="00E20019">
      <w:pPr>
        <w:spacing w:line="360" w:lineRule="auto"/>
        <w:jc w:val="both"/>
        <w:rPr>
          <w:szCs w:val="24"/>
        </w:rPr>
      </w:pPr>
      <w:r>
        <w:rPr>
          <w:szCs w:val="24"/>
        </w:rPr>
        <w:t xml:space="preserve">                   1.16. Pagėgių savivaldybės Pagėgių vaikų globos namų (16 priedas);</w:t>
      </w:r>
    </w:p>
    <w:p w:rsidR="00A74597" w:rsidRDefault="00A74597" w:rsidP="00212361">
      <w:pPr>
        <w:spacing w:line="360" w:lineRule="auto"/>
        <w:jc w:val="both"/>
      </w:pPr>
      <w:r>
        <w:rPr>
          <w:szCs w:val="24"/>
        </w:rPr>
        <w:t xml:space="preserve">                   1.17. </w:t>
      </w:r>
      <w:r>
        <w:t>Pagėgių savivaldybės kontrolės ir audito tarnybos  (17 priedas);</w:t>
      </w:r>
    </w:p>
    <w:p w:rsidR="00A74597" w:rsidRDefault="00A74597" w:rsidP="00212361">
      <w:pPr>
        <w:spacing w:line="360" w:lineRule="auto"/>
        <w:jc w:val="both"/>
        <w:rPr>
          <w:szCs w:val="24"/>
        </w:rPr>
      </w:pPr>
      <w:r>
        <w:t xml:space="preserve">                   1.18. Pagėgių savivaldybės socialinių paslaugų centro (18 priedas).</w:t>
      </w:r>
    </w:p>
    <w:p w:rsidR="00A74597" w:rsidRDefault="00A74597" w:rsidP="009D1A6D">
      <w:pPr>
        <w:pStyle w:val="BodyText"/>
        <w:spacing w:line="360" w:lineRule="auto"/>
      </w:pPr>
      <w:r>
        <w:t xml:space="preserve">                   2. Sprendimą paskelbti Teisės aktų registre ir Pagėgių savivaldybės interneto svetainėje </w:t>
      </w:r>
      <w:hyperlink r:id="rId9" w:history="1">
        <w:r w:rsidRPr="00005231">
          <w:rPr>
            <w:rStyle w:val="Hyperlink"/>
          </w:rPr>
          <w:t>www.pagegiai.lt</w:t>
        </w:r>
      </w:hyperlink>
      <w:r>
        <w:t xml:space="preserve"> .</w:t>
      </w:r>
    </w:p>
    <w:p w:rsidR="00A74597" w:rsidRPr="00F25D87" w:rsidRDefault="00A74597" w:rsidP="009D1A6D">
      <w:pPr>
        <w:pStyle w:val="BodyText"/>
        <w:spacing w:line="360" w:lineRule="auto"/>
        <w:rPr>
          <w:szCs w:val="24"/>
        </w:rPr>
      </w:pPr>
      <w:r>
        <w:t xml:space="preserve">                    Šis sprendimas gali būti skundžiamas Lietuvos Respublikos administracinių bylų teisenos įstatymo nustatyta tvarka.</w:t>
      </w:r>
    </w:p>
    <w:p w:rsidR="00A74597" w:rsidRDefault="00A74597">
      <w:pPr>
        <w:pStyle w:val="BodyText"/>
      </w:pPr>
    </w:p>
    <w:p w:rsidR="00A74597" w:rsidRDefault="00A74597">
      <w:pPr>
        <w:pStyle w:val="BodyText"/>
      </w:pPr>
    </w:p>
    <w:p w:rsidR="00A74597" w:rsidRDefault="00A74597">
      <w:pPr>
        <w:pStyle w:val="BodyText"/>
      </w:pPr>
      <w:r>
        <w:t>SUDERINTA:</w:t>
      </w:r>
    </w:p>
    <w:p w:rsidR="00A74597" w:rsidRDefault="00A74597">
      <w:pPr>
        <w:pStyle w:val="BodyText"/>
      </w:pPr>
    </w:p>
    <w:p w:rsidR="00A74597" w:rsidRDefault="00A74597">
      <w:pPr>
        <w:jc w:val="both"/>
      </w:pPr>
      <w:r>
        <w:t xml:space="preserve"> </w:t>
      </w:r>
    </w:p>
    <w:p w:rsidR="00A74597" w:rsidRDefault="00A74597">
      <w:pPr>
        <w:jc w:val="both"/>
      </w:pPr>
      <w:r>
        <w:t xml:space="preserve">Administracijos direktorė                                                                        Dainora Butvydienė </w:t>
      </w:r>
      <w:r>
        <w:tab/>
      </w:r>
    </w:p>
    <w:p w:rsidR="00A74597" w:rsidRDefault="00A74597">
      <w:pPr>
        <w:jc w:val="both"/>
      </w:pPr>
    </w:p>
    <w:p w:rsidR="00A74597" w:rsidRDefault="00A74597">
      <w:pPr>
        <w:jc w:val="both"/>
      </w:pPr>
      <w:r>
        <w:t xml:space="preserve">                     </w:t>
      </w:r>
    </w:p>
    <w:p w:rsidR="00A74597" w:rsidRDefault="00A74597">
      <w:pPr>
        <w:jc w:val="both"/>
      </w:pPr>
      <w:r>
        <w:t xml:space="preserve">Bendrojo ir juridinio skyriaus  vyriausioji specialistė </w:t>
      </w:r>
      <w:r>
        <w:tab/>
      </w:r>
      <w:r>
        <w:tab/>
        <w:t xml:space="preserve">     Adelija Truškauskienė</w:t>
      </w:r>
    </w:p>
    <w:p w:rsidR="00A74597" w:rsidRDefault="00A74597">
      <w:pPr>
        <w:jc w:val="both"/>
      </w:pPr>
    </w:p>
    <w:p w:rsidR="00A74597" w:rsidRDefault="00A74597">
      <w:pPr>
        <w:jc w:val="both"/>
      </w:pPr>
    </w:p>
    <w:p w:rsidR="00A74597" w:rsidRDefault="00A74597">
      <w:pPr>
        <w:jc w:val="both"/>
      </w:pPr>
      <w:r>
        <w:t>Kalbos ir archyvo tvarkytoja                                                                    Laimutė Mickevičienė</w:t>
      </w:r>
    </w:p>
    <w:p w:rsidR="00A74597" w:rsidRDefault="00A74597">
      <w:pPr>
        <w:jc w:val="both"/>
      </w:pPr>
    </w:p>
    <w:p w:rsidR="00A74597" w:rsidRDefault="00A74597">
      <w:pPr>
        <w:jc w:val="both"/>
      </w:pPr>
    </w:p>
    <w:p w:rsidR="00A74597" w:rsidRDefault="00A74597" w:rsidP="005F146A">
      <w:pPr>
        <w:tabs>
          <w:tab w:val="left" w:pos="6850"/>
        </w:tabs>
        <w:jc w:val="both"/>
      </w:pPr>
      <w:r>
        <w:t>Buhalterinės apskaitos skyriaus vedėja</w:t>
      </w:r>
      <w:r>
        <w:tab/>
        <w:t>Zita Stanišauskienė</w:t>
      </w:r>
    </w:p>
    <w:p w:rsidR="00A74597" w:rsidRDefault="00A74597">
      <w:pPr>
        <w:jc w:val="both"/>
      </w:pPr>
    </w:p>
    <w:p w:rsidR="00A74597" w:rsidRDefault="00A74597">
      <w:pPr>
        <w:jc w:val="both"/>
      </w:pPr>
    </w:p>
    <w:p w:rsidR="00A74597" w:rsidRDefault="00A74597">
      <w:pPr>
        <w:jc w:val="both"/>
      </w:pPr>
    </w:p>
    <w:p w:rsidR="00A74597" w:rsidRDefault="00A74597">
      <w:pPr>
        <w:jc w:val="both"/>
      </w:pPr>
    </w:p>
    <w:p w:rsidR="00A74597" w:rsidRDefault="00A74597">
      <w:pPr>
        <w:jc w:val="both"/>
      </w:pPr>
      <w:r>
        <w:t>Ruošė Rūta Fridrikienė,</w:t>
      </w:r>
    </w:p>
    <w:p w:rsidR="00A74597" w:rsidRDefault="00A74597" w:rsidP="00022AB1">
      <w:pPr>
        <w:jc w:val="both"/>
        <w:textAlignment w:val="auto"/>
      </w:pPr>
      <w:r>
        <w:t>Finansų skyriaus vedėja</w:t>
      </w:r>
    </w:p>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Pr="008B0B32" w:rsidRDefault="00A74597" w:rsidP="008B0B32"/>
    <w:p w:rsidR="00A74597" w:rsidRDefault="00A74597" w:rsidP="008B0B32"/>
    <w:p w:rsidR="00A74597" w:rsidRDefault="00A74597" w:rsidP="008B0B32"/>
    <w:p w:rsidR="00A74597" w:rsidRDefault="00A74597" w:rsidP="008B0B32"/>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Pr="000D074E" w:rsidRDefault="00A74597" w:rsidP="00D567FD">
      <w:pPr>
        <w:pStyle w:val="BodyText3"/>
        <w:spacing w:after="0"/>
        <w:jc w:val="center"/>
        <w:rPr>
          <w:b/>
          <w:i/>
          <w:color w:val="000000"/>
          <w:sz w:val="24"/>
          <w:szCs w:val="24"/>
        </w:rPr>
      </w:pPr>
      <w:r w:rsidRPr="000D074E">
        <w:rPr>
          <w:b/>
          <w:i/>
          <w:sz w:val="24"/>
          <w:szCs w:val="24"/>
        </w:rPr>
        <w:t xml:space="preserve">DĖL PAGĖGIŲ SAVIVALDYBĖS </w:t>
      </w:r>
      <w:r>
        <w:rPr>
          <w:b/>
          <w:i/>
          <w:sz w:val="24"/>
          <w:szCs w:val="24"/>
        </w:rPr>
        <w:t xml:space="preserve">BIUDŽETINIŲ ĮSTAIGŲ IR IŠTEKLIŲ FONDŲ 2014 METŲ FINANSINIŲ </w:t>
      </w:r>
      <w:r w:rsidRPr="000D074E">
        <w:rPr>
          <w:b/>
          <w:i/>
          <w:sz w:val="24"/>
          <w:szCs w:val="24"/>
        </w:rPr>
        <w:t>ATASKAITŲ  PATVIRTINIMO</w:t>
      </w:r>
    </w:p>
    <w:p w:rsidR="00A74597" w:rsidRPr="000D074E" w:rsidRDefault="00A74597" w:rsidP="00D567FD">
      <w:pPr>
        <w:ind w:firstLine="720"/>
        <w:jc w:val="center"/>
        <w:rPr>
          <w:i/>
          <w:color w:val="000000"/>
        </w:rPr>
      </w:pPr>
    </w:p>
    <w:p w:rsidR="00A74597" w:rsidRPr="000D074E" w:rsidRDefault="00A74597" w:rsidP="00D567FD">
      <w:pPr>
        <w:ind w:firstLine="720"/>
        <w:jc w:val="center"/>
        <w:rPr>
          <w:b/>
          <w:bCs/>
          <w:i/>
          <w:color w:val="000000"/>
        </w:rPr>
      </w:pPr>
      <w:r w:rsidRPr="000D074E">
        <w:rPr>
          <w:b/>
          <w:bCs/>
          <w:i/>
          <w:color w:val="000000"/>
        </w:rPr>
        <w:t>AIŠKINAMASIS RAŠTAS</w:t>
      </w:r>
    </w:p>
    <w:p w:rsidR="00A74597" w:rsidRPr="000D074E" w:rsidRDefault="00A74597" w:rsidP="00D567FD">
      <w:pPr>
        <w:ind w:firstLine="720"/>
        <w:jc w:val="center"/>
        <w:rPr>
          <w:b/>
          <w:bCs/>
          <w:i/>
          <w:color w:val="000000"/>
        </w:rPr>
      </w:pPr>
    </w:p>
    <w:p w:rsidR="00A74597" w:rsidRDefault="00A74597" w:rsidP="00D567FD">
      <w:pPr>
        <w:ind w:firstLine="720"/>
        <w:jc w:val="center"/>
        <w:rPr>
          <w:b/>
          <w:bCs/>
          <w:i/>
          <w:color w:val="000000"/>
        </w:rPr>
      </w:pPr>
      <w:r w:rsidRPr="001A4EAF">
        <w:rPr>
          <w:b/>
          <w:bCs/>
          <w:i/>
          <w:color w:val="000000"/>
        </w:rPr>
        <w:t xml:space="preserve">2015m. </w:t>
      </w:r>
      <w:r>
        <w:rPr>
          <w:b/>
          <w:bCs/>
          <w:i/>
          <w:color w:val="000000"/>
        </w:rPr>
        <w:t xml:space="preserve">liepos  16 </w:t>
      </w:r>
      <w:r w:rsidRPr="001A4EAF">
        <w:rPr>
          <w:b/>
          <w:bCs/>
          <w:i/>
          <w:color w:val="000000"/>
        </w:rPr>
        <w:t>d.</w:t>
      </w:r>
    </w:p>
    <w:p w:rsidR="00A74597" w:rsidRPr="001A4EAF" w:rsidRDefault="00A74597" w:rsidP="00D567FD">
      <w:pPr>
        <w:ind w:firstLine="720"/>
        <w:jc w:val="center"/>
        <w:rPr>
          <w:b/>
          <w:bCs/>
          <w:i/>
          <w:color w:val="000000"/>
        </w:rPr>
      </w:pPr>
    </w:p>
    <w:p w:rsidR="00A74597" w:rsidRPr="00181924" w:rsidRDefault="00A74597" w:rsidP="00D567FD">
      <w:pPr>
        <w:ind w:firstLine="720"/>
        <w:jc w:val="center"/>
        <w:rPr>
          <w:color w:val="000000"/>
        </w:rPr>
      </w:pPr>
    </w:p>
    <w:p w:rsidR="00A74597" w:rsidRPr="000D074E" w:rsidRDefault="00A74597" w:rsidP="00D567FD">
      <w:pPr>
        <w:numPr>
          <w:ilvl w:val="0"/>
          <w:numId w:val="11"/>
        </w:numPr>
        <w:overflowPunct/>
        <w:autoSpaceDE/>
        <w:autoSpaceDN/>
        <w:adjustRightInd/>
        <w:jc w:val="both"/>
        <w:textAlignment w:val="auto"/>
        <w:rPr>
          <w:i/>
          <w:color w:val="000000"/>
          <w:lang w:eastAsia="lt-LT"/>
        </w:rPr>
      </w:pPr>
      <w:r w:rsidRPr="00181924">
        <w:rPr>
          <w:b/>
          <w:bCs/>
          <w:i/>
          <w:iCs/>
          <w:color w:val="000000"/>
        </w:rPr>
        <w:t>Parengto projekto tikslai ir uždavinia</w:t>
      </w:r>
      <w:r>
        <w:rPr>
          <w:b/>
          <w:bCs/>
          <w:i/>
          <w:iCs/>
          <w:color w:val="000000"/>
        </w:rPr>
        <w:t xml:space="preserve">i </w:t>
      </w:r>
      <w:r w:rsidRPr="001B6985">
        <w:rPr>
          <w:b/>
          <w:bCs/>
          <w:i/>
          <w:iCs/>
          <w:color w:val="000000"/>
        </w:rPr>
        <w:t>:</w:t>
      </w:r>
      <w:r w:rsidRPr="000D074E">
        <w:rPr>
          <w:bCs/>
          <w:i/>
          <w:iCs/>
          <w:color w:val="000000"/>
        </w:rPr>
        <w:t>Teikiamo projekto tikslas – 2014 metų savivaldybės</w:t>
      </w:r>
      <w:r>
        <w:rPr>
          <w:bCs/>
          <w:i/>
          <w:iCs/>
          <w:color w:val="000000"/>
        </w:rPr>
        <w:t xml:space="preserve"> biudžetinių įstaigų ir išteklių fondų finansinių </w:t>
      </w:r>
      <w:r w:rsidRPr="000D074E">
        <w:rPr>
          <w:bCs/>
          <w:i/>
          <w:iCs/>
          <w:color w:val="000000"/>
        </w:rPr>
        <w:t>ataskaitų</w:t>
      </w:r>
      <w:r>
        <w:rPr>
          <w:bCs/>
          <w:i/>
          <w:iCs/>
          <w:color w:val="000000"/>
        </w:rPr>
        <w:t xml:space="preserve"> </w:t>
      </w:r>
      <w:r w:rsidRPr="000D074E">
        <w:rPr>
          <w:bCs/>
          <w:i/>
          <w:iCs/>
          <w:color w:val="000000"/>
        </w:rPr>
        <w:t xml:space="preserve"> patvirtinimas. </w:t>
      </w:r>
    </w:p>
    <w:p w:rsidR="00A74597" w:rsidRPr="000D074E" w:rsidRDefault="00A74597" w:rsidP="00D567FD">
      <w:pPr>
        <w:widowControl w:val="0"/>
        <w:numPr>
          <w:ilvl w:val="0"/>
          <w:numId w:val="11"/>
        </w:numPr>
        <w:overflowPunct/>
        <w:jc w:val="both"/>
        <w:textAlignment w:val="auto"/>
        <w:rPr>
          <w:bCs/>
          <w:i/>
          <w:iCs/>
          <w:color w:val="000000"/>
        </w:rPr>
      </w:pPr>
      <w:r w:rsidRPr="00181924">
        <w:rPr>
          <w:b/>
          <w:bCs/>
          <w:i/>
          <w:iCs/>
          <w:color w:val="000000"/>
        </w:rPr>
        <w:t>Kaip šiuo metu yra sureguliuoti projekte aptarti klausimai</w:t>
      </w:r>
      <w:r>
        <w:rPr>
          <w:b/>
          <w:bCs/>
          <w:i/>
          <w:iCs/>
          <w:color w:val="000000"/>
        </w:rPr>
        <w:t xml:space="preserve">: </w:t>
      </w:r>
      <w:r w:rsidRPr="000D074E">
        <w:rPr>
          <w:bCs/>
          <w:i/>
          <w:iCs/>
          <w:color w:val="000000"/>
        </w:rPr>
        <w:t>Savivaldybės</w:t>
      </w:r>
      <w:r>
        <w:rPr>
          <w:bCs/>
          <w:i/>
          <w:iCs/>
          <w:color w:val="000000"/>
        </w:rPr>
        <w:t xml:space="preserve"> biudžetinių įstaigų ir išteklių fondų finansinių ataskaitos sudarytos vadovaujantis Lietuvis Respublikos viešojo sektoriaus atskaitomybės įstatymu.</w:t>
      </w:r>
    </w:p>
    <w:p w:rsidR="00A74597" w:rsidRPr="000D074E" w:rsidRDefault="00A74597" w:rsidP="00D567FD">
      <w:pPr>
        <w:ind w:left="1080"/>
        <w:jc w:val="both"/>
        <w:rPr>
          <w:bCs/>
          <w:i/>
          <w:iCs/>
          <w:color w:val="000000"/>
        </w:rPr>
      </w:pPr>
    </w:p>
    <w:p w:rsidR="00A74597" w:rsidRPr="00181924" w:rsidRDefault="00A74597" w:rsidP="00D567FD">
      <w:pPr>
        <w:widowControl w:val="0"/>
        <w:numPr>
          <w:ilvl w:val="0"/>
          <w:numId w:val="11"/>
        </w:numPr>
        <w:overflowPunct/>
        <w:jc w:val="both"/>
        <w:textAlignment w:val="auto"/>
        <w:rPr>
          <w:b/>
          <w:bCs/>
          <w:i/>
          <w:iCs/>
          <w:color w:val="000000"/>
        </w:rPr>
      </w:pPr>
      <w:r w:rsidRPr="00181924">
        <w:rPr>
          <w:b/>
          <w:bCs/>
          <w:i/>
          <w:iCs/>
          <w:color w:val="000000"/>
        </w:rPr>
        <w:t>Kokių teigiamų rezultatų laukiama</w:t>
      </w:r>
      <w:r>
        <w:rPr>
          <w:b/>
          <w:bCs/>
          <w:i/>
          <w:iCs/>
          <w:color w:val="000000"/>
        </w:rPr>
        <w:t xml:space="preserve">: </w:t>
      </w:r>
    </w:p>
    <w:p w:rsidR="00A74597" w:rsidRPr="00181924" w:rsidRDefault="00A74597" w:rsidP="00D567FD">
      <w:pPr>
        <w:jc w:val="both"/>
        <w:rPr>
          <w:b/>
          <w:bCs/>
          <w:i/>
          <w:iCs/>
          <w:color w:val="000000"/>
        </w:rPr>
      </w:pPr>
    </w:p>
    <w:p w:rsidR="00A74597" w:rsidRPr="00181924" w:rsidRDefault="00A74597" w:rsidP="00D567FD">
      <w:pPr>
        <w:widowControl w:val="0"/>
        <w:numPr>
          <w:ilvl w:val="0"/>
          <w:numId w:val="11"/>
        </w:numPr>
        <w:tabs>
          <w:tab w:val="left" w:pos="0"/>
        </w:tabs>
        <w:overflowPunct/>
        <w:ind w:right="360"/>
        <w:jc w:val="both"/>
        <w:textAlignment w:val="auto"/>
        <w:rPr>
          <w:b/>
          <w:bCs/>
          <w:i/>
          <w:iCs/>
          <w:color w:val="000000"/>
        </w:rPr>
      </w:pPr>
      <w:r w:rsidRPr="00181924">
        <w:rPr>
          <w:b/>
          <w:bCs/>
          <w:i/>
          <w:iCs/>
          <w:color w:val="000000"/>
        </w:rPr>
        <w:t>Galimos neigiamos priimto projekto pasekmės ir kokių priemonių reikėtų imtis, kad tokių pasekmių būtų išvengta.</w:t>
      </w:r>
      <w:r>
        <w:rPr>
          <w:b/>
          <w:bCs/>
          <w:i/>
          <w:iCs/>
          <w:color w:val="000000"/>
        </w:rPr>
        <w:t xml:space="preserve"> </w:t>
      </w:r>
      <w:r w:rsidRPr="000D074E">
        <w:rPr>
          <w:bCs/>
          <w:i/>
          <w:iCs/>
          <w:color w:val="000000"/>
        </w:rPr>
        <w:t>Neigiamų pasekmių nenumatoma</w:t>
      </w:r>
      <w:r>
        <w:rPr>
          <w:b/>
          <w:bCs/>
          <w:i/>
          <w:iCs/>
          <w:color w:val="000000"/>
        </w:rPr>
        <w:t xml:space="preserve">. </w:t>
      </w:r>
    </w:p>
    <w:p w:rsidR="00A74597" w:rsidRPr="00181924" w:rsidRDefault="00A74597" w:rsidP="00D567FD">
      <w:pPr>
        <w:tabs>
          <w:tab w:val="left" w:pos="0"/>
        </w:tabs>
        <w:ind w:right="360"/>
        <w:jc w:val="both"/>
        <w:rPr>
          <w:b/>
          <w:bCs/>
          <w:i/>
          <w:iCs/>
          <w:color w:val="000000"/>
        </w:rPr>
      </w:pPr>
    </w:p>
    <w:p w:rsidR="00A74597" w:rsidRPr="000D074E" w:rsidRDefault="00A74597" w:rsidP="00D567FD">
      <w:pPr>
        <w:widowControl w:val="0"/>
        <w:numPr>
          <w:ilvl w:val="0"/>
          <w:numId w:val="11"/>
        </w:numPr>
        <w:tabs>
          <w:tab w:val="left" w:pos="0"/>
        </w:tabs>
        <w:overflowPunct/>
        <w:ind w:right="360"/>
        <w:jc w:val="both"/>
        <w:textAlignment w:val="auto"/>
        <w:rPr>
          <w:bCs/>
          <w:i/>
          <w:iCs/>
          <w:color w:val="000000"/>
        </w:rPr>
      </w:pPr>
      <w:r w:rsidRPr="00181924">
        <w:rPr>
          <w:b/>
          <w:bCs/>
          <w:i/>
          <w:iCs/>
          <w:color w:val="000000"/>
        </w:rPr>
        <w:t>Kokius galiojančius aktus (tarybos, mero, savivaldybės administracijos direktoriaus) reikėtų pakeisti ir panaikinti, priėmus sprendimą pagal teikiamą projektą</w:t>
      </w:r>
      <w:r>
        <w:rPr>
          <w:b/>
          <w:bCs/>
          <w:i/>
          <w:iCs/>
          <w:color w:val="000000"/>
        </w:rPr>
        <w:t xml:space="preserve">. </w:t>
      </w:r>
      <w:r w:rsidRPr="000D074E">
        <w:rPr>
          <w:bCs/>
          <w:i/>
          <w:iCs/>
          <w:color w:val="000000"/>
        </w:rPr>
        <w:t>Priėmus sprendimą nereikės keisti jokių galiojančių aktų.</w:t>
      </w:r>
    </w:p>
    <w:p w:rsidR="00A74597" w:rsidRPr="000D074E" w:rsidRDefault="00A74597" w:rsidP="00D567FD">
      <w:pPr>
        <w:tabs>
          <w:tab w:val="left" w:pos="0"/>
        </w:tabs>
        <w:ind w:right="360"/>
        <w:jc w:val="both"/>
        <w:rPr>
          <w:bCs/>
          <w:i/>
          <w:iCs/>
          <w:color w:val="000000"/>
        </w:rPr>
      </w:pPr>
    </w:p>
    <w:p w:rsidR="00A74597" w:rsidRPr="00181924" w:rsidRDefault="00A74597" w:rsidP="00D567FD">
      <w:pPr>
        <w:widowControl w:val="0"/>
        <w:numPr>
          <w:ilvl w:val="0"/>
          <w:numId w:val="11"/>
        </w:numPr>
        <w:overflowPunct/>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r>
        <w:rPr>
          <w:b/>
          <w:bCs/>
          <w:i/>
          <w:iCs/>
          <w:color w:val="000000"/>
        </w:rPr>
        <w:t xml:space="preserve"> </w:t>
      </w:r>
    </w:p>
    <w:p w:rsidR="00A74597" w:rsidRPr="00181924" w:rsidRDefault="00A74597" w:rsidP="00D567FD">
      <w:pPr>
        <w:jc w:val="both"/>
        <w:rPr>
          <w:b/>
          <w:bCs/>
          <w:i/>
          <w:iCs/>
          <w:color w:val="000000"/>
        </w:rPr>
      </w:pPr>
    </w:p>
    <w:p w:rsidR="00A74597" w:rsidRPr="00181924" w:rsidRDefault="00A74597" w:rsidP="00D567FD">
      <w:pPr>
        <w:widowControl w:val="0"/>
        <w:numPr>
          <w:ilvl w:val="0"/>
          <w:numId w:val="11"/>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r>
        <w:rPr>
          <w:b/>
          <w:bCs/>
          <w:i/>
          <w:iCs/>
          <w:color w:val="000000"/>
        </w:rPr>
        <w:t>: Nereikalinga.</w:t>
      </w:r>
    </w:p>
    <w:p w:rsidR="00A74597" w:rsidRPr="00181924" w:rsidRDefault="00A74597" w:rsidP="00D567FD">
      <w:pPr>
        <w:pStyle w:val="ListParagraph"/>
        <w:rPr>
          <w:b/>
          <w:bCs/>
          <w:i/>
          <w:iCs/>
          <w:color w:val="000000"/>
        </w:rPr>
      </w:pPr>
    </w:p>
    <w:p w:rsidR="00A74597" w:rsidRPr="00181924" w:rsidRDefault="00A74597" w:rsidP="00D567FD">
      <w:pPr>
        <w:widowControl w:val="0"/>
        <w:numPr>
          <w:ilvl w:val="0"/>
          <w:numId w:val="11"/>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r>
        <w:rPr>
          <w:b/>
          <w:bCs/>
          <w:i/>
          <w:iCs/>
          <w:color w:val="000000"/>
        </w:rPr>
        <w:t xml:space="preserve">). </w:t>
      </w:r>
    </w:p>
    <w:p w:rsidR="00A74597" w:rsidRPr="00181924" w:rsidRDefault="00A74597" w:rsidP="00D567FD">
      <w:pPr>
        <w:tabs>
          <w:tab w:val="left" w:pos="0"/>
        </w:tabs>
        <w:ind w:right="360"/>
        <w:jc w:val="both"/>
        <w:rPr>
          <w:b/>
          <w:bCs/>
          <w:i/>
          <w:iCs/>
          <w:color w:val="000000"/>
        </w:rPr>
      </w:pPr>
    </w:p>
    <w:p w:rsidR="00A74597" w:rsidRPr="000D074E" w:rsidRDefault="00A74597" w:rsidP="00D567FD">
      <w:pPr>
        <w:widowControl w:val="0"/>
        <w:numPr>
          <w:ilvl w:val="0"/>
          <w:numId w:val="11"/>
        </w:numPr>
        <w:tabs>
          <w:tab w:val="left" w:pos="0"/>
        </w:tabs>
        <w:overflowPunct/>
        <w:ind w:right="360"/>
        <w:jc w:val="both"/>
        <w:textAlignment w:val="auto"/>
        <w:rPr>
          <w:bCs/>
          <w:i/>
          <w:iCs/>
          <w:color w:val="000000"/>
        </w:rPr>
      </w:pPr>
      <w:r w:rsidRPr="00181924">
        <w:rPr>
          <w:b/>
          <w:bCs/>
          <w:i/>
          <w:iCs/>
          <w:color w:val="000000"/>
        </w:rPr>
        <w:t>Projekto rengimo metu gauti specialistų vertinimai ir išvados, ekonominiai apskaičiavimai (sąmatos)  ir konkretūs finansavimo šaltiniai</w:t>
      </w:r>
      <w:r>
        <w:rPr>
          <w:b/>
          <w:bCs/>
          <w:i/>
          <w:iCs/>
          <w:color w:val="000000"/>
        </w:rPr>
        <w:t xml:space="preserve">. </w:t>
      </w:r>
      <w:r w:rsidRPr="000D074E">
        <w:rPr>
          <w:bCs/>
          <w:i/>
          <w:iCs/>
          <w:color w:val="000000"/>
        </w:rPr>
        <w:t>Gauta Savivaldybės kontrolieriaus išvada</w:t>
      </w:r>
      <w:r>
        <w:rPr>
          <w:bCs/>
          <w:i/>
          <w:iCs/>
          <w:color w:val="000000"/>
        </w:rPr>
        <w:t xml:space="preserve"> Nr.K5-I3 </w:t>
      </w:r>
      <w:r w:rsidRPr="000D074E">
        <w:rPr>
          <w:bCs/>
          <w:i/>
          <w:iCs/>
          <w:color w:val="000000"/>
        </w:rPr>
        <w:t xml:space="preserve">,,Dėl Pagėgių savivaldybės 2014 metų </w:t>
      </w:r>
      <w:r>
        <w:rPr>
          <w:bCs/>
          <w:i/>
          <w:iCs/>
          <w:color w:val="000000"/>
        </w:rPr>
        <w:t>biudžeto vykdymo ataskaitų rinkinio, turto valdymo, naudojimo ir disponavimo juo teisėtumo per 2014 metus“.</w:t>
      </w:r>
    </w:p>
    <w:p w:rsidR="00A74597" w:rsidRPr="00181924" w:rsidRDefault="00A74597" w:rsidP="00D567FD">
      <w:pPr>
        <w:tabs>
          <w:tab w:val="left" w:pos="0"/>
        </w:tabs>
        <w:ind w:right="360"/>
        <w:jc w:val="both"/>
        <w:rPr>
          <w:b/>
          <w:bCs/>
          <w:i/>
          <w:iCs/>
          <w:color w:val="000000"/>
        </w:rPr>
      </w:pPr>
    </w:p>
    <w:p w:rsidR="00A74597" w:rsidRPr="00181924" w:rsidRDefault="00A74597" w:rsidP="00D567FD">
      <w:pPr>
        <w:widowControl w:val="0"/>
        <w:numPr>
          <w:ilvl w:val="0"/>
          <w:numId w:val="11"/>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r>
        <w:rPr>
          <w:b/>
          <w:bCs/>
          <w:i/>
          <w:iCs/>
          <w:color w:val="000000"/>
        </w:rPr>
        <w:t xml:space="preserve"> </w:t>
      </w:r>
      <w:r w:rsidRPr="00181924">
        <w:rPr>
          <w:b/>
          <w:bCs/>
          <w:i/>
          <w:iCs/>
          <w:color w:val="000000"/>
        </w:rPr>
        <w:t>.</w:t>
      </w:r>
      <w:r w:rsidRPr="000D074E">
        <w:rPr>
          <w:bCs/>
          <w:i/>
          <w:iCs/>
          <w:color w:val="000000"/>
        </w:rPr>
        <w:t>Finansų skyriaus vedėja –Rūta Fridrikienė</w:t>
      </w:r>
      <w:r>
        <w:rPr>
          <w:b/>
          <w:bCs/>
          <w:i/>
          <w:iCs/>
          <w:color w:val="000000"/>
        </w:rPr>
        <w:t>.</w:t>
      </w:r>
    </w:p>
    <w:p w:rsidR="00A74597" w:rsidRDefault="00A74597" w:rsidP="00D567FD">
      <w:pPr>
        <w:widowControl w:val="0"/>
        <w:numPr>
          <w:ilvl w:val="0"/>
          <w:numId w:val="11"/>
        </w:numPr>
        <w:tabs>
          <w:tab w:val="left" w:pos="0"/>
        </w:tabs>
        <w:overflowPunct/>
        <w:ind w:right="360"/>
        <w:textAlignment w:val="auto"/>
        <w:rPr>
          <w:b/>
          <w:bCs/>
          <w:i/>
          <w:iCs/>
          <w:color w:val="000000"/>
        </w:rPr>
      </w:pPr>
      <w:r w:rsidRPr="00181924">
        <w:rPr>
          <w:b/>
          <w:bCs/>
          <w:i/>
          <w:iCs/>
          <w:color w:val="000000"/>
        </w:rPr>
        <w:t>Kiti, rengėjo nuomone,  reikalingi pagrindimai ir paaiškinimai.</w:t>
      </w:r>
    </w:p>
    <w:p w:rsidR="00A74597" w:rsidRPr="000D074E" w:rsidRDefault="00A74597" w:rsidP="00D567FD">
      <w:pPr>
        <w:jc w:val="both"/>
        <w:rPr>
          <w:i/>
        </w:rPr>
      </w:pPr>
      <w:r w:rsidRPr="000D074E">
        <w:rPr>
          <w:bCs/>
          <w:i/>
          <w:iCs/>
          <w:color w:val="000000"/>
        </w:rPr>
        <w:t xml:space="preserve">                </w:t>
      </w:r>
      <w:r w:rsidRPr="000D074E">
        <w:rPr>
          <w:i/>
        </w:rPr>
        <w:t xml:space="preserve">            </w:t>
      </w:r>
    </w:p>
    <w:p w:rsidR="00A74597" w:rsidRDefault="00A74597" w:rsidP="00D567FD">
      <w:pPr>
        <w:jc w:val="both"/>
        <w:rPr>
          <w:i/>
        </w:rPr>
      </w:pPr>
    </w:p>
    <w:p w:rsidR="00A74597" w:rsidRDefault="00A74597" w:rsidP="00D567FD">
      <w:pPr>
        <w:jc w:val="both"/>
        <w:rPr>
          <w:i/>
        </w:rPr>
      </w:pPr>
    </w:p>
    <w:p w:rsidR="00A74597" w:rsidRPr="000D074E" w:rsidRDefault="00A74597" w:rsidP="00D567FD">
      <w:pPr>
        <w:jc w:val="both"/>
        <w:rPr>
          <w:i/>
        </w:rPr>
      </w:pPr>
    </w:p>
    <w:p w:rsidR="00A74597" w:rsidRPr="000D074E" w:rsidRDefault="00A74597" w:rsidP="00D567FD">
      <w:pPr>
        <w:jc w:val="both"/>
        <w:rPr>
          <w:i/>
          <w:color w:val="000000"/>
        </w:rPr>
      </w:pPr>
      <w:r w:rsidRPr="00F25414">
        <w:rPr>
          <w:i/>
        </w:rPr>
        <w:t xml:space="preserve">   Finansų skyriaus vedėja                                                                     Rūta Fridrikienė         </w:t>
      </w:r>
    </w:p>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Default="00A74597" w:rsidP="008B0B32">
      <w:pPr>
        <w:ind w:left="5102"/>
        <w:rPr>
          <w:szCs w:val="24"/>
        </w:rPr>
      </w:pPr>
    </w:p>
    <w:p w:rsidR="00A74597" w:rsidRPr="00443B11" w:rsidRDefault="00A74597" w:rsidP="008B0B32">
      <w:pPr>
        <w:ind w:left="5102"/>
        <w:rPr>
          <w:szCs w:val="24"/>
        </w:rPr>
      </w:pPr>
      <w:r w:rsidRPr="00443B11">
        <w:rPr>
          <w:szCs w:val="24"/>
        </w:rPr>
        <w:t>Teisės aktų pr</w:t>
      </w:r>
      <w:r>
        <w:rPr>
          <w:szCs w:val="24"/>
        </w:rPr>
        <w:t xml:space="preserve">ojektų antikorupcinio vertinimo </w:t>
      </w:r>
      <w:r w:rsidRPr="00443B11">
        <w:rPr>
          <w:szCs w:val="24"/>
        </w:rPr>
        <w:t>taisyklių</w:t>
      </w:r>
    </w:p>
    <w:p w:rsidR="00A74597" w:rsidRPr="00443B11" w:rsidRDefault="00A74597" w:rsidP="008B0B32">
      <w:pPr>
        <w:pStyle w:val="BodyTextIndent"/>
        <w:ind w:left="5102"/>
        <w:jc w:val="left"/>
        <w:rPr>
          <w:color w:val="000000"/>
          <w:lang w:eastAsia="ar-SA"/>
        </w:rPr>
      </w:pPr>
      <w:r w:rsidRPr="00443B11">
        <w:rPr>
          <w:color w:val="000000"/>
          <w:lang w:eastAsia="ar-SA"/>
        </w:rPr>
        <w:t>priedas</w:t>
      </w:r>
    </w:p>
    <w:p w:rsidR="00A74597" w:rsidRPr="00443B11" w:rsidRDefault="00A74597" w:rsidP="008B0B32">
      <w:pPr>
        <w:pStyle w:val="BodyTextIndent"/>
        <w:tabs>
          <w:tab w:val="left" w:pos="6804"/>
        </w:tabs>
        <w:ind w:left="0"/>
        <w:jc w:val="left"/>
      </w:pPr>
    </w:p>
    <w:p w:rsidR="00A74597" w:rsidRPr="00443B11" w:rsidRDefault="00A74597" w:rsidP="008B0B32">
      <w:pPr>
        <w:jc w:val="center"/>
        <w:rPr>
          <w:b/>
          <w:szCs w:val="24"/>
        </w:rPr>
      </w:pPr>
      <w:r w:rsidRPr="00443B11">
        <w:rPr>
          <w:b/>
          <w:szCs w:val="24"/>
        </w:rPr>
        <w:t>TEISĖS AKTŲ PROJEKTŲ ANTIKORUPCINIO VERTINIMO PAŽYMA</w:t>
      </w:r>
    </w:p>
    <w:p w:rsidR="00A74597" w:rsidRPr="00443B11" w:rsidRDefault="00A74597" w:rsidP="008B0B32">
      <w:pPr>
        <w:rPr>
          <w:szCs w:val="24"/>
        </w:rPr>
      </w:pPr>
    </w:p>
    <w:p w:rsidR="00A74597" w:rsidRDefault="00A74597" w:rsidP="008B0B32">
      <w:pPr>
        <w:spacing w:before="120"/>
        <w:rPr>
          <w:szCs w:val="24"/>
        </w:rPr>
      </w:pPr>
      <w:r w:rsidRPr="00443B11">
        <w:rPr>
          <w:szCs w:val="24"/>
        </w:rPr>
        <w:t>Teisės akto projekto pavadinimas:</w:t>
      </w:r>
      <w:r>
        <w:rPr>
          <w:szCs w:val="24"/>
        </w:rPr>
        <w:t xml:space="preserve"> </w:t>
      </w:r>
      <w:r>
        <w:rPr>
          <w:b/>
          <w:bCs/>
          <w:caps/>
          <w:color w:val="000000"/>
        </w:rPr>
        <w:t>dėl pagėgių savivaldybės BIUDŽetinių įstaigų ir išteklių fondų 2014 metų finansinių atAskaitų  Patvirtinimo</w:t>
      </w:r>
      <w:r w:rsidRPr="00443B11">
        <w:rPr>
          <w:szCs w:val="24"/>
        </w:rPr>
        <w:t xml:space="preserve"> </w:t>
      </w:r>
    </w:p>
    <w:p w:rsidR="00A74597" w:rsidRPr="004A2366" w:rsidRDefault="00A74597" w:rsidP="008B0B32">
      <w:pPr>
        <w:spacing w:before="120"/>
        <w:rPr>
          <w:b/>
          <w:szCs w:val="24"/>
        </w:rPr>
      </w:pPr>
      <w:r w:rsidRPr="00443B11">
        <w:rPr>
          <w:szCs w:val="24"/>
        </w:rPr>
        <w:t>Teisės akto projekto tiesioginis rengėjas:</w:t>
      </w:r>
      <w:r>
        <w:rPr>
          <w:szCs w:val="24"/>
        </w:rPr>
        <w:t xml:space="preserve"> </w:t>
      </w:r>
      <w:r w:rsidRPr="00380D36">
        <w:rPr>
          <w:b/>
          <w:szCs w:val="24"/>
        </w:rPr>
        <w:t>Rūta Fridrikienė</w:t>
      </w:r>
      <w:r>
        <w:rPr>
          <w:szCs w:val="24"/>
        </w:rPr>
        <w:t>, Finansų skyriaus vedėja.</w:t>
      </w:r>
    </w:p>
    <w:p w:rsidR="00A74597" w:rsidRPr="00284F7E" w:rsidRDefault="00A74597" w:rsidP="008B0B32">
      <w:pPr>
        <w:jc w:val="both"/>
        <w:rPr>
          <w:b/>
          <w:szCs w:val="24"/>
        </w:rPr>
      </w:pPr>
      <w:r w:rsidRPr="00443B11">
        <w:rPr>
          <w:szCs w:val="24"/>
        </w:rPr>
        <w:t>Antikorupciniu požiūriu rizikingos teisės akto projekto nuostatos</w:t>
      </w:r>
      <w:r w:rsidRPr="00443B11">
        <w:rPr>
          <w:b/>
          <w:szCs w:val="24"/>
        </w:rPr>
        <w:t xml:space="preserve"> </w:t>
      </w:r>
      <w:r w:rsidRPr="00443B11">
        <w:rPr>
          <w:i/>
          <w:szCs w:val="24"/>
        </w:rPr>
        <w:t>(nurodyti kriterijaus numerį, kurį taikant nustatytai korupcijos rizikai šalinti ar valdyti teisės akto projekte nenumatyta priemonių)</w:t>
      </w:r>
      <w:r w:rsidRPr="00443B11">
        <w:rPr>
          <w:rStyle w:val="FootnoteReference"/>
          <w:rFonts w:ascii="Arial" w:hAnsi="Arial" w:cs="Arial"/>
          <w:szCs w:val="24"/>
        </w:rPr>
        <w:footnoteReference w:id="2"/>
      </w:r>
      <w:r w:rsidRPr="00443B11">
        <w:rPr>
          <w:szCs w:val="24"/>
        </w:rPr>
        <w:t xml:space="preserve">: </w:t>
      </w:r>
      <w:r>
        <w:rPr>
          <w:b/>
          <w:szCs w:val="24"/>
        </w:rPr>
        <w:t>Nėra</w:t>
      </w:r>
    </w:p>
    <w:p w:rsidR="00A74597" w:rsidRPr="00284F7E" w:rsidRDefault="00A74597" w:rsidP="008B0B32">
      <w:pPr>
        <w:jc w:val="both"/>
        <w:rPr>
          <w:b/>
          <w:szCs w:val="24"/>
        </w:rPr>
      </w:pPr>
      <w:r w:rsidRPr="00443B11">
        <w:rPr>
          <w:szCs w:val="24"/>
        </w:rPr>
        <w:t>Antikorupciniu požiūriu rizikingos teisės akto projekto nuostatos, nustatytos atliekant antikorupcinį vertinimą po tarpinstitucinio derinimo</w:t>
      </w:r>
      <w:r w:rsidRPr="00443B11">
        <w:rPr>
          <w:b/>
          <w:szCs w:val="24"/>
        </w:rPr>
        <w:t xml:space="preserve"> </w:t>
      </w:r>
      <w:r w:rsidRPr="00443B11">
        <w:rPr>
          <w:i/>
          <w:szCs w:val="24"/>
        </w:rPr>
        <w:t>(nurodyti kriterijaus numerį, kurį taikant nustatytai korupcijos rizikai šalinti ar valdyti teisės akto projekte nenumatyta priemonių)</w:t>
      </w:r>
      <w:r w:rsidRPr="00443B11">
        <w:rPr>
          <w:rStyle w:val="FootnoteReference"/>
          <w:rFonts w:ascii="Arial" w:hAnsi="Arial" w:cs="Arial"/>
          <w:szCs w:val="24"/>
        </w:rPr>
        <w:footnoteReference w:id="3"/>
      </w:r>
      <w:r w:rsidRPr="00443B11">
        <w:rPr>
          <w:szCs w:val="24"/>
        </w:rPr>
        <w:t>:</w:t>
      </w:r>
      <w:r>
        <w:rPr>
          <w:szCs w:val="24"/>
        </w:rPr>
        <w:t xml:space="preserve"> </w:t>
      </w:r>
      <w:r>
        <w:rPr>
          <w:b/>
          <w:szCs w:val="24"/>
        </w:rPr>
        <w:t>Nėra</w:t>
      </w:r>
    </w:p>
    <w:p w:rsidR="00A74597" w:rsidRPr="00443B11" w:rsidRDefault="00A74597" w:rsidP="008B0B32">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5"/>
        <w:gridCol w:w="2599"/>
        <w:gridCol w:w="2416"/>
        <w:gridCol w:w="2226"/>
        <w:gridCol w:w="1831"/>
      </w:tblGrid>
      <w:tr w:rsidR="00A74597" w:rsidRPr="00443B11">
        <w:trPr>
          <w:trHeight w:val="23"/>
          <w:tblHeader/>
        </w:trPr>
        <w:tc>
          <w:tcPr>
            <w:tcW w:w="571" w:type="dxa"/>
            <w:vAlign w:val="center"/>
          </w:tcPr>
          <w:p w:rsidR="00A74597" w:rsidRPr="00443B11" w:rsidRDefault="00A74597" w:rsidP="00FA2EA8">
            <w:pPr>
              <w:jc w:val="center"/>
              <w:rPr>
                <w:szCs w:val="22"/>
              </w:rPr>
            </w:pPr>
            <w:r w:rsidRPr="00443B11">
              <w:rPr>
                <w:szCs w:val="22"/>
              </w:rPr>
              <w:t>Eil.</w:t>
            </w:r>
            <w:r>
              <w:rPr>
                <w:szCs w:val="22"/>
              </w:rPr>
              <w:t xml:space="preserve"> Nr.</w:t>
            </w:r>
          </w:p>
        </w:tc>
        <w:tc>
          <w:tcPr>
            <w:tcW w:w="2629" w:type="dxa"/>
            <w:vAlign w:val="center"/>
          </w:tcPr>
          <w:p w:rsidR="00A74597" w:rsidRPr="00443B11" w:rsidRDefault="00A74597" w:rsidP="00FA2EA8">
            <w:pPr>
              <w:jc w:val="center"/>
              <w:rPr>
                <w:szCs w:val="22"/>
              </w:rPr>
            </w:pPr>
            <w:r w:rsidRPr="00443B11">
              <w:rPr>
                <w:szCs w:val="22"/>
              </w:rPr>
              <w:t>Kriterijus</w:t>
            </w:r>
          </w:p>
        </w:tc>
        <w:tc>
          <w:tcPr>
            <w:tcW w:w="2444" w:type="dxa"/>
            <w:vAlign w:val="center"/>
          </w:tcPr>
          <w:p w:rsidR="00A74597" w:rsidRPr="00443B11" w:rsidRDefault="00A74597" w:rsidP="00FA2EA8">
            <w:pPr>
              <w:jc w:val="center"/>
              <w:rPr>
                <w:b/>
                <w:szCs w:val="22"/>
              </w:rPr>
            </w:pPr>
            <w:r w:rsidRPr="00443B11">
              <w:rPr>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51" w:type="dxa"/>
            <w:vAlign w:val="center"/>
          </w:tcPr>
          <w:p w:rsidR="00A74597" w:rsidRPr="00443B11" w:rsidRDefault="00A74597" w:rsidP="00FA2EA8">
            <w:pPr>
              <w:jc w:val="center"/>
              <w:rPr>
                <w:szCs w:val="22"/>
              </w:rPr>
            </w:pPr>
            <w:r w:rsidRPr="00443B11">
              <w:rPr>
                <w:szCs w:val="22"/>
              </w:rPr>
              <w:t>Teisės akto projekto pakeitimas, mažinantis korupcijos riziką, arba teisės akto projekto tiesioginio rengėjo argumentai, kodėl neatsižvelgta į pastabą</w:t>
            </w:r>
          </w:p>
        </w:tc>
        <w:tc>
          <w:tcPr>
            <w:tcW w:w="1852" w:type="dxa"/>
            <w:vAlign w:val="center"/>
          </w:tcPr>
          <w:p w:rsidR="00A74597" w:rsidRPr="00443B11" w:rsidRDefault="00A74597" w:rsidP="00FA2EA8">
            <w:pPr>
              <w:jc w:val="center"/>
              <w:rPr>
                <w:szCs w:val="22"/>
              </w:rPr>
            </w:pPr>
            <w:r w:rsidRPr="00443B11">
              <w:rPr>
                <w:szCs w:val="22"/>
              </w:rPr>
              <w:t>Išvada dėl teisės akto projekto pakeitimų arba argumentų, kodėl neatsižvelgta į pastabą</w:t>
            </w:r>
          </w:p>
        </w:tc>
      </w:tr>
      <w:tr w:rsidR="00A74597" w:rsidRPr="00443B11">
        <w:trPr>
          <w:trHeight w:val="23"/>
          <w:tblHeader/>
        </w:trPr>
        <w:tc>
          <w:tcPr>
            <w:tcW w:w="571" w:type="dxa"/>
          </w:tcPr>
          <w:p w:rsidR="00A74597" w:rsidRPr="00443B11" w:rsidRDefault="00A74597" w:rsidP="00FA2EA8">
            <w:pPr>
              <w:jc w:val="center"/>
              <w:rPr>
                <w:i/>
                <w:szCs w:val="22"/>
              </w:rPr>
            </w:pPr>
          </w:p>
        </w:tc>
        <w:tc>
          <w:tcPr>
            <w:tcW w:w="2629" w:type="dxa"/>
          </w:tcPr>
          <w:p w:rsidR="00A74597" w:rsidRPr="00443B11" w:rsidRDefault="00A74597" w:rsidP="00FA2EA8">
            <w:pPr>
              <w:rPr>
                <w:i/>
                <w:szCs w:val="22"/>
              </w:rPr>
            </w:pPr>
          </w:p>
        </w:tc>
        <w:tc>
          <w:tcPr>
            <w:tcW w:w="2444" w:type="dxa"/>
            <w:vAlign w:val="center"/>
          </w:tcPr>
          <w:p w:rsidR="00A74597" w:rsidRPr="00443B11" w:rsidRDefault="00A74597" w:rsidP="00FA2EA8">
            <w:pPr>
              <w:jc w:val="center"/>
              <w:rPr>
                <w:i/>
                <w:szCs w:val="22"/>
              </w:rPr>
            </w:pPr>
            <w:r w:rsidRPr="00443B11">
              <w:rPr>
                <w:i/>
                <w:szCs w:val="22"/>
              </w:rPr>
              <w:t>pildo teisės akto projekto vertintojas</w:t>
            </w:r>
          </w:p>
        </w:tc>
        <w:tc>
          <w:tcPr>
            <w:tcW w:w="2251" w:type="dxa"/>
            <w:vAlign w:val="center"/>
          </w:tcPr>
          <w:p w:rsidR="00A74597" w:rsidRPr="00443B11" w:rsidRDefault="00A74597" w:rsidP="00FA2EA8">
            <w:pPr>
              <w:jc w:val="center"/>
              <w:rPr>
                <w:i/>
                <w:szCs w:val="22"/>
              </w:rPr>
            </w:pPr>
            <w:r w:rsidRPr="00443B11">
              <w:rPr>
                <w:i/>
                <w:szCs w:val="22"/>
              </w:rPr>
              <w:t>pildo teisės akto projekto tiesioginis rengėjas</w:t>
            </w:r>
          </w:p>
        </w:tc>
        <w:tc>
          <w:tcPr>
            <w:tcW w:w="1852" w:type="dxa"/>
            <w:vAlign w:val="center"/>
          </w:tcPr>
          <w:p w:rsidR="00A74597" w:rsidRPr="00443B11" w:rsidRDefault="00A74597" w:rsidP="00FA2EA8">
            <w:pPr>
              <w:jc w:val="center"/>
              <w:rPr>
                <w:i/>
                <w:szCs w:val="22"/>
              </w:rPr>
            </w:pPr>
            <w:r w:rsidRPr="00443B11">
              <w:rPr>
                <w:i/>
                <w:szCs w:val="22"/>
              </w:rPr>
              <w:t>pildo teisės akto projekto vertintojas</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w:t>
            </w:r>
          </w:p>
        </w:tc>
        <w:tc>
          <w:tcPr>
            <w:tcW w:w="2629" w:type="dxa"/>
          </w:tcPr>
          <w:p w:rsidR="00A74597" w:rsidRPr="00443B11" w:rsidRDefault="00A74597" w:rsidP="00FA2EA8">
            <w:pPr>
              <w:rPr>
                <w:szCs w:val="22"/>
              </w:rPr>
            </w:pPr>
            <w:r w:rsidRPr="00443B11">
              <w:rPr>
                <w:szCs w:val="22"/>
              </w:rPr>
              <w:t>Teisės akto projektas nesudaro išskirtinių ar nevienodų sąlygų subjektams, su kuriais susijęs teisės akto įgyvendinimas</w:t>
            </w:r>
          </w:p>
        </w:tc>
        <w:tc>
          <w:tcPr>
            <w:tcW w:w="2444" w:type="dxa"/>
          </w:tcPr>
          <w:p w:rsidR="00A74597" w:rsidRPr="00700A59" w:rsidRDefault="00A74597" w:rsidP="00FA2EA8">
            <w:pPr>
              <w:ind w:left="81"/>
              <w:rPr>
                <w:sz w:val="16"/>
                <w:szCs w:val="16"/>
              </w:rPr>
            </w:pPr>
            <w:r>
              <w:rPr>
                <w:sz w:val="16"/>
                <w:szCs w:val="16"/>
              </w:rPr>
              <w:t>Nesudaro</w:t>
            </w:r>
          </w:p>
        </w:tc>
        <w:tc>
          <w:tcPr>
            <w:tcW w:w="2251" w:type="dxa"/>
          </w:tcPr>
          <w:p w:rsidR="00A74597" w:rsidRPr="00443B11" w:rsidRDefault="00A74597" w:rsidP="00FA2EA8">
            <w:pPr>
              <w:rPr>
                <w:b/>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2.</w:t>
            </w:r>
          </w:p>
        </w:tc>
        <w:tc>
          <w:tcPr>
            <w:tcW w:w="2629" w:type="dxa"/>
          </w:tcPr>
          <w:p w:rsidR="00A74597" w:rsidRPr="00443B11" w:rsidRDefault="00A74597" w:rsidP="00FA2EA8">
            <w:pPr>
              <w:rPr>
                <w:szCs w:val="22"/>
              </w:rPr>
            </w:pPr>
            <w:r w:rsidRPr="00443B11">
              <w:rPr>
                <w:szCs w:val="22"/>
              </w:rPr>
              <w:t>Teisės akto projekte nėra spragų ar nuostatų, leisiančių dviprasmiškai aiškinti ir taikyti teisės aktą</w:t>
            </w:r>
          </w:p>
        </w:tc>
        <w:tc>
          <w:tcPr>
            <w:tcW w:w="2444" w:type="dxa"/>
          </w:tcPr>
          <w:p w:rsidR="00A74597" w:rsidRPr="00BB24FC" w:rsidRDefault="00A74597" w:rsidP="00FA2EA8">
            <w:pPr>
              <w:ind w:left="81"/>
              <w:rPr>
                <w:sz w:val="16"/>
                <w:szCs w:val="16"/>
              </w:rPr>
            </w:pPr>
            <w:r>
              <w:rPr>
                <w:sz w:val="16"/>
                <w:szCs w:val="16"/>
              </w:rPr>
              <w:t>Nėra</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t xml:space="preserve"> </w:t>
            </w:r>
            <w:r w:rsidRPr="00443B11">
              <w:rPr>
                <w:szCs w:val="22"/>
              </w:rPr>
              <w:t>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3.</w:t>
            </w:r>
          </w:p>
        </w:tc>
        <w:tc>
          <w:tcPr>
            <w:tcW w:w="2629" w:type="dxa"/>
          </w:tcPr>
          <w:p w:rsidR="00A74597" w:rsidRPr="00443B11" w:rsidRDefault="00A74597" w:rsidP="00FA2EA8">
            <w:pPr>
              <w:rPr>
                <w:szCs w:val="22"/>
              </w:rPr>
            </w:pPr>
            <w:r w:rsidRPr="00443B11">
              <w:rPr>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44" w:type="dxa"/>
          </w:tcPr>
          <w:p w:rsidR="00A74597" w:rsidRPr="00284F7E" w:rsidRDefault="00A74597" w:rsidP="00FA2EA8">
            <w:pPr>
              <w:rPr>
                <w:color w:val="FF0000"/>
                <w:sz w:val="16"/>
                <w:szCs w:val="16"/>
              </w:rPr>
            </w:pPr>
            <w:r>
              <w:rPr>
                <w:sz w:val="16"/>
                <w:szCs w:val="16"/>
              </w:rPr>
              <w:t>Netaikytinas</w:t>
            </w:r>
          </w:p>
          <w:p w:rsidR="00A74597" w:rsidRPr="00994F6B" w:rsidRDefault="00A74597" w:rsidP="00FA2EA8">
            <w:pPr>
              <w:rPr>
                <w:color w:val="FF0000"/>
                <w:sz w:val="16"/>
                <w:szCs w:val="16"/>
              </w:rPr>
            </w:pP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4.</w:t>
            </w:r>
          </w:p>
        </w:tc>
        <w:tc>
          <w:tcPr>
            <w:tcW w:w="2629" w:type="dxa"/>
          </w:tcPr>
          <w:p w:rsidR="00A74597" w:rsidRPr="00443B11" w:rsidRDefault="00A74597" w:rsidP="00FA2EA8">
            <w:pPr>
              <w:rPr>
                <w:szCs w:val="22"/>
              </w:rPr>
            </w:pPr>
            <w:r w:rsidRPr="00443B11">
              <w:rPr>
                <w:szCs w:val="22"/>
              </w:rPr>
              <w:t>Teisės akto projekte nustatyti subjekto įgaliojimai (teisės) atitinka subjekto atliekamas funkcijas (pareigas)</w:t>
            </w:r>
          </w:p>
        </w:tc>
        <w:tc>
          <w:tcPr>
            <w:tcW w:w="2444" w:type="dxa"/>
          </w:tcPr>
          <w:p w:rsidR="00A74597" w:rsidRPr="00284F7E" w:rsidRDefault="00A74597" w:rsidP="00FA2EA8">
            <w:pPr>
              <w:rPr>
                <w:sz w:val="16"/>
                <w:szCs w:val="16"/>
              </w:rPr>
            </w:pPr>
            <w:r>
              <w:rPr>
                <w:sz w:val="16"/>
                <w:szCs w:val="16"/>
              </w:rPr>
              <w:t>Taip</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5.</w:t>
            </w:r>
          </w:p>
        </w:tc>
        <w:tc>
          <w:tcPr>
            <w:tcW w:w="2629" w:type="dxa"/>
          </w:tcPr>
          <w:p w:rsidR="00A74597" w:rsidRPr="00443B11" w:rsidRDefault="00A74597" w:rsidP="00FA2EA8">
            <w:pPr>
              <w:rPr>
                <w:szCs w:val="22"/>
              </w:rPr>
            </w:pPr>
            <w:r w:rsidRPr="00443B11">
              <w:rPr>
                <w:szCs w:val="22"/>
              </w:rPr>
              <w:t>Teisės akto projekte nustatytas baigtinis sprendimo priėmimo kriterijų (atvejų) sąrašas</w:t>
            </w:r>
          </w:p>
        </w:tc>
        <w:tc>
          <w:tcPr>
            <w:tcW w:w="2444" w:type="dxa"/>
          </w:tcPr>
          <w:p w:rsidR="00A74597" w:rsidRPr="00284F7E" w:rsidRDefault="00A74597" w:rsidP="00FA2EA8">
            <w:pPr>
              <w:rPr>
                <w:sz w:val="16"/>
                <w:szCs w:val="16"/>
              </w:rPr>
            </w:pPr>
            <w:r w:rsidRPr="00284F7E">
              <w:rPr>
                <w:sz w:val="16"/>
                <w:szCs w:val="16"/>
              </w:rPr>
              <w:t>Ne</w:t>
            </w:r>
            <w:r>
              <w:rPr>
                <w:sz w:val="16"/>
                <w:szCs w:val="16"/>
              </w:rPr>
              <w:t>taikytinas</w:t>
            </w:r>
          </w:p>
          <w:p w:rsidR="00A74597" w:rsidRPr="00FC213C" w:rsidRDefault="00A74597" w:rsidP="00FA2EA8">
            <w:pPr>
              <w:rPr>
                <w:sz w:val="16"/>
                <w:szCs w:val="16"/>
              </w:rPr>
            </w:pP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6.</w:t>
            </w:r>
          </w:p>
        </w:tc>
        <w:tc>
          <w:tcPr>
            <w:tcW w:w="2629" w:type="dxa"/>
          </w:tcPr>
          <w:p w:rsidR="00A74597" w:rsidRPr="00443B11" w:rsidRDefault="00A74597" w:rsidP="00FA2EA8">
            <w:pPr>
              <w:rPr>
                <w:szCs w:val="22"/>
              </w:rPr>
            </w:pPr>
            <w:r w:rsidRPr="00443B11">
              <w:rPr>
                <w:szCs w:val="22"/>
              </w:rPr>
              <w:t>Teisės akto projekte nustatytas baigtinis sąrašas motyvuotų atvejų, kai priimant sprendimus taikomos išimtys</w:t>
            </w:r>
          </w:p>
        </w:tc>
        <w:tc>
          <w:tcPr>
            <w:tcW w:w="2444" w:type="dxa"/>
          </w:tcPr>
          <w:p w:rsidR="00A74597" w:rsidRPr="00081552" w:rsidRDefault="00A74597" w:rsidP="00FA2EA8">
            <w:pPr>
              <w:rPr>
                <w:sz w:val="16"/>
                <w:szCs w:val="16"/>
              </w:rPr>
            </w:pPr>
            <w:r>
              <w:rPr>
                <w:sz w:val="16"/>
                <w:szCs w:val="16"/>
              </w:rPr>
              <w:t>Netaikytinas</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7.</w:t>
            </w:r>
          </w:p>
        </w:tc>
        <w:tc>
          <w:tcPr>
            <w:tcW w:w="2629" w:type="dxa"/>
          </w:tcPr>
          <w:p w:rsidR="00A74597" w:rsidRPr="00443B11" w:rsidRDefault="00A74597" w:rsidP="00FA2EA8">
            <w:pPr>
              <w:rPr>
                <w:szCs w:val="22"/>
              </w:rPr>
            </w:pPr>
            <w:r w:rsidRPr="00443B11">
              <w:rPr>
                <w:szCs w:val="22"/>
              </w:rPr>
              <w:t>Teisės akto projekte nustatyta sprendimų priėmimo, įforminimo tvarka ir priimtų sprendimų viešinimas</w:t>
            </w:r>
          </w:p>
        </w:tc>
        <w:tc>
          <w:tcPr>
            <w:tcW w:w="2444" w:type="dxa"/>
          </w:tcPr>
          <w:p w:rsidR="00A74597" w:rsidRPr="00284F7E" w:rsidRDefault="00A74597" w:rsidP="00FA2EA8">
            <w:pPr>
              <w:rPr>
                <w:sz w:val="16"/>
                <w:szCs w:val="16"/>
              </w:rPr>
            </w:pPr>
            <w:r>
              <w:rPr>
                <w:sz w:val="16"/>
                <w:szCs w:val="16"/>
              </w:rPr>
              <w:t>Tai numato Lietuvos Respublikos teisėkūros pagrindų įstatymas, Lietuvos Respublikos biudžeto sandaros įstatymas.</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8.</w:t>
            </w:r>
          </w:p>
        </w:tc>
        <w:tc>
          <w:tcPr>
            <w:tcW w:w="2629" w:type="dxa"/>
          </w:tcPr>
          <w:p w:rsidR="00A74597" w:rsidRPr="00443B11" w:rsidRDefault="00A74597" w:rsidP="00FA2EA8">
            <w:pPr>
              <w:rPr>
                <w:szCs w:val="22"/>
              </w:rPr>
            </w:pPr>
            <w:r w:rsidRPr="00443B11">
              <w:rPr>
                <w:szCs w:val="22"/>
              </w:rPr>
              <w:t>Teisės akto projekte nustatyta sprendimų dėl mažareikšmiškumo priėmimo tvarka</w:t>
            </w:r>
          </w:p>
        </w:tc>
        <w:tc>
          <w:tcPr>
            <w:tcW w:w="2444" w:type="dxa"/>
          </w:tcPr>
          <w:p w:rsidR="00A74597" w:rsidRPr="00284F7E" w:rsidRDefault="00A74597" w:rsidP="00FA2EA8">
            <w:pPr>
              <w:rPr>
                <w:sz w:val="16"/>
                <w:szCs w:val="16"/>
              </w:rPr>
            </w:pPr>
            <w:r>
              <w:rPr>
                <w:sz w:val="16"/>
                <w:szCs w:val="16"/>
              </w:rPr>
              <w:t>Netaikytina</w:t>
            </w:r>
          </w:p>
        </w:tc>
        <w:tc>
          <w:tcPr>
            <w:tcW w:w="2251" w:type="dxa"/>
          </w:tcPr>
          <w:p w:rsidR="00A74597" w:rsidRPr="00443B11" w:rsidRDefault="00A74597" w:rsidP="00FA2EA8">
            <w:pPr>
              <w:rPr>
                <w:b/>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9.</w:t>
            </w:r>
          </w:p>
        </w:tc>
        <w:tc>
          <w:tcPr>
            <w:tcW w:w="2629" w:type="dxa"/>
          </w:tcPr>
          <w:p w:rsidR="00A74597" w:rsidRPr="00443B11" w:rsidRDefault="00A74597" w:rsidP="00FA2EA8">
            <w:pPr>
              <w:rPr>
                <w:szCs w:val="22"/>
              </w:rPr>
            </w:pPr>
            <w:r w:rsidRPr="00443B11">
              <w:rPr>
                <w:szCs w:val="22"/>
              </w:rPr>
              <w:t>Jeigu pagal numatomą reguliavimą sprendimus priima kolegialus subjektas, teisės akto projekte nustatyta kolegialaus sprendimus priimančio subjekto:</w:t>
            </w:r>
          </w:p>
          <w:p w:rsidR="00A74597" w:rsidRPr="00443B11" w:rsidRDefault="00A74597" w:rsidP="00FA2EA8">
            <w:pPr>
              <w:pStyle w:val="ListParagraph"/>
              <w:ind w:left="33" w:firstLine="0"/>
              <w:rPr>
                <w:szCs w:val="22"/>
              </w:rPr>
            </w:pPr>
            <w:r w:rsidRPr="00443B11">
              <w:rPr>
                <w:szCs w:val="22"/>
              </w:rPr>
              <w:t>9.1. konkretus narių skaičius, užtikrinantis kolegialaus sprendimus priimančio subjekto veiklos objektyvumą;</w:t>
            </w:r>
          </w:p>
          <w:p w:rsidR="00A74597" w:rsidRPr="00443B11" w:rsidRDefault="00A74597" w:rsidP="00FA2EA8">
            <w:pPr>
              <w:pStyle w:val="ListParagraph"/>
              <w:ind w:left="33" w:firstLine="0"/>
              <w:rPr>
                <w:szCs w:val="22"/>
              </w:rPr>
            </w:pPr>
            <w:r w:rsidRPr="00443B11">
              <w:rPr>
                <w:szCs w:val="22"/>
              </w:rPr>
              <w:t>9.2. jeigu narius skiria keli subjektai, proporcinga kiekvieno subjekto skiriamų narių dalis, užtikrinanti tinkamą atstovavimą valstybės interesams ir kolegialaus sprendimus priimančio subjekto veiklos objektyvumą ir skaidrumą;</w:t>
            </w:r>
          </w:p>
          <w:p w:rsidR="00A74597" w:rsidRPr="00443B11" w:rsidRDefault="00A74597" w:rsidP="00FA2EA8">
            <w:pPr>
              <w:rPr>
                <w:szCs w:val="22"/>
              </w:rPr>
            </w:pPr>
            <w:r w:rsidRPr="00443B11">
              <w:rPr>
                <w:szCs w:val="22"/>
              </w:rPr>
              <w:t>9.3</w:t>
            </w:r>
            <w:r w:rsidRPr="00443B11">
              <w:rPr>
                <w:spacing w:val="-4"/>
                <w:szCs w:val="22"/>
              </w:rPr>
              <w:t>. narių skyrimo mechanizmas;</w:t>
            </w:r>
          </w:p>
          <w:p w:rsidR="00A74597" w:rsidRPr="00443B11" w:rsidRDefault="00A74597" w:rsidP="00FA2EA8">
            <w:pPr>
              <w:rPr>
                <w:szCs w:val="22"/>
              </w:rPr>
            </w:pPr>
            <w:r w:rsidRPr="00443B11">
              <w:rPr>
                <w:szCs w:val="22"/>
              </w:rPr>
              <w:t>9.4. narių rotacija ir kadencijų skaičius ir trukmė;</w:t>
            </w:r>
          </w:p>
          <w:p w:rsidR="00A74597" w:rsidRPr="00443B11" w:rsidRDefault="00A74597" w:rsidP="00FA2EA8">
            <w:pPr>
              <w:pStyle w:val="ListParagraph"/>
              <w:ind w:left="0" w:firstLine="0"/>
              <w:rPr>
                <w:szCs w:val="22"/>
              </w:rPr>
            </w:pPr>
            <w:r w:rsidRPr="00443B11">
              <w:rPr>
                <w:szCs w:val="22"/>
              </w:rPr>
              <w:t>9.5.</w:t>
            </w:r>
            <w:r>
              <w:rPr>
                <w:szCs w:val="22"/>
              </w:rPr>
              <w:t xml:space="preserve"> </w:t>
            </w:r>
            <w:r w:rsidRPr="00443B11">
              <w:rPr>
                <w:szCs w:val="22"/>
              </w:rPr>
              <w:t>veiklos pobūdis laiko atžvilgiu;</w:t>
            </w:r>
          </w:p>
          <w:p w:rsidR="00A74597" w:rsidRPr="00443B11" w:rsidRDefault="00A74597" w:rsidP="00FA2EA8">
            <w:pPr>
              <w:rPr>
                <w:szCs w:val="22"/>
              </w:rPr>
            </w:pPr>
            <w:r w:rsidRPr="00443B11">
              <w:rPr>
                <w:szCs w:val="22"/>
              </w:rPr>
              <w:t>9.6.</w:t>
            </w:r>
            <w:r>
              <w:rPr>
                <w:szCs w:val="22"/>
              </w:rPr>
              <w:t xml:space="preserve"> </w:t>
            </w:r>
            <w:r w:rsidRPr="00443B11">
              <w:rPr>
                <w:szCs w:val="22"/>
              </w:rPr>
              <w:t>individuali narių atsakomybė</w:t>
            </w:r>
          </w:p>
        </w:tc>
        <w:tc>
          <w:tcPr>
            <w:tcW w:w="2444" w:type="dxa"/>
          </w:tcPr>
          <w:p w:rsidR="00A74597" w:rsidRPr="00284F7E" w:rsidRDefault="00A74597" w:rsidP="00FA2EA8">
            <w:pPr>
              <w:rPr>
                <w:sz w:val="16"/>
                <w:szCs w:val="16"/>
              </w:rPr>
            </w:pPr>
            <w:r>
              <w:rPr>
                <w:sz w:val="16"/>
                <w:szCs w:val="16"/>
              </w:rPr>
              <w:t xml:space="preserve">Netaikytina </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10.</w:t>
            </w:r>
          </w:p>
        </w:tc>
        <w:tc>
          <w:tcPr>
            <w:tcW w:w="2629" w:type="dxa"/>
          </w:tcPr>
          <w:p w:rsidR="00A74597" w:rsidRPr="00443B11" w:rsidRDefault="00A74597" w:rsidP="00FA2EA8">
            <w:pPr>
              <w:rPr>
                <w:szCs w:val="22"/>
              </w:rPr>
            </w:pPr>
            <w:r w:rsidRPr="00443B11">
              <w:rPr>
                <w:szCs w:val="22"/>
              </w:rPr>
              <w:t xml:space="preserve">Teisės akto projekto nuostatoms įgyvendinti numatytos administracinės procedūros yra </w:t>
            </w:r>
            <w:r w:rsidRPr="00443B11">
              <w:rPr>
                <w:szCs w:val="22"/>
                <w:shd w:val="clear" w:color="auto" w:fill="FFFFFF"/>
              </w:rPr>
              <w:t>būtinos,</w:t>
            </w:r>
            <w:r w:rsidRPr="00443B11">
              <w:rPr>
                <w:szCs w:val="22"/>
              </w:rPr>
              <w:t xml:space="preserve"> nustatyta išsami jų taikymo tvarka </w:t>
            </w:r>
          </w:p>
        </w:tc>
        <w:tc>
          <w:tcPr>
            <w:tcW w:w="2444" w:type="dxa"/>
          </w:tcPr>
          <w:p w:rsidR="00A74597" w:rsidRPr="00E142D6" w:rsidRDefault="00A74597" w:rsidP="00FA2EA8">
            <w:pPr>
              <w:rPr>
                <w:sz w:val="20"/>
              </w:rPr>
            </w:pPr>
            <w:r w:rsidRPr="00E142D6">
              <w:rPr>
                <w:sz w:val="20"/>
              </w:rPr>
              <w:t xml:space="preserve">Tai numato </w:t>
            </w:r>
            <w:r w:rsidRPr="008B0B32">
              <w:rPr>
                <w:sz w:val="20"/>
              </w:rPr>
              <w:t>Lietuvos Respublikos vietos savivaldos įstatymo 16 straipsnio 3 dalies 2 punkt</w:t>
            </w:r>
            <w:r>
              <w:rPr>
                <w:sz w:val="20"/>
              </w:rPr>
              <w:t>as</w:t>
            </w:r>
            <w:r w:rsidRPr="008B0B32">
              <w:rPr>
                <w:sz w:val="20"/>
              </w:rPr>
              <w:t>, Lietuvos Respublikos viešojo sektoriaus atskaitomybės įstatymo 26, 33 straipsniai</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11.</w:t>
            </w:r>
          </w:p>
        </w:tc>
        <w:tc>
          <w:tcPr>
            <w:tcW w:w="2629" w:type="dxa"/>
          </w:tcPr>
          <w:p w:rsidR="00A74597" w:rsidRPr="00443B11" w:rsidRDefault="00A74597" w:rsidP="00FA2EA8">
            <w:pPr>
              <w:rPr>
                <w:szCs w:val="22"/>
              </w:rPr>
            </w:pPr>
            <w:r w:rsidRPr="00443B11">
              <w:rPr>
                <w:szCs w:val="22"/>
              </w:rPr>
              <w:t>Teisės akto projekte nustatytas baigtinis sąrašas motyvuotų atvejų, kai administracinė procedūra netaikoma</w:t>
            </w:r>
          </w:p>
        </w:tc>
        <w:tc>
          <w:tcPr>
            <w:tcW w:w="2444" w:type="dxa"/>
          </w:tcPr>
          <w:p w:rsidR="00A74597" w:rsidRPr="00994F6B" w:rsidRDefault="00A74597" w:rsidP="00FA2EA8">
            <w:pPr>
              <w:rPr>
                <w:sz w:val="16"/>
                <w:szCs w:val="16"/>
              </w:rPr>
            </w:pPr>
            <w:r>
              <w:rPr>
                <w:sz w:val="16"/>
                <w:szCs w:val="16"/>
              </w:rPr>
              <w:t>Nenustatytas</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12.</w:t>
            </w:r>
          </w:p>
        </w:tc>
        <w:tc>
          <w:tcPr>
            <w:tcW w:w="2629" w:type="dxa"/>
          </w:tcPr>
          <w:p w:rsidR="00A74597" w:rsidRPr="00443B11" w:rsidRDefault="00A74597" w:rsidP="00FA2EA8">
            <w:pPr>
              <w:rPr>
                <w:szCs w:val="22"/>
              </w:rPr>
            </w:pPr>
            <w:r w:rsidRPr="00443B11">
              <w:rPr>
                <w:szCs w:val="22"/>
              </w:rPr>
              <w:t>Teisės akto projektas nustato jo nuostatoms įgyvendinti numatytų administracinių procedūrų ir sprendimo priėmimo konkrečius terminus</w:t>
            </w:r>
          </w:p>
        </w:tc>
        <w:tc>
          <w:tcPr>
            <w:tcW w:w="2444" w:type="dxa"/>
          </w:tcPr>
          <w:p w:rsidR="00A74597" w:rsidRPr="00994F6B" w:rsidRDefault="00A74597" w:rsidP="00FA2EA8">
            <w:pPr>
              <w:rPr>
                <w:sz w:val="16"/>
                <w:szCs w:val="16"/>
              </w:rPr>
            </w:pPr>
            <w:r>
              <w:rPr>
                <w:sz w:val="16"/>
                <w:szCs w:val="16"/>
              </w:rPr>
              <w:t>Nenumato.</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13.</w:t>
            </w:r>
          </w:p>
        </w:tc>
        <w:tc>
          <w:tcPr>
            <w:tcW w:w="2629" w:type="dxa"/>
          </w:tcPr>
          <w:p w:rsidR="00A74597" w:rsidRPr="00443B11" w:rsidRDefault="00A74597" w:rsidP="00FA2EA8">
            <w:pPr>
              <w:rPr>
                <w:szCs w:val="22"/>
              </w:rPr>
            </w:pPr>
            <w:r w:rsidRPr="00443B11">
              <w:rPr>
                <w:szCs w:val="22"/>
              </w:rPr>
              <w:t>Teisės akto projektas nustato motyvuotas terminų sustabdymo ir pratęsimo galimybes</w:t>
            </w:r>
          </w:p>
        </w:tc>
        <w:tc>
          <w:tcPr>
            <w:tcW w:w="2444" w:type="dxa"/>
          </w:tcPr>
          <w:p w:rsidR="00A74597" w:rsidRPr="00994F6B" w:rsidRDefault="00A74597" w:rsidP="00FA2EA8">
            <w:pPr>
              <w:rPr>
                <w:sz w:val="16"/>
                <w:szCs w:val="16"/>
              </w:rPr>
            </w:pPr>
            <w:r>
              <w:rPr>
                <w:sz w:val="16"/>
                <w:szCs w:val="16"/>
              </w:rPr>
              <w:t>Galimas pagal LR vietos savivaldos įstatymo 18 str.1d.</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Pr>
                <w:szCs w:val="22"/>
              </w:rPr>
              <w:t xml:space="preserve"> </w:t>
            </w:r>
            <w:r w:rsidRPr="00443B11">
              <w:rPr>
                <w:szCs w:val="22"/>
              </w:rPr>
              <w:t>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14.</w:t>
            </w:r>
          </w:p>
        </w:tc>
        <w:tc>
          <w:tcPr>
            <w:tcW w:w="2629" w:type="dxa"/>
          </w:tcPr>
          <w:p w:rsidR="00A74597" w:rsidRPr="00443B11" w:rsidRDefault="00A74597" w:rsidP="00FA2EA8">
            <w:pPr>
              <w:rPr>
                <w:szCs w:val="22"/>
              </w:rPr>
            </w:pPr>
            <w:r w:rsidRPr="00443B11">
              <w:rPr>
                <w:szCs w:val="22"/>
              </w:rPr>
              <w:t>Teisės akto projektas nustato administracinių procedūrų viešinimo tvarką</w:t>
            </w:r>
          </w:p>
        </w:tc>
        <w:tc>
          <w:tcPr>
            <w:tcW w:w="2444" w:type="dxa"/>
          </w:tcPr>
          <w:p w:rsidR="00A74597" w:rsidRPr="00284F7E" w:rsidRDefault="00A74597" w:rsidP="00FA2EA8">
            <w:pPr>
              <w:rPr>
                <w:sz w:val="16"/>
                <w:szCs w:val="16"/>
              </w:rPr>
            </w:pPr>
            <w:r>
              <w:rPr>
                <w:sz w:val="16"/>
                <w:szCs w:val="16"/>
              </w:rPr>
              <w:t>LR teisėkūros pagrindų įstatyme.</w:t>
            </w:r>
          </w:p>
        </w:tc>
        <w:tc>
          <w:tcPr>
            <w:tcW w:w="2251" w:type="dxa"/>
          </w:tcPr>
          <w:p w:rsidR="00A74597" w:rsidRPr="00443B11" w:rsidRDefault="00A74597" w:rsidP="00FA2EA8">
            <w:pPr>
              <w:rPr>
                <w:b/>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15.</w:t>
            </w:r>
          </w:p>
        </w:tc>
        <w:tc>
          <w:tcPr>
            <w:tcW w:w="2629" w:type="dxa"/>
          </w:tcPr>
          <w:p w:rsidR="00A74597" w:rsidRPr="00443B11" w:rsidRDefault="00A74597" w:rsidP="00FA2EA8">
            <w:pPr>
              <w:rPr>
                <w:szCs w:val="22"/>
              </w:rPr>
            </w:pPr>
            <w:r w:rsidRPr="00443B11">
              <w:rPr>
                <w:szCs w:val="22"/>
              </w:rPr>
              <w:t>Teisės akto projektas nustato kontrolės (priežiūros) procedūrą ir aiškius jos atlikimo kriterijus (atvejus, dažnį, fiksavimą, kontrolės rezultatų viešinimą ir panašiai)</w:t>
            </w:r>
          </w:p>
        </w:tc>
        <w:tc>
          <w:tcPr>
            <w:tcW w:w="2444" w:type="dxa"/>
          </w:tcPr>
          <w:p w:rsidR="00A74597" w:rsidRPr="00994F6B" w:rsidRDefault="00A74597" w:rsidP="00FA2EA8">
            <w:pPr>
              <w:rPr>
                <w:sz w:val="16"/>
                <w:szCs w:val="16"/>
              </w:rPr>
            </w:pPr>
            <w:r>
              <w:rPr>
                <w:sz w:val="16"/>
                <w:szCs w:val="16"/>
              </w:rPr>
              <w:t>Nenumato</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16.</w:t>
            </w:r>
          </w:p>
        </w:tc>
        <w:tc>
          <w:tcPr>
            <w:tcW w:w="2629" w:type="dxa"/>
          </w:tcPr>
          <w:p w:rsidR="00A74597" w:rsidRPr="00443B11" w:rsidRDefault="00A74597" w:rsidP="00FA2EA8">
            <w:pPr>
              <w:rPr>
                <w:szCs w:val="22"/>
              </w:rPr>
            </w:pPr>
            <w:r w:rsidRPr="00443B11">
              <w:rPr>
                <w:szCs w:val="22"/>
              </w:rPr>
              <w:t>Teisės akto projekte nustatytos kontrolės (priežiūros) skaidrumo ir objektyvumo užtikrinimo priemonės</w:t>
            </w:r>
            <w:r w:rsidRPr="00443B11">
              <w:rPr>
                <w:rStyle w:val="FootnoteReference"/>
                <w:rFonts w:ascii="Arial" w:hAnsi="Arial" w:cs="Arial"/>
                <w:szCs w:val="22"/>
              </w:rPr>
              <w:footnoteReference w:id="4"/>
            </w:r>
          </w:p>
        </w:tc>
        <w:tc>
          <w:tcPr>
            <w:tcW w:w="2444" w:type="dxa"/>
          </w:tcPr>
          <w:p w:rsidR="00A74597" w:rsidRPr="00994F6B" w:rsidRDefault="00A74597" w:rsidP="00FA2EA8">
            <w:pPr>
              <w:rPr>
                <w:sz w:val="16"/>
                <w:szCs w:val="16"/>
              </w:rPr>
            </w:pPr>
            <w:r>
              <w:rPr>
                <w:sz w:val="16"/>
                <w:szCs w:val="16"/>
              </w:rPr>
              <w:t>LR Vidaus kontrolės ir vidaus audito įstatymas.</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17.</w:t>
            </w:r>
          </w:p>
        </w:tc>
        <w:tc>
          <w:tcPr>
            <w:tcW w:w="2629" w:type="dxa"/>
          </w:tcPr>
          <w:p w:rsidR="00A74597" w:rsidRPr="00443B11" w:rsidRDefault="00A74597" w:rsidP="00FA2EA8">
            <w:pPr>
              <w:rPr>
                <w:szCs w:val="22"/>
              </w:rPr>
            </w:pPr>
            <w:r w:rsidRPr="00443B11">
              <w:rPr>
                <w:szCs w:val="22"/>
              </w:rPr>
              <w:t>Teisės akto projekte nustatyta subjektų, su kuriais susijęs teisės akto projekto nuostatų įgyvendinimas, atsakomybės rūšis (tarnybinė, administracinė, baudžiamoji ir panašiai)</w:t>
            </w:r>
          </w:p>
        </w:tc>
        <w:tc>
          <w:tcPr>
            <w:tcW w:w="2444" w:type="dxa"/>
          </w:tcPr>
          <w:p w:rsidR="00A74597" w:rsidRPr="00284F7E" w:rsidRDefault="00A74597" w:rsidP="00FA2EA8">
            <w:pPr>
              <w:rPr>
                <w:sz w:val="16"/>
                <w:szCs w:val="16"/>
              </w:rPr>
            </w:pPr>
            <w:r>
              <w:rPr>
                <w:sz w:val="16"/>
                <w:szCs w:val="16"/>
              </w:rPr>
              <w:t>Nenustatyta šiame teisės akto projekte.</w:t>
            </w:r>
          </w:p>
        </w:tc>
        <w:tc>
          <w:tcPr>
            <w:tcW w:w="2251" w:type="dxa"/>
          </w:tcPr>
          <w:p w:rsidR="00A74597" w:rsidRPr="00443B11" w:rsidRDefault="00A74597" w:rsidP="00FA2EA8">
            <w:pPr>
              <w:rPr>
                <w:b/>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18.</w:t>
            </w:r>
          </w:p>
        </w:tc>
        <w:tc>
          <w:tcPr>
            <w:tcW w:w="2629" w:type="dxa"/>
          </w:tcPr>
          <w:p w:rsidR="00A74597" w:rsidRPr="00443B11" w:rsidRDefault="00A74597" w:rsidP="00FA2EA8">
            <w:pPr>
              <w:rPr>
                <w:szCs w:val="22"/>
              </w:rPr>
            </w:pPr>
            <w:r w:rsidRPr="00443B11">
              <w:rPr>
                <w:szCs w:val="22"/>
              </w:rPr>
              <w:t>Teisės aktų projekte numatytas baigtinis sąrašas kriterijų, pagal kuriuos skiriama nuobauda (sankcija) už teisės akto projekte nustatytų nurodymų nevykdymą, ir nustatyta aiški jos skyrimo procedūra</w:t>
            </w:r>
          </w:p>
        </w:tc>
        <w:tc>
          <w:tcPr>
            <w:tcW w:w="2444" w:type="dxa"/>
          </w:tcPr>
          <w:p w:rsidR="00A74597" w:rsidRPr="00994F6B" w:rsidRDefault="00A74597" w:rsidP="00FA2EA8">
            <w:pPr>
              <w:rPr>
                <w:sz w:val="16"/>
                <w:szCs w:val="16"/>
              </w:rPr>
            </w:pPr>
            <w:r>
              <w:rPr>
                <w:sz w:val="16"/>
                <w:szCs w:val="16"/>
              </w:rPr>
              <w:t>Šiam teisės akto projektui netaikytinas</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r w:rsidR="00A74597" w:rsidRPr="00443B11">
        <w:trPr>
          <w:trHeight w:val="23"/>
          <w:tblHeader/>
        </w:trPr>
        <w:tc>
          <w:tcPr>
            <w:tcW w:w="571" w:type="dxa"/>
          </w:tcPr>
          <w:p w:rsidR="00A74597" w:rsidRPr="00443B11" w:rsidRDefault="00A74597" w:rsidP="00FA2EA8">
            <w:pPr>
              <w:jc w:val="center"/>
              <w:rPr>
                <w:szCs w:val="22"/>
              </w:rPr>
            </w:pPr>
            <w:r w:rsidRPr="00443B11">
              <w:rPr>
                <w:szCs w:val="22"/>
              </w:rPr>
              <w:t>19.</w:t>
            </w:r>
          </w:p>
        </w:tc>
        <w:tc>
          <w:tcPr>
            <w:tcW w:w="2629" w:type="dxa"/>
          </w:tcPr>
          <w:p w:rsidR="00A74597" w:rsidRPr="00443B11" w:rsidRDefault="00A74597" w:rsidP="00FA2EA8">
            <w:pPr>
              <w:rPr>
                <w:szCs w:val="22"/>
              </w:rPr>
            </w:pPr>
            <w:r w:rsidRPr="00443B11">
              <w:rPr>
                <w:szCs w:val="22"/>
              </w:rPr>
              <w:t>Kiti svarbūs kriterijai</w:t>
            </w:r>
          </w:p>
        </w:tc>
        <w:tc>
          <w:tcPr>
            <w:tcW w:w="2444" w:type="dxa"/>
          </w:tcPr>
          <w:p w:rsidR="00A74597" w:rsidRPr="00994F6B" w:rsidRDefault="00A74597" w:rsidP="00FA2EA8">
            <w:pPr>
              <w:rPr>
                <w:sz w:val="16"/>
                <w:szCs w:val="16"/>
              </w:rPr>
            </w:pPr>
            <w:r>
              <w:rPr>
                <w:sz w:val="16"/>
                <w:szCs w:val="16"/>
              </w:rPr>
              <w:t>Nėra</w:t>
            </w:r>
          </w:p>
        </w:tc>
        <w:tc>
          <w:tcPr>
            <w:tcW w:w="2251" w:type="dxa"/>
          </w:tcPr>
          <w:p w:rsidR="00A74597" w:rsidRPr="00443B11" w:rsidRDefault="00A74597" w:rsidP="00FA2EA8">
            <w:pPr>
              <w:rPr>
                <w:szCs w:val="22"/>
              </w:rPr>
            </w:pPr>
          </w:p>
        </w:tc>
        <w:tc>
          <w:tcPr>
            <w:tcW w:w="1852" w:type="dxa"/>
          </w:tcPr>
          <w:p w:rsidR="00A74597" w:rsidRPr="00443B11" w:rsidRDefault="00A74597" w:rsidP="00FA2EA8">
            <w:pPr>
              <w:rPr>
                <w:szCs w:val="22"/>
              </w:rPr>
            </w:pPr>
            <w:r w:rsidRPr="00141C37">
              <w:rPr>
                <w:sz w:val="28"/>
                <w:szCs w:val="28"/>
              </w:rPr>
              <w:t>□</w:t>
            </w:r>
            <w:r w:rsidRPr="00443B11">
              <w:rPr>
                <w:szCs w:val="22"/>
              </w:rPr>
              <w:t xml:space="preserve"> tenkina</w:t>
            </w:r>
          </w:p>
          <w:p w:rsidR="00A74597" w:rsidRPr="00443B11" w:rsidRDefault="00A74597" w:rsidP="00FA2EA8">
            <w:pPr>
              <w:rPr>
                <w:szCs w:val="22"/>
              </w:rPr>
            </w:pPr>
            <w:r w:rsidRPr="00141C37">
              <w:rPr>
                <w:sz w:val="28"/>
                <w:szCs w:val="28"/>
              </w:rPr>
              <w:t>□</w:t>
            </w:r>
            <w:r w:rsidRPr="00443B11">
              <w:rPr>
                <w:szCs w:val="22"/>
              </w:rPr>
              <w:t xml:space="preserve"> netenkina</w:t>
            </w:r>
          </w:p>
        </w:tc>
      </w:tr>
    </w:tbl>
    <w:p w:rsidR="00A74597" w:rsidRPr="00443B11" w:rsidRDefault="00A74597" w:rsidP="008B0B32">
      <w:pPr>
        <w:pStyle w:val="Header"/>
        <w:tabs>
          <w:tab w:val="clear" w:pos="4153"/>
          <w:tab w:val="left" w:pos="6237"/>
        </w:tabs>
        <w:rPr>
          <w:color w:val="000000"/>
        </w:rPr>
      </w:pPr>
    </w:p>
    <w:tbl>
      <w:tblPr>
        <w:tblW w:w="9637" w:type="dxa"/>
        <w:tblLayout w:type="fixed"/>
        <w:tblCellMar>
          <w:left w:w="0" w:type="dxa"/>
          <w:right w:w="0" w:type="dxa"/>
        </w:tblCellMar>
        <w:tblLook w:val="00A0"/>
      </w:tblPr>
      <w:tblGrid>
        <w:gridCol w:w="1863"/>
        <w:gridCol w:w="2927"/>
        <w:gridCol w:w="1854"/>
        <w:gridCol w:w="2993"/>
      </w:tblGrid>
      <w:tr w:rsidR="00A74597" w:rsidRPr="00443B11">
        <w:trPr>
          <w:trHeight w:val="23"/>
        </w:trPr>
        <w:tc>
          <w:tcPr>
            <w:tcW w:w="1885" w:type="dxa"/>
          </w:tcPr>
          <w:p w:rsidR="00A74597" w:rsidRPr="00443B11" w:rsidRDefault="00A74597" w:rsidP="00FA2EA8">
            <w:pPr>
              <w:rPr>
                <w:szCs w:val="22"/>
              </w:rPr>
            </w:pPr>
            <w:r w:rsidRPr="00443B11">
              <w:rPr>
                <w:szCs w:val="22"/>
              </w:rPr>
              <w:t>Teisės akto projekto tiesioginis rengėjas:</w:t>
            </w:r>
          </w:p>
        </w:tc>
        <w:tc>
          <w:tcPr>
            <w:tcW w:w="2960" w:type="dxa"/>
            <w:tcBorders>
              <w:top w:val="nil"/>
              <w:left w:val="nil"/>
              <w:bottom w:val="single" w:sz="4" w:space="0" w:color="auto"/>
              <w:right w:val="nil"/>
            </w:tcBorders>
          </w:tcPr>
          <w:p w:rsidR="00A74597" w:rsidRPr="00443B11" w:rsidRDefault="00A74597" w:rsidP="00FA2EA8">
            <w:pPr>
              <w:rPr>
                <w:szCs w:val="22"/>
              </w:rPr>
            </w:pPr>
            <w:r>
              <w:t>Administracijos Finansų skyriaus vedėja</w:t>
            </w:r>
          </w:p>
          <w:p w:rsidR="00A74597" w:rsidRPr="00443B11" w:rsidRDefault="00A74597" w:rsidP="00FA2EA8">
            <w:pPr>
              <w:rPr>
                <w:szCs w:val="22"/>
              </w:rPr>
            </w:pPr>
            <w:r>
              <w:rPr>
                <w:szCs w:val="22"/>
              </w:rPr>
              <w:t>Rūta Fridrikienė</w:t>
            </w:r>
          </w:p>
        </w:tc>
        <w:tc>
          <w:tcPr>
            <w:tcW w:w="1875" w:type="dxa"/>
          </w:tcPr>
          <w:p w:rsidR="00A74597" w:rsidRPr="00443B11" w:rsidRDefault="00A74597" w:rsidP="00FA2EA8">
            <w:pPr>
              <w:rPr>
                <w:szCs w:val="22"/>
              </w:rPr>
            </w:pPr>
            <w:r w:rsidRPr="00443B11">
              <w:rPr>
                <w:szCs w:val="22"/>
              </w:rPr>
              <w:t>Teisės akto projekto vertintojas:</w:t>
            </w:r>
          </w:p>
        </w:tc>
        <w:tc>
          <w:tcPr>
            <w:tcW w:w="3027" w:type="dxa"/>
            <w:tcBorders>
              <w:top w:val="nil"/>
              <w:left w:val="nil"/>
              <w:bottom w:val="single" w:sz="4" w:space="0" w:color="auto"/>
              <w:right w:val="nil"/>
            </w:tcBorders>
          </w:tcPr>
          <w:p w:rsidR="00A74597" w:rsidRPr="00443B11" w:rsidRDefault="00A74597" w:rsidP="00FA2EA8">
            <w:pPr>
              <w:rPr>
                <w:szCs w:val="22"/>
              </w:rPr>
            </w:pPr>
            <w:r>
              <w:t>Administracijos Bendrojo ir juridinio skyriaus vyr. specialistė</w:t>
            </w:r>
            <w:r>
              <w:rPr>
                <w:szCs w:val="22"/>
              </w:rPr>
              <w:t xml:space="preserve"> Adelija Truškauskienė</w:t>
            </w:r>
          </w:p>
        </w:tc>
      </w:tr>
      <w:tr w:rsidR="00A74597" w:rsidRPr="00443B11">
        <w:trPr>
          <w:trHeight w:val="23"/>
        </w:trPr>
        <w:tc>
          <w:tcPr>
            <w:tcW w:w="1885" w:type="dxa"/>
          </w:tcPr>
          <w:p w:rsidR="00A74597" w:rsidRPr="00443B11" w:rsidRDefault="00A74597" w:rsidP="00FA2EA8">
            <w:pPr>
              <w:rPr>
                <w:szCs w:val="22"/>
              </w:rPr>
            </w:pPr>
          </w:p>
        </w:tc>
        <w:tc>
          <w:tcPr>
            <w:tcW w:w="2960" w:type="dxa"/>
            <w:tcBorders>
              <w:top w:val="single" w:sz="4" w:space="0" w:color="auto"/>
              <w:left w:val="nil"/>
              <w:bottom w:val="nil"/>
              <w:right w:val="nil"/>
            </w:tcBorders>
          </w:tcPr>
          <w:p w:rsidR="00A74597" w:rsidRPr="00443B11" w:rsidRDefault="00A74597" w:rsidP="00FA2EA8">
            <w:pPr>
              <w:ind w:left="-11"/>
              <w:rPr>
                <w:szCs w:val="22"/>
              </w:rPr>
            </w:pPr>
            <w:r w:rsidRPr="00443B11">
              <w:rPr>
                <w:szCs w:val="22"/>
              </w:rPr>
              <w:t>(pareigos)</w:t>
            </w:r>
            <w:r>
              <w:rPr>
                <w:szCs w:val="22"/>
              </w:rPr>
              <w:t xml:space="preserve"> </w:t>
            </w:r>
            <w:r w:rsidRPr="00443B11">
              <w:rPr>
                <w:szCs w:val="22"/>
              </w:rPr>
              <w:t>(vardas ir pavardė)</w:t>
            </w:r>
          </w:p>
        </w:tc>
        <w:tc>
          <w:tcPr>
            <w:tcW w:w="1875" w:type="dxa"/>
          </w:tcPr>
          <w:p w:rsidR="00A74597" w:rsidRPr="00443B11" w:rsidRDefault="00A74597" w:rsidP="00FA2EA8">
            <w:pPr>
              <w:rPr>
                <w:szCs w:val="22"/>
              </w:rPr>
            </w:pPr>
          </w:p>
        </w:tc>
        <w:tc>
          <w:tcPr>
            <w:tcW w:w="3027" w:type="dxa"/>
            <w:tcBorders>
              <w:top w:val="single" w:sz="4" w:space="0" w:color="auto"/>
              <w:left w:val="nil"/>
              <w:bottom w:val="nil"/>
              <w:right w:val="nil"/>
            </w:tcBorders>
          </w:tcPr>
          <w:p w:rsidR="00A74597" w:rsidRPr="00443B11" w:rsidRDefault="00A74597" w:rsidP="00FA2EA8">
            <w:pPr>
              <w:ind w:left="-11"/>
              <w:rPr>
                <w:szCs w:val="22"/>
              </w:rPr>
            </w:pPr>
            <w:r w:rsidRPr="00443B11">
              <w:rPr>
                <w:szCs w:val="22"/>
              </w:rPr>
              <w:t>(pareigos)</w:t>
            </w:r>
            <w:r>
              <w:rPr>
                <w:szCs w:val="22"/>
              </w:rPr>
              <w:t xml:space="preserve"> </w:t>
            </w:r>
            <w:r w:rsidRPr="00443B11">
              <w:rPr>
                <w:szCs w:val="22"/>
              </w:rPr>
              <w:t>(vardas ir pavardė)</w:t>
            </w:r>
          </w:p>
        </w:tc>
      </w:tr>
      <w:tr w:rsidR="00A74597" w:rsidRPr="00443B11">
        <w:trPr>
          <w:trHeight w:val="23"/>
        </w:trPr>
        <w:tc>
          <w:tcPr>
            <w:tcW w:w="1885" w:type="dxa"/>
          </w:tcPr>
          <w:p w:rsidR="00A74597" w:rsidRPr="00443B11" w:rsidRDefault="00A74597" w:rsidP="00FA2EA8">
            <w:pPr>
              <w:rPr>
                <w:szCs w:val="22"/>
              </w:rPr>
            </w:pPr>
          </w:p>
        </w:tc>
        <w:tc>
          <w:tcPr>
            <w:tcW w:w="2960" w:type="dxa"/>
            <w:tcBorders>
              <w:top w:val="nil"/>
              <w:left w:val="nil"/>
              <w:bottom w:val="single" w:sz="4" w:space="0" w:color="auto"/>
              <w:right w:val="nil"/>
            </w:tcBorders>
          </w:tcPr>
          <w:p w:rsidR="00A74597" w:rsidRPr="00443B11" w:rsidRDefault="00A74597" w:rsidP="00FA2EA8">
            <w:pPr>
              <w:rPr>
                <w:szCs w:val="22"/>
              </w:rPr>
            </w:pPr>
          </w:p>
        </w:tc>
        <w:tc>
          <w:tcPr>
            <w:tcW w:w="1875" w:type="dxa"/>
          </w:tcPr>
          <w:p w:rsidR="00A74597" w:rsidRPr="00443B11" w:rsidRDefault="00A74597" w:rsidP="00FA2EA8">
            <w:pPr>
              <w:rPr>
                <w:szCs w:val="22"/>
              </w:rPr>
            </w:pPr>
          </w:p>
        </w:tc>
        <w:tc>
          <w:tcPr>
            <w:tcW w:w="3027" w:type="dxa"/>
            <w:tcBorders>
              <w:top w:val="nil"/>
              <w:left w:val="nil"/>
              <w:bottom w:val="single" w:sz="4" w:space="0" w:color="auto"/>
              <w:right w:val="nil"/>
            </w:tcBorders>
          </w:tcPr>
          <w:p w:rsidR="00A74597" w:rsidRPr="00443B11" w:rsidRDefault="00A74597" w:rsidP="00FA2EA8">
            <w:pPr>
              <w:ind w:left="-11"/>
              <w:rPr>
                <w:szCs w:val="22"/>
              </w:rPr>
            </w:pPr>
          </w:p>
        </w:tc>
      </w:tr>
      <w:tr w:rsidR="00A74597" w:rsidRPr="00443B11">
        <w:trPr>
          <w:trHeight w:val="23"/>
        </w:trPr>
        <w:tc>
          <w:tcPr>
            <w:tcW w:w="1885" w:type="dxa"/>
          </w:tcPr>
          <w:p w:rsidR="00A74597" w:rsidRPr="00443B11" w:rsidRDefault="00A74597" w:rsidP="00FA2EA8">
            <w:pPr>
              <w:rPr>
                <w:szCs w:val="22"/>
              </w:rPr>
            </w:pPr>
          </w:p>
        </w:tc>
        <w:tc>
          <w:tcPr>
            <w:tcW w:w="2960" w:type="dxa"/>
          </w:tcPr>
          <w:p w:rsidR="00A74597" w:rsidRPr="00443B11" w:rsidRDefault="00A74597" w:rsidP="00FA2EA8">
            <w:pPr>
              <w:ind w:left="-11"/>
              <w:rPr>
                <w:szCs w:val="22"/>
              </w:rPr>
            </w:pPr>
            <w:r w:rsidRPr="00443B11">
              <w:rPr>
                <w:szCs w:val="22"/>
              </w:rPr>
              <w:t>(parašas)</w:t>
            </w:r>
            <w:r>
              <w:rPr>
                <w:szCs w:val="22"/>
              </w:rPr>
              <w:t xml:space="preserve"> </w:t>
            </w:r>
            <w:r w:rsidRPr="00443B11">
              <w:rPr>
                <w:szCs w:val="22"/>
              </w:rPr>
              <w:t>(data)</w:t>
            </w:r>
          </w:p>
        </w:tc>
        <w:tc>
          <w:tcPr>
            <w:tcW w:w="1875" w:type="dxa"/>
          </w:tcPr>
          <w:p w:rsidR="00A74597" w:rsidRPr="00443B11" w:rsidRDefault="00A74597" w:rsidP="00FA2EA8">
            <w:pPr>
              <w:rPr>
                <w:szCs w:val="22"/>
              </w:rPr>
            </w:pPr>
          </w:p>
        </w:tc>
        <w:tc>
          <w:tcPr>
            <w:tcW w:w="3027" w:type="dxa"/>
            <w:tcBorders>
              <w:top w:val="single" w:sz="4" w:space="0" w:color="auto"/>
              <w:left w:val="nil"/>
              <w:bottom w:val="nil"/>
              <w:right w:val="nil"/>
            </w:tcBorders>
          </w:tcPr>
          <w:p w:rsidR="00A74597" w:rsidRPr="00443B11" w:rsidRDefault="00A74597" w:rsidP="00FA2EA8">
            <w:pPr>
              <w:ind w:left="-11"/>
              <w:rPr>
                <w:szCs w:val="22"/>
              </w:rPr>
            </w:pPr>
            <w:r w:rsidRPr="00443B11">
              <w:rPr>
                <w:szCs w:val="22"/>
              </w:rPr>
              <w:t xml:space="preserve"> (parašas)</w:t>
            </w:r>
            <w:r>
              <w:rPr>
                <w:szCs w:val="22"/>
              </w:rPr>
              <w:t xml:space="preserve"> </w:t>
            </w:r>
            <w:r w:rsidRPr="00443B11">
              <w:rPr>
                <w:szCs w:val="22"/>
              </w:rPr>
              <w:t>(data)</w:t>
            </w:r>
          </w:p>
        </w:tc>
      </w:tr>
    </w:tbl>
    <w:p w:rsidR="00A74597" w:rsidRPr="008B0B32" w:rsidRDefault="00A74597" w:rsidP="00D567FD">
      <w:pPr>
        <w:tabs>
          <w:tab w:val="left" w:pos="6237"/>
          <w:tab w:val="right" w:pos="8306"/>
        </w:tabs>
        <w:jc w:val="center"/>
        <w:rPr>
          <w:lang w:eastAsia="lt-LT"/>
        </w:rPr>
      </w:pPr>
      <w:r>
        <w:rPr>
          <w:lang w:eastAsia="lt-LT"/>
        </w:rPr>
        <w:t>______________</w:t>
      </w:r>
    </w:p>
    <w:sectPr w:rsidR="00A74597" w:rsidRPr="008B0B32" w:rsidSect="008B0B32">
      <w:pgSz w:w="11907" w:h="16840"/>
      <w:pgMar w:top="851" w:right="567" w:bottom="1418"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97" w:rsidRDefault="00A74597">
      <w:r>
        <w:separator/>
      </w:r>
    </w:p>
  </w:endnote>
  <w:endnote w:type="continuationSeparator" w:id="1">
    <w:p w:rsidR="00A74597" w:rsidRDefault="00A7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97" w:rsidRDefault="00A74597">
      <w:r>
        <w:separator/>
      </w:r>
    </w:p>
  </w:footnote>
  <w:footnote w:type="continuationSeparator" w:id="1">
    <w:p w:rsidR="00A74597" w:rsidRDefault="00A74597">
      <w:r>
        <w:continuationSeparator/>
      </w:r>
    </w:p>
  </w:footnote>
  <w:footnote w:id="2">
    <w:p w:rsidR="00A74597" w:rsidRDefault="00A74597" w:rsidP="008B0B32">
      <w:pPr>
        <w:pStyle w:val="FootnoteText"/>
        <w:jc w:val="both"/>
      </w:pPr>
      <w:r>
        <w:rPr>
          <w:rStyle w:val="FootnoteReference"/>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3">
    <w:p w:rsidR="00A74597" w:rsidRDefault="00A74597" w:rsidP="008B0B32">
      <w:pPr>
        <w:pStyle w:val="FootnoteText"/>
        <w:jc w:val="both"/>
      </w:pPr>
      <w:r>
        <w:rPr>
          <w:rStyle w:val="FootnoteReference"/>
        </w:rPr>
        <w:footnoteRef/>
      </w:r>
      <w:r>
        <w:t xml:space="preserve"> Tas pat.</w:t>
      </w:r>
    </w:p>
  </w:footnote>
  <w:footnote w:id="4">
    <w:p w:rsidR="00A74597" w:rsidRDefault="00A74597" w:rsidP="008B0B32">
      <w:pPr>
        <w:pStyle w:val="FootnoteText"/>
        <w:jc w:val="both"/>
      </w:pPr>
      <w:r>
        <w:rPr>
          <w:rStyle w:val="FootnoteReference"/>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F50"/>
    <w:multiLevelType w:val="hybridMultilevel"/>
    <w:tmpl w:val="42066D76"/>
    <w:lvl w:ilvl="0" w:tplc="BB7AB0DA">
      <w:start w:val="1"/>
      <w:numFmt w:val="decimal"/>
      <w:lvlText w:val="%1."/>
      <w:lvlJc w:val="left"/>
      <w:pPr>
        <w:tabs>
          <w:tab w:val="num" w:pos="1495"/>
        </w:tabs>
        <w:ind w:left="1495"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
    <w:nsid w:val="2110092D"/>
    <w:multiLevelType w:val="hybridMultilevel"/>
    <w:tmpl w:val="8E827DFA"/>
    <w:lvl w:ilvl="0" w:tplc="DAFEC60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3FA7467"/>
    <w:multiLevelType w:val="hybridMultilevel"/>
    <w:tmpl w:val="61A67932"/>
    <w:lvl w:ilvl="0" w:tplc="B5226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94F733A"/>
    <w:multiLevelType w:val="hybridMultilevel"/>
    <w:tmpl w:val="A704C496"/>
    <w:lvl w:ilvl="0" w:tplc="28965ABE">
      <w:start w:val="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EA790B"/>
    <w:multiLevelType w:val="hybridMultilevel"/>
    <w:tmpl w:val="AAE6B7AC"/>
    <w:lvl w:ilvl="0" w:tplc="56FC747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nsid w:val="40AD6C54"/>
    <w:multiLevelType w:val="hybridMultilevel"/>
    <w:tmpl w:val="5A421BDE"/>
    <w:lvl w:ilvl="0" w:tplc="715A0C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8842467"/>
    <w:multiLevelType w:val="hybridMultilevel"/>
    <w:tmpl w:val="103C25E6"/>
    <w:lvl w:ilvl="0" w:tplc="954CFBAE">
      <w:numFmt w:val="bullet"/>
      <w:lvlText w:val="-"/>
      <w:lvlJc w:val="left"/>
      <w:pPr>
        <w:tabs>
          <w:tab w:val="num" w:pos="1620"/>
        </w:tabs>
        <w:ind w:left="1620" w:hanging="360"/>
      </w:pPr>
      <w:rPr>
        <w:rFonts w:ascii="Times New Roman" w:eastAsia="Times New Roman" w:hAnsi="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5F0E6CFB"/>
    <w:multiLevelType w:val="hybridMultilevel"/>
    <w:tmpl w:val="8C1A2DAE"/>
    <w:lvl w:ilvl="0" w:tplc="C2CA6546">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9">
    <w:nsid w:val="6AA222F2"/>
    <w:multiLevelType w:val="hybridMultilevel"/>
    <w:tmpl w:val="289C6006"/>
    <w:lvl w:ilvl="0" w:tplc="5D88936C">
      <w:start w:val="6"/>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0">
    <w:nsid w:val="7BC62D90"/>
    <w:multiLevelType w:val="hybridMultilevel"/>
    <w:tmpl w:val="BA4C8D4E"/>
    <w:lvl w:ilvl="0" w:tplc="CB6468C8">
      <w:start w:val="12"/>
      <w:numFmt w:val="decimal"/>
      <w:lvlText w:val="%1."/>
      <w:lvlJc w:val="left"/>
      <w:pPr>
        <w:tabs>
          <w:tab w:val="num" w:pos="900"/>
        </w:tabs>
        <w:ind w:left="900" w:hanging="360"/>
      </w:pPr>
      <w:rPr>
        <w:rFonts w:cs="Times New Roman" w:hint="default"/>
      </w:rPr>
    </w:lvl>
    <w:lvl w:ilvl="1" w:tplc="59FA5B18">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6"/>
  </w:num>
  <w:num w:numId="3">
    <w:abstractNumId w:val="1"/>
  </w:num>
  <w:num w:numId="4">
    <w:abstractNumId w:val="9"/>
  </w:num>
  <w:num w:numId="5">
    <w:abstractNumId w:val="5"/>
  </w:num>
  <w:num w:numId="6">
    <w:abstractNumId w:val="10"/>
  </w:num>
  <w:num w:numId="7">
    <w:abstractNumId w:val="7"/>
  </w:num>
  <w:num w:numId="8">
    <w:abstractNumId w:val="4"/>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91D"/>
    <w:rsid w:val="00005231"/>
    <w:rsid w:val="00022AB1"/>
    <w:rsid w:val="00023FA9"/>
    <w:rsid w:val="00035117"/>
    <w:rsid w:val="00081526"/>
    <w:rsid w:val="00081552"/>
    <w:rsid w:val="000D074E"/>
    <w:rsid w:val="000D4954"/>
    <w:rsid w:val="001163FE"/>
    <w:rsid w:val="0013569A"/>
    <w:rsid w:val="00141C37"/>
    <w:rsid w:val="00146A99"/>
    <w:rsid w:val="00154F64"/>
    <w:rsid w:val="00181924"/>
    <w:rsid w:val="00192729"/>
    <w:rsid w:val="001A4EAF"/>
    <w:rsid w:val="001B6985"/>
    <w:rsid w:val="001F1E76"/>
    <w:rsid w:val="00212361"/>
    <w:rsid w:val="00231994"/>
    <w:rsid w:val="00237AE3"/>
    <w:rsid w:val="00284F7E"/>
    <w:rsid w:val="002E71B7"/>
    <w:rsid w:val="002F34F7"/>
    <w:rsid w:val="0033053C"/>
    <w:rsid w:val="00380D36"/>
    <w:rsid w:val="003877A0"/>
    <w:rsid w:val="00391403"/>
    <w:rsid w:val="003946CF"/>
    <w:rsid w:val="00396F25"/>
    <w:rsid w:val="00396F5F"/>
    <w:rsid w:val="00443B11"/>
    <w:rsid w:val="00451A3F"/>
    <w:rsid w:val="00466A78"/>
    <w:rsid w:val="004718EC"/>
    <w:rsid w:val="004A2366"/>
    <w:rsid w:val="004A67A8"/>
    <w:rsid w:val="004C0AD2"/>
    <w:rsid w:val="004C1897"/>
    <w:rsid w:val="004D77FC"/>
    <w:rsid w:val="00507691"/>
    <w:rsid w:val="00512F36"/>
    <w:rsid w:val="00564B2A"/>
    <w:rsid w:val="0057646E"/>
    <w:rsid w:val="005A491A"/>
    <w:rsid w:val="005F146A"/>
    <w:rsid w:val="006025EC"/>
    <w:rsid w:val="00602D8B"/>
    <w:rsid w:val="00693160"/>
    <w:rsid w:val="006B47A7"/>
    <w:rsid w:val="006C1D09"/>
    <w:rsid w:val="006C391D"/>
    <w:rsid w:val="006C6D2A"/>
    <w:rsid w:val="006D6085"/>
    <w:rsid w:val="006E4B7B"/>
    <w:rsid w:val="00700A59"/>
    <w:rsid w:val="00745C93"/>
    <w:rsid w:val="007641E2"/>
    <w:rsid w:val="007B7B78"/>
    <w:rsid w:val="007D0972"/>
    <w:rsid w:val="007F48A4"/>
    <w:rsid w:val="008B0B32"/>
    <w:rsid w:val="008F528A"/>
    <w:rsid w:val="00932CD4"/>
    <w:rsid w:val="00936113"/>
    <w:rsid w:val="009453B0"/>
    <w:rsid w:val="00994F6B"/>
    <w:rsid w:val="009D1A6D"/>
    <w:rsid w:val="00A15C59"/>
    <w:rsid w:val="00A3690A"/>
    <w:rsid w:val="00A74597"/>
    <w:rsid w:val="00A947D0"/>
    <w:rsid w:val="00AE13BC"/>
    <w:rsid w:val="00AE3E29"/>
    <w:rsid w:val="00B062A5"/>
    <w:rsid w:val="00B546A1"/>
    <w:rsid w:val="00B56E6B"/>
    <w:rsid w:val="00BA2A60"/>
    <w:rsid w:val="00BB24FC"/>
    <w:rsid w:val="00BF331E"/>
    <w:rsid w:val="00C04BD6"/>
    <w:rsid w:val="00C04ED8"/>
    <w:rsid w:val="00C11A49"/>
    <w:rsid w:val="00C21311"/>
    <w:rsid w:val="00C34AE7"/>
    <w:rsid w:val="00C608F9"/>
    <w:rsid w:val="00C66EF2"/>
    <w:rsid w:val="00CB28D1"/>
    <w:rsid w:val="00CF71EB"/>
    <w:rsid w:val="00D34A0A"/>
    <w:rsid w:val="00D354D5"/>
    <w:rsid w:val="00D35DEC"/>
    <w:rsid w:val="00D42521"/>
    <w:rsid w:val="00D567FD"/>
    <w:rsid w:val="00D6450E"/>
    <w:rsid w:val="00E142D6"/>
    <w:rsid w:val="00E20019"/>
    <w:rsid w:val="00E31A88"/>
    <w:rsid w:val="00E91115"/>
    <w:rsid w:val="00EB65CA"/>
    <w:rsid w:val="00EB7DAB"/>
    <w:rsid w:val="00F00B0D"/>
    <w:rsid w:val="00F1548F"/>
    <w:rsid w:val="00F25414"/>
    <w:rsid w:val="00F25D87"/>
    <w:rsid w:val="00F42CDA"/>
    <w:rsid w:val="00F5300A"/>
    <w:rsid w:val="00F67A66"/>
    <w:rsid w:val="00FA2EA8"/>
    <w:rsid w:val="00FC213C"/>
    <w:rsid w:val="00FC656B"/>
    <w:rsid w:val="00FD36E1"/>
    <w:rsid w:val="00FE690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
    <w:qFormat/>
    <w:pPr>
      <w:keepNext/>
      <w:spacing w:before="120"/>
      <w:jc w:val="center"/>
      <w:outlineLvl w:val="1"/>
    </w:pPr>
    <w:rPr>
      <w:b/>
      <w:bCs/>
      <w:caps/>
      <w:color w:val="00000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84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40841"/>
    <w:rPr>
      <w:rFonts w:asciiTheme="majorHAnsi" w:eastAsiaTheme="majorEastAsia" w:hAnsiTheme="majorHAnsi" w:cstheme="majorBidi"/>
      <w:b/>
      <w:bCs/>
      <w:i/>
      <w:iCs/>
      <w:sz w:val="28"/>
      <w:szCs w:val="28"/>
      <w:lang w:eastAsia="en-US"/>
    </w:rPr>
  </w:style>
  <w:style w:type="paragraph" w:styleId="BodyTextIndent">
    <w:name w:val="Body Text Indent"/>
    <w:basedOn w:val="Normal"/>
    <w:link w:val="BodyTextIndentChar"/>
    <w:uiPriority w:val="99"/>
    <w:pPr>
      <w:ind w:left="540"/>
      <w:jc w:val="center"/>
    </w:pPr>
  </w:style>
  <w:style w:type="character" w:customStyle="1" w:styleId="BodyTextIndentChar">
    <w:name w:val="Body Text Indent Char"/>
    <w:basedOn w:val="DefaultParagraphFont"/>
    <w:link w:val="BodyTextIndent"/>
    <w:uiPriority w:val="99"/>
    <w:semiHidden/>
    <w:rsid w:val="00E40841"/>
    <w:rPr>
      <w:sz w:val="24"/>
      <w:lang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E40841"/>
    <w:rPr>
      <w:sz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40841"/>
    <w:rPr>
      <w:sz w:val="0"/>
      <w:szCs w:val="0"/>
      <w:lang w:eastAsia="en-US"/>
    </w:rPr>
  </w:style>
  <w:style w:type="character" w:styleId="Hyperlink">
    <w:name w:val="Hyperlink"/>
    <w:basedOn w:val="DefaultParagraphFont"/>
    <w:uiPriority w:val="99"/>
    <w:rsid w:val="00FD36E1"/>
    <w:rPr>
      <w:rFonts w:cs="Times New Roman"/>
      <w:color w:val="0000FF"/>
      <w:u w:val="single"/>
    </w:rPr>
  </w:style>
  <w:style w:type="paragraph" w:styleId="NormalWeb">
    <w:name w:val="Normal (Web)"/>
    <w:basedOn w:val="Normal"/>
    <w:uiPriority w:val="99"/>
    <w:rsid w:val="00F00B0D"/>
    <w:pPr>
      <w:overflowPunct/>
      <w:autoSpaceDE/>
      <w:autoSpaceDN/>
      <w:adjustRightInd/>
      <w:spacing w:before="100" w:beforeAutospacing="1" w:after="100" w:afterAutospacing="1"/>
      <w:textAlignment w:val="auto"/>
    </w:pPr>
    <w:rPr>
      <w:rFonts w:ascii="Arial" w:hAnsi="Arial" w:cs="Arial"/>
      <w:color w:val="1A2B2E"/>
      <w:sz w:val="18"/>
      <w:szCs w:val="18"/>
      <w:lang w:eastAsia="lt-LT"/>
    </w:rPr>
  </w:style>
  <w:style w:type="paragraph" w:styleId="Header">
    <w:name w:val="header"/>
    <w:aliases w:val="Char,Diagrama"/>
    <w:basedOn w:val="Normal"/>
    <w:link w:val="HeaderChar"/>
    <w:uiPriority w:val="99"/>
    <w:rsid w:val="008B0B32"/>
    <w:pPr>
      <w:tabs>
        <w:tab w:val="center" w:pos="4153"/>
        <w:tab w:val="right" w:pos="8306"/>
      </w:tabs>
      <w:overflowPunct/>
      <w:autoSpaceDE/>
      <w:autoSpaceDN/>
      <w:adjustRightInd/>
      <w:ind w:firstLine="720"/>
      <w:textAlignment w:val="auto"/>
    </w:pPr>
    <w:rPr>
      <w:rFonts w:ascii="Arial" w:hAnsi="Arial" w:cs="Arial"/>
      <w:sz w:val="20"/>
      <w:lang w:eastAsia="lt-LT"/>
    </w:rPr>
  </w:style>
  <w:style w:type="character" w:customStyle="1" w:styleId="HeaderChar">
    <w:name w:val="Header Char"/>
    <w:aliases w:val="Char Char,Diagrama Char"/>
    <w:basedOn w:val="DefaultParagraphFont"/>
    <w:link w:val="Header"/>
    <w:uiPriority w:val="99"/>
    <w:locked/>
    <w:rsid w:val="008B0B32"/>
    <w:rPr>
      <w:rFonts w:ascii="Arial" w:hAnsi="Arial" w:cs="Arial"/>
      <w:lang w:val="lt-LT" w:eastAsia="lt-LT" w:bidi="ar-SA"/>
    </w:rPr>
  </w:style>
  <w:style w:type="character" w:customStyle="1" w:styleId="FootnoteTextChar">
    <w:name w:val="Footnote Text Char"/>
    <w:basedOn w:val="DefaultParagraphFont"/>
    <w:link w:val="FootnoteText"/>
    <w:semiHidden/>
    <w:locked/>
    <w:rsid w:val="008B0B32"/>
    <w:rPr>
      <w:rFonts w:cs="Times New Roman"/>
      <w:lang w:val="lt-LT" w:eastAsia="en-US" w:bidi="ar-SA"/>
    </w:rPr>
  </w:style>
  <w:style w:type="paragraph" w:styleId="FootnoteText">
    <w:name w:val="footnote text"/>
    <w:basedOn w:val="Normal"/>
    <w:link w:val="FootnoteTextChar"/>
    <w:uiPriority w:val="99"/>
    <w:semiHidden/>
    <w:rsid w:val="008B0B32"/>
    <w:pPr>
      <w:overflowPunct/>
      <w:autoSpaceDE/>
      <w:autoSpaceDN/>
      <w:adjustRightInd/>
      <w:ind w:firstLine="720"/>
      <w:textAlignment w:val="auto"/>
    </w:pPr>
    <w:rPr>
      <w:sz w:val="20"/>
    </w:rPr>
  </w:style>
  <w:style w:type="character" w:customStyle="1" w:styleId="FootnoteTextChar1">
    <w:name w:val="Footnote Text Char1"/>
    <w:basedOn w:val="DefaultParagraphFont"/>
    <w:link w:val="FootnoteText"/>
    <w:uiPriority w:val="99"/>
    <w:semiHidden/>
    <w:rsid w:val="00E40841"/>
    <w:rPr>
      <w:lang w:eastAsia="en-US"/>
    </w:rPr>
  </w:style>
  <w:style w:type="paragraph" w:styleId="ListParagraph">
    <w:name w:val="List Paragraph"/>
    <w:basedOn w:val="Normal"/>
    <w:uiPriority w:val="34"/>
    <w:qFormat/>
    <w:rsid w:val="008B0B32"/>
    <w:pPr>
      <w:overflowPunct/>
      <w:autoSpaceDE/>
      <w:autoSpaceDN/>
      <w:adjustRightInd/>
      <w:ind w:left="720" w:firstLine="720"/>
      <w:contextualSpacing/>
      <w:textAlignment w:val="auto"/>
    </w:pPr>
    <w:rPr>
      <w:rFonts w:ascii="Arial" w:hAnsi="Arial" w:cs="Arial"/>
      <w:sz w:val="20"/>
    </w:rPr>
  </w:style>
  <w:style w:type="character" w:styleId="FootnoteReference">
    <w:name w:val="footnote reference"/>
    <w:basedOn w:val="DefaultParagraphFont"/>
    <w:uiPriority w:val="99"/>
    <w:semiHidden/>
    <w:rsid w:val="008B0B32"/>
    <w:rPr>
      <w:rFonts w:ascii="Times New Roman" w:hAnsi="Times New Roman" w:cs="Times New Roman"/>
      <w:vertAlign w:val="superscript"/>
    </w:rPr>
  </w:style>
  <w:style w:type="paragraph" w:styleId="BodyText3">
    <w:name w:val="Body Text 3"/>
    <w:basedOn w:val="Normal"/>
    <w:link w:val="BodyText3Char"/>
    <w:uiPriority w:val="99"/>
    <w:rsid w:val="00D567FD"/>
    <w:pPr>
      <w:spacing w:after="120"/>
    </w:pPr>
    <w:rPr>
      <w:sz w:val="16"/>
      <w:szCs w:val="16"/>
    </w:rPr>
  </w:style>
  <w:style w:type="character" w:customStyle="1" w:styleId="BodyText3Char">
    <w:name w:val="Body Text 3 Char"/>
    <w:basedOn w:val="DefaultParagraphFont"/>
    <w:link w:val="BodyText3"/>
    <w:uiPriority w:val="99"/>
    <w:semiHidden/>
    <w:rsid w:val="00E40841"/>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43034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155</TotalTime>
  <Pages>1</Pages>
  <Words>6808</Words>
  <Characters>3882</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28</cp:revision>
  <cp:lastPrinted>2015-07-17T10:22:00Z</cp:lastPrinted>
  <dcterms:created xsi:type="dcterms:W3CDTF">2014-10-30T10:02:00Z</dcterms:created>
  <dcterms:modified xsi:type="dcterms:W3CDTF">2015-07-17T10:22:00Z</dcterms:modified>
</cp:coreProperties>
</file>