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2B4F3D" w:rsidRPr="005A1FE3">
        <w:trPr>
          <w:trHeight w:val="1055"/>
        </w:trPr>
        <w:tc>
          <w:tcPr>
            <w:tcW w:w="9639" w:type="dxa"/>
          </w:tcPr>
          <w:p w:rsidR="002B4F3D" w:rsidRPr="005A1FE3" w:rsidRDefault="002B4F3D" w:rsidP="00821F92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F0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2B4F3D" w:rsidRPr="009A6444" w:rsidRDefault="002B4F3D" w:rsidP="00650EC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A644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2B4F3D" w:rsidRDefault="002B4F3D" w:rsidP="00650EC4"/>
                    </w:txbxContent>
                  </v:textbox>
                  <w10:wrap anchorx="page"/>
                </v:shape>
              </w:pict>
            </w:r>
          </w:p>
        </w:tc>
      </w:tr>
      <w:tr w:rsidR="002B4F3D" w:rsidRPr="005A1FE3">
        <w:trPr>
          <w:trHeight w:val="1913"/>
        </w:trPr>
        <w:tc>
          <w:tcPr>
            <w:tcW w:w="9639" w:type="dxa"/>
          </w:tcPr>
          <w:p w:rsidR="002B4F3D" w:rsidRPr="00CD5C6C" w:rsidRDefault="002B4F3D" w:rsidP="00F8049F">
            <w:pPr>
              <w:pStyle w:val="Heading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2B4F3D" w:rsidRPr="00CD5C6C" w:rsidRDefault="002B4F3D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B4F3D" w:rsidRPr="005A1FE3" w:rsidRDefault="002B4F3D" w:rsidP="00F8049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2B4F3D" w:rsidRPr="005A1FE3" w:rsidRDefault="002B4F3D" w:rsidP="00DC3D2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TRUMPALAIKIO MATERIALIOJO TURTO</w:t>
            </w: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perdavimo valdyti patikėjimo teise  pagėgių savivaldybės ugdymo įstaigoms</w:t>
            </w:r>
          </w:p>
        </w:tc>
      </w:tr>
      <w:tr w:rsidR="002B4F3D" w:rsidRPr="005A1FE3">
        <w:trPr>
          <w:trHeight w:val="703"/>
        </w:trPr>
        <w:tc>
          <w:tcPr>
            <w:tcW w:w="9639" w:type="dxa"/>
          </w:tcPr>
          <w:p w:rsidR="002B4F3D" w:rsidRPr="00CD5C6C" w:rsidRDefault="002B4F3D" w:rsidP="00F8049F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9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liepos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25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139</w:t>
            </w:r>
          </w:p>
          <w:p w:rsidR="002B4F3D" w:rsidRPr="005A1FE3" w:rsidRDefault="002B4F3D" w:rsidP="00F8049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6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B4F3D" w:rsidRPr="00615259" w:rsidRDefault="002B4F3D" w:rsidP="00343377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 w:cs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 w:cs="Times New Roman"/>
          <w:sz w:val="24"/>
          <w:szCs w:val="24"/>
        </w:rPr>
        <w:t>jimo ir disponavimo juo įstatymo 12 straipsnio 2 dalimi,</w:t>
      </w:r>
      <w:r w:rsidRPr="00FA3A25"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5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 papunkčiu ir 12 punktu,</w:t>
      </w:r>
      <w:r w:rsidRPr="00615259">
        <w:rPr>
          <w:rFonts w:ascii="Times New Roman" w:hAnsi="Times New Roman" w:cs="Times New Roman"/>
          <w:sz w:val="24"/>
          <w:szCs w:val="24"/>
        </w:rPr>
        <w:t xml:space="preserve">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259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2B4F3D" w:rsidRPr="00615259" w:rsidRDefault="002B4F3D" w:rsidP="00615259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1. Perduoti Pagėgių savivaldybės ugdymo įstaigoms valdyti patikėjimo teise Pagėgių savivaldybei nuosavybės teise priklausantį </w:t>
      </w:r>
      <w:r>
        <w:rPr>
          <w:rFonts w:ascii="Times New Roman" w:hAnsi="Times New Roman" w:cs="Times New Roman"/>
          <w:sz w:val="24"/>
          <w:szCs w:val="24"/>
        </w:rPr>
        <w:t xml:space="preserve">trumpalaikį </w:t>
      </w:r>
      <w:r w:rsidRPr="00615259">
        <w:rPr>
          <w:rFonts w:ascii="Times New Roman" w:hAnsi="Times New Roman" w:cs="Times New Roman"/>
          <w:sz w:val="24"/>
          <w:szCs w:val="24"/>
        </w:rPr>
        <w:t>materialųjį turtą (</w:t>
      </w:r>
      <w:r>
        <w:rPr>
          <w:rFonts w:ascii="Times New Roman" w:hAnsi="Times New Roman" w:cs="Times New Roman"/>
          <w:sz w:val="24"/>
          <w:szCs w:val="24"/>
        </w:rPr>
        <w:t xml:space="preserve">pagal </w:t>
      </w:r>
      <w:r w:rsidRPr="00615259">
        <w:rPr>
          <w:rFonts w:ascii="Times New Roman" w:hAnsi="Times New Roman" w:cs="Times New Roman"/>
          <w:sz w:val="24"/>
          <w:szCs w:val="24"/>
        </w:rPr>
        <w:t>sąraš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152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4F3D" w:rsidRPr="00615259" w:rsidRDefault="002B4F3D" w:rsidP="00A35F1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Įpareigoti Pagėgių savivaldybės administracijos direktorių pasirašyti turto</w:t>
      </w:r>
    </w:p>
    <w:p w:rsidR="002B4F3D" w:rsidRPr="00615259" w:rsidRDefault="002B4F3D" w:rsidP="00A35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perdavimo – priėmimo aktus su Pagėgių savivaldybės ugdymo įstaigų vadovais. </w:t>
      </w:r>
    </w:p>
    <w:p w:rsidR="002B4F3D" w:rsidRPr="00615259" w:rsidRDefault="002B4F3D" w:rsidP="00A35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 w:cs="Times New Roman"/>
          <w:sz w:val="24"/>
          <w:szCs w:val="24"/>
        </w:rPr>
        <w:t>.</w:t>
      </w:r>
    </w:p>
    <w:p w:rsidR="002B4F3D" w:rsidRPr="00505A35" w:rsidRDefault="002B4F3D" w:rsidP="003433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3D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>SUDERINTA:</w:t>
      </w:r>
    </w:p>
    <w:p w:rsidR="002B4F3D" w:rsidRPr="00615259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F3D" w:rsidRPr="00615259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Jūratė Mažutienė</w:t>
      </w:r>
      <w:r w:rsidRPr="006152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F3D" w:rsidRDefault="002B4F3D" w:rsidP="00E36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3D" w:rsidRDefault="002B4F3D" w:rsidP="00E36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Dokumentų valdymo </w:t>
      </w:r>
      <w:r w:rsidRPr="00261CF4">
        <w:rPr>
          <w:rFonts w:ascii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hAnsi="Times New Roman" w:cs="Times New Roman"/>
          <w:sz w:val="24"/>
          <w:szCs w:val="24"/>
        </w:rPr>
        <w:t>teisės</w:t>
      </w:r>
      <w:r w:rsidRPr="00261CF4">
        <w:rPr>
          <w:rFonts w:ascii="Times New Roman" w:hAnsi="Times New Roman" w:cs="Times New Roman"/>
          <w:sz w:val="24"/>
          <w:szCs w:val="24"/>
        </w:rPr>
        <w:t xml:space="preserve"> skyriaus vyr</w:t>
      </w:r>
      <w:r>
        <w:rPr>
          <w:rFonts w:ascii="Times New Roman" w:hAnsi="Times New Roman" w:cs="Times New Roman"/>
          <w:sz w:val="24"/>
          <w:szCs w:val="24"/>
        </w:rPr>
        <w:t>esnioji</w:t>
      </w:r>
      <w:r w:rsidRPr="00261CF4">
        <w:rPr>
          <w:rFonts w:ascii="Times New Roman" w:hAnsi="Times New Roman" w:cs="Times New Roman"/>
          <w:sz w:val="24"/>
          <w:szCs w:val="24"/>
        </w:rPr>
        <w:t xml:space="preserve"> 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261C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61CF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Ingrida Zavistauskaitė</w:t>
      </w:r>
    </w:p>
    <w:p w:rsidR="002B4F3D" w:rsidRPr="00261CF4" w:rsidRDefault="002B4F3D" w:rsidP="00E36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F3D" w:rsidRPr="00FC35A2" w:rsidRDefault="002B4F3D" w:rsidP="00E362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>Civilinės metrikacijos ir viešosios tvarkos</w:t>
      </w:r>
      <w:r>
        <w:rPr>
          <w:rFonts w:ascii="Times New Roman" w:hAnsi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/>
          <w:sz w:val="24"/>
          <w:szCs w:val="24"/>
        </w:rPr>
        <w:t xml:space="preserve"> </w:t>
      </w:r>
    </w:p>
    <w:p w:rsidR="002B4F3D" w:rsidRPr="00CE5755" w:rsidRDefault="002B4F3D" w:rsidP="00E362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35A2">
        <w:rPr>
          <w:rFonts w:ascii="Times New Roman" w:hAnsi="Times New Roman"/>
          <w:sz w:val="24"/>
          <w:szCs w:val="24"/>
        </w:rPr>
        <w:t xml:space="preserve">vyriausioji specialistė </w:t>
      </w:r>
      <w:r>
        <w:rPr>
          <w:rFonts w:ascii="Times New Roman" w:hAnsi="Times New Roman"/>
          <w:sz w:val="24"/>
          <w:szCs w:val="24"/>
        </w:rPr>
        <w:t>−</w:t>
      </w:r>
      <w:r w:rsidRPr="00FC35A2">
        <w:rPr>
          <w:rFonts w:ascii="Times New Roman" w:hAnsi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/>
          <w:sz w:val="24"/>
          <w:szCs w:val="24"/>
        </w:rPr>
        <w:t xml:space="preserve">                                      Laimutė Mickevičienė  </w:t>
      </w:r>
    </w:p>
    <w:p w:rsidR="002B4F3D" w:rsidRDefault="002B4F3D" w:rsidP="00E362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F3D" w:rsidRPr="00615259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F3D" w:rsidRPr="00615259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F3D" w:rsidRPr="00615259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615259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2B4F3D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259">
        <w:rPr>
          <w:rFonts w:ascii="Times New Roman" w:hAnsi="Times New Roman" w:cs="Times New Roman"/>
          <w:sz w:val="24"/>
          <w:szCs w:val="24"/>
        </w:rPr>
        <w:t xml:space="preserve">Turto </w:t>
      </w:r>
      <w:r>
        <w:rPr>
          <w:rFonts w:ascii="Times New Roman" w:hAnsi="Times New Roman" w:cs="Times New Roman"/>
          <w:sz w:val="24"/>
          <w:szCs w:val="24"/>
        </w:rPr>
        <w:t xml:space="preserve">ir ūkio </w:t>
      </w:r>
      <w:r w:rsidRPr="00615259">
        <w:rPr>
          <w:rFonts w:ascii="Times New Roman" w:hAnsi="Times New Roman" w:cs="Times New Roman"/>
          <w:sz w:val="24"/>
          <w:szCs w:val="24"/>
        </w:rPr>
        <w:t>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</w:p>
    <w:p w:rsidR="002B4F3D" w:rsidRPr="00615259" w:rsidRDefault="002B4F3D" w:rsidP="00615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F3D" w:rsidRPr="00F063C8" w:rsidRDefault="002B4F3D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Pagėgių savivaldybės tarybos </w:t>
      </w:r>
    </w:p>
    <w:p w:rsidR="002B4F3D" w:rsidRPr="00F063C8" w:rsidRDefault="002B4F3D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63C8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rugpjūčio 29</w:t>
      </w:r>
      <w:r w:rsidRPr="00F063C8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2B4F3D" w:rsidRPr="00F063C8" w:rsidRDefault="002B4F3D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 xml:space="preserve">sprendimo Nr. </w:t>
      </w:r>
    </w:p>
    <w:p w:rsidR="002B4F3D" w:rsidRPr="00F063C8" w:rsidRDefault="002B4F3D" w:rsidP="00F063C8">
      <w:pPr>
        <w:spacing w:after="0"/>
        <w:ind w:firstLine="6480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priedas</w:t>
      </w:r>
    </w:p>
    <w:p w:rsidR="002B4F3D" w:rsidRDefault="002B4F3D" w:rsidP="00F063C8">
      <w:pPr>
        <w:jc w:val="center"/>
        <w:rPr>
          <w:b/>
          <w:bCs/>
        </w:rPr>
      </w:pPr>
    </w:p>
    <w:p w:rsidR="002B4F3D" w:rsidRPr="00F063C8" w:rsidRDefault="002B4F3D" w:rsidP="00F063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TRUMPALAIKIO MATERIALIOJO TURTO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, PERDUODAM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NEMOKAMAI ŠVIETIMO IR MOKSLO MINISTERIJOS ŠVIETIMO APRŪPINIMO CENTRO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UGDYMO ĮSTAIGOMS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628"/>
        <w:gridCol w:w="895"/>
        <w:gridCol w:w="1476"/>
        <w:gridCol w:w="1673"/>
        <w:gridCol w:w="1800"/>
        <w:gridCol w:w="276"/>
      </w:tblGrid>
      <w:tr w:rsidR="002B4F3D" w:rsidRPr="00DC3D2E" w:rsidTr="00DC3D2E">
        <w:trPr>
          <w:gridAfter w:val="1"/>
          <w:wAfter w:w="276" w:type="dxa"/>
          <w:trHeight w:val="240"/>
        </w:trPr>
        <w:tc>
          <w:tcPr>
            <w:tcW w:w="636" w:type="dxa"/>
            <w:vMerge w:val="restart"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628" w:type="dxa"/>
            <w:vMerge w:val="restart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Mokyklų pavadinimas</w:t>
            </w:r>
          </w:p>
        </w:tc>
        <w:tc>
          <w:tcPr>
            <w:tcW w:w="895" w:type="dxa"/>
            <w:vMerge w:val="restart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</w:tc>
        <w:tc>
          <w:tcPr>
            <w:tcW w:w="1476" w:type="dxa"/>
            <w:vMerge w:val="restart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Suma Eur</w:t>
            </w:r>
          </w:p>
        </w:tc>
        <w:tc>
          <w:tcPr>
            <w:tcW w:w="3473" w:type="dxa"/>
            <w:gridSpan w:val="2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Sumų paskirstymas pagal lėšas</w:t>
            </w:r>
          </w:p>
        </w:tc>
      </w:tr>
      <w:tr w:rsidR="002B4F3D" w:rsidRPr="00DC3D2E" w:rsidTr="00DC3D2E">
        <w:trPr>
          <w:trHeight w:val="690"/>
        </w:trPr>
        <w:tc>
          <w:tcPr>
            <w:tcW w:w="636" w:type="dxa"/>
            <w:vMerge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 xml:space="preserve">Valstybės biudžeto lėšos </w:t>
            </w:r>
          </w:p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00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 xml:space="preserve">ąjungos lėšos </w:t>
            </w:r>
          </w:p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  <w:right w:val="nil"/>
            </w:tcBorders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3D" w:rsidRPr="00DC3D2E" w:rsidTr="00DC3D2E">
        <w:trPr>
          <w:trHeight w:val="114"/>
        </w:trPr>
        <w:tc>
          <w:tcPr>
            <w:tcW w:w="63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8" w:type="dxa"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Piktupėnų pagrindinė mokykla</w:t>
            </w:r>
          </w:p>
        </w:tc>
        <w:tc>
          <w:tcPr>
            <w:tcW w:w="895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313,39</w:t>
            </w:r>
          </w:p>
        </w:tc>
        <w:tc>
          <w:tcPr>
            <w:tcW w:w="1673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800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274,28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3D" w:rsidRPr="00DC3D2E" w:rsidTr="00DC3D2E">
        <w:tc>
          <w:tcPr>
            <w:tcW w:w="63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8" w:type="dxa"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Stoniškių pagrindinė mokykla</w:t>
            </w:r>
          </w:p>
        </w:tc>
        <w:tc>
          <w:tcPr>
            <w:tcW w:w="895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313,39</w:t>
            </w:r>
          </w:p>
        </w:tc>
        <w:tc>
          <w:tcPr>
            <w:tcW w:w="1673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800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274,28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3D" w:rsidRPr="00DC3D2E" w:rsidTr="00DC3D2E">
        <w:tc>
          <w:tcPr>
            <w:tcW w:w="63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8" w:type="dxa"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Pagėgių p</w:t>
            </w: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radinė mokykla</w:t>
            </w:r>
          </w:p>
        </w:tc>
        <w:tc>
          <w:tcPr>
            <w:tcW w:w="895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313,39</w:t>
            </w:r>
          </w:p>
        </w:tc>
        <w:tc>
          <w:tcPr>
            <w:tcW w:w="1673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800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274,28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3D" w:rsidRPr="00DC3D2E" w:rsidTr="00DC3D2E">
        <w:tc>
          <w:tcPr>
            <w:tcW w:w="63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8" w:type="dxa"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Pagėgių </w:t>
            </w: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lgimanto</w:t>
            </w: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 xml:space="preserve"> Mackaus gimnazija</w:t>
            </w:r>
          </w:p>
        </w:tc>
        <w:tc>
          <w:tcPr>
            <w:tcW w:w="895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7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3456,97</w:t>
            </w:r>
          </w:p>
        </w:tc>
        <w:tc>
          <w:tcPr>
            <w:tcW w:w="1673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800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3380,47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3D" w:rsidRPr="00DC3D2E" w:rsidTr="00DC3D2E">
        <w:tc>
          <w:tcPr>
            <w:tcW w:w="63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8" w:type="dxa"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Pagėgių sav. </w:t>
            </w: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Vilkyškių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ohaneso </w:t>
            </w: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Bobrovskio gimnazija</w:t>
            </w:r>
          </w:p>
        </w:tc>
        <w:tc>
          <w:tcPr>
            <w:tcW w:w="895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3770,36</w:t>
            </w:r>
          </w:p>
        </w:tc>
        <w:tc>
          <w:tcPr>
            <w:tcW w:w="1673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115,61</w:t>
            </w:r>
          </w:p>
        </w:tc>
        <w:tc>
          <w:tcPr>
            <w:tcW w:w="1800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sz w:val="24"/>
                <w:szCs w:val="24"/>
              </w:rPr>
              <w:t>3654,75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F3D" w:rsidRPr="00DC3D2E" w:rsidTr="00DC3D2E">
        <w:tc>
          <w:tcPr>
            <w:tcW w:w="3264" w:type="dxa"/>
            <w:gridSpan w:val="2"/>
          </w:tcPr>
          <w:p w:rsidR="002B4F3D" w:rsidRPr="00DC3D2E" w:rsidRDefault="002B4F3D" w:rsidP="00776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895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476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b/>
                <w:sz w:val="24"/>
                <w:szCs w:val="24"/>
              </w:rPr>
              <w:t>8167,50</w:t>
            </w:r>
          </w:p>
        </w:tc>
        <w:tc>
          <w:tcPr>
            <w:tcW w:w="1673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b/>
                <w:sz w:val="24"/>
                <w:szCs w:val="24"/>
              </w:rPr>
              <w:t>309,44</w:t>
            </w:r>
          </w:p>
        </w:tc>
        <w:tc>
          <w:tcPr>
            <w:tcW w:w="1800" w:type="dxa"/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2E">
              <w:rPr>
                <w:rFonts w:ascii="Times New Roman" w:hAnsi="Times New Roman" w:cs="Times New Roman"/>
                <w:b/>
                <w:sz w:val="24"/>
                <w:szCs w:val="24"/>
              </w:rPr>
              <w:t>7558,06</w:t>
            </w:r>
          </w:p>
        </w:tc>
        <w:tc>
          <w:tcPr>
            <w:tcW w:w="276" w:type="dxa"/>
            <w:vMerge/>
            <w:tcBorders>
              <w:bottom w:val="nil"/>
              <w:right w:val="nil"/>
            </w:tcBorders>
          </w:tcPr>
          <w:p w:rsidR="002B4F3D" w:rsidRPr="00DC3D2E" w:rsidRDefault="002B4F3D" w:rsidP="00DC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F3D" w:rsidRDefault="002B4F3D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9D61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2B4F3D" w:rsidRDefault="002B4F3D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9D61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Pr="00F063C8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2B4F3D" w:rsidRPr="00F063C8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2B4F3D" w:rsidRPr="00F063C8" w:rsidRDefault="002B4F3D" w:rsidP="0081523C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2B4F3D" w:rsidRPr="00F063C8" w:rsidRDefault="002B4F3D" w:rsidP="0081523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SPRENDIMO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063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TRUMPALAIKIO MATERIALIOJO TURTO</w:t>
      </w:r>
      <w:r w:rsidRPr="00F063C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perdavimo valdyti patikėjimo teise  pagėgių savivaldybės ugdymo įstaigoms</w:t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2B4F3D" w:rsidRPr="00F063C8" w:rsidRDefault="002B4F3D" w:rsidP="00DF6A9D">
      <w:pPr>
        <w:ind w:left="2592" w:firstLine="12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AIŠKINAMASIS RAŠTAS</w:t>
      </w:r>
    </w:p>
    <w:p w:rsidR="002B4F3D" w:rsidRPr="00F063C8" w:rsidRDefault="002B4F3D" w:rsidP="0081523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63C8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06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Parengto projekto tikslai ir uždavinia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F063C8">
        <w:rPr>
          <w:rFonts w:ascii="Times New Roman" w:hAnsi="Times New Roman" w:cs="Times New Roman"/>
          <w:sz w:val="24"/>
          <w:szCs w:val="24"/>
        </w:rPr>
        <w:t xml:space="preserve">Perduoti </w:t>
      </w:r>
      <w:r>
        <w:rPr>
          <w:rFonts w:ascii="Times New Roman" w:hAnsi="Times New Roman" w:cs="Times New Roman"/>
          <w:sz w:val="24"/>
          <w:szCs w:val="24"/>
        </w:rPr>
        <w:t xml:space="preserve">trumpalaikį materialųjį turtą - gamtos ir technologinių mokslų priemones (kolbos, vandens termometrai, filtravimo popierius ir kt.) </w:t>
      </w:r>
      <w:r w:rsidRPr="00F063C8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63C8">
        <w:rPr>
          <w:rFonts w:ascii="Times New Roman" w:hAnsi="Times New Roman" w:cs="Times New Roman"/>
          <w:sz w:val="24"/>
          <w:szCs w:val="24"/>
        </w:rPr>
        <w:t>gdymo įstaigoms.</w:t>
      </w: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Kaip šiuo metu yra sureguliuoti projekte aptarti klausimai</w:t>
      </w:r>
      <w:r w:rsidRPr="00F063C8">
        <w:rPr>
          <w:rFonts w:ascii="Times New Roman" w:hAnsi="Times New Roman" w:cs="Times New Roman"/>
          <w:sz w:val="24"/>
          <w:szCs w:val="24"/>
        </w:rPr>
        <w:t xml:space="preserve">: sprendimo projektas paruoštas vadovaujantis Pagėgių savivaldybei nuosavybės teise priklausančio turto valdymo, naudojimo ir disponavimo juo tvarkos aprašu. </w:t>
      </w:r>
      <w:r>
        <w:rPr>
          <w:rFonts w:ascii="Times New Roman" w:hAnsi="Times New Roman" w:cs="Times New Roman"/>
          <w:sz w:val="24"/>
          <w:szCs w:val="24"/>
        </w:rPr>
        <w:t>Priemonės</w:t>
      </w:r>
      <w:r w:rsidRPr="00F063C8">
        <w:rPr>
          <w:rFonts w:ascii="Times New Roman" w:hAnsi="Times New Roman" w:cs="Times New Roman"/>
          <w:sz w:val="24"/>
          <w:szCs w:val="24"/>
        </w:rPr>
        <w:t xml:space="preserve"> yra gautos iš Lietuvos Respublikos švietimo ir mokslo ministerijos Švietimo aprūpinimo centro nemokamai</w:t>
      </w:r>
      <w:r>
        <w:rPr>
          <w:rFonts w:ascii="Times New Roman" w:hAnsi="Times New Roman" w:cs="Times New Roman"/>
          <w:sz w:val="24"/>
          <w:szCs w:val="24"/>
        </w:rPr>
        <w:t>, vykdant projektą „Mokyklų aprūpinimas gamtos ir technologinių mokslų priemonėmis“.</w:t>
      </w: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Kokių teigiamų rezultatų laukiama: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turtas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sz w:val="24"/>
          <w:szCs w:val="24"/>
        </w:rPr>
        <w:t xml:space="preserve">bus naudojamas ugdymo procese. </w:t>
      </w: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4. Galimos neigiamos priimto projekto pasekmės ir kokių priemonių reikėtų imtis, kad tokių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F063C8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2B4F3D" w:rsidRPr="00F063C8" w:rsidRDefault="002B4F3D" w:rsidP="006646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projektą:-</w:t>
      </w:r>
    </w:p>
    <w:p w:rsidR="002B4F3D" w:rsidRPr="00F063C8" w:rsidRDefault="002B4F3D" w:rsidP="00664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Jeigu priimtam sprendimui reikės kito tarybos sprendimo, mero potvarkio ar </w:t>
      </w:r>
    </w:p>
    <w:p w:rsidR="002B4F3D" w:rsidRPr="00F063C8" w:rsidRDefault="002B4F3D" w:rsidP="006646D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ūkio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 ar Švietimo</w:t>
      </w:r>
      <w:r>
        <w:rPr>
          <w:rFonts w:ascii="Times New Roman" w:hAnsi="Times New Roman" w:cs="Times New Roman"/>
          <w:color w:val="000000"/>
          <w:sz w:val="24"/>
          <w:szCs w:val="24"/>
        </w:rPr>
        <w:t>, kultūros ir sporto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 skyriai.</w:t>
      </w:r>
    </w:p>
    <w:p w:rsidR="002B4F3D" w:rsidRPr="00F063C8" w:rsidRDefault="002B4F3D" w:rsidP="006646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F063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8. Sprendimo vykdytojai ir įvykdymo terminai, lėšų, reikalingų sprendimui įgyvendinti, poreikis (jeigu tai numatoma – derinti su Finansų skyriumi): </w:t>
      </w:r>
      <w:r w:rsidRPr="00F063C8">
        <w:rPr>
          <w:rFonts w:ascii="Times New Roman" w:hAnsi="Times New Roman" w:cs="Times New Roman"/>
          <w:sz w:val="24"/>
          <w:szCs w:val="24"/>
        </w:rPr>
        <w:t xml:space="preserve"> Sprendimui įgyvendinti savivaldybės biudžeto lėšų nereikės. </w:t>
      </w:r>
    </w:p>
    <w:p w:rsidR="002B4F3D" w:rsidRPr="00F063C8" w:rsidRDefault="002B4F3D" w:rsidP="006646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  <w:r w:rsidRPr="00F063C8">
        <w:rPr>
          <w:rFonts w:ascii="Times New Roman" w:hAnsi="Times New Roman" w:cs="Times New Roman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F063C8">
        <w:rPr>
          <w:rFonts w:ascii="Times New Roman" w:hAnsi="Times New Roman" w:cs="Times New Roman"/>
          <w:sz w:val="24"/>
          <w:szCs w:val="24"/>
        </w:rPr>
        <w:t xml:space="preserve"> 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F063C8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  <w:r w:rsidRPr="00F063C8">
        <w:rPr>
          <w:rFonts w:ascii="Times New Roman" w:hAnsi="Times New Roman" w:cs="Times New Roman"/>
          <w:sz w:val="24"/>
          <w:szCs w:val="24"/>
        </w:rPr>
        <w:t xml:space="preserve"> Lai</w:t>
      </w:r>
      <w:r>
        <w:rPr>
          <w:rFonts w:ascii="Times New Roman" w:hAnsi="Times New Roman" w:cs="Times New Roman"/>
          <w:sz w:val="24"/>
          <w:szCs w:val="24"/>
        </w:rPr>
        <w:t>mutė Šegždienė, tel. 8 441 70 410</w:t>
      </w:r>
      <w:r w:rsidRPr="00F063C8">
        <w:rPr>
          <w:rFonts w:ascii="Times New Roman" w:hAnsi="Times New Roman" w:cs="Times New Roman"/>
          <w:sz w:val="24"/>
          <w:szCs w:val="24"/>
        </w:rPr>
        <w:t>.</w:t>
      </w: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F063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11. Kiti, rengėjo nuomone,  reikalingi pagrindimai ir paaiškinimai: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F063C8">
        <w:rPr>
          <w:rFonts w:ascii="Times New Roman" w:hAnsi="Times New Roman" w:cs="Times New Roman"/>
          <w:sz w:val="24"/>
          <w:szCs w:val="24"/>
        </w:rPr>
        <w:t xml:space="preserve"> parengtas vadovaujantis Pagėgių savivaldybės tarybos 2015 m. vasario 10 d. sprendimu Nr. T-27 patvirtintu Pagėgių savivaldybei nuosavybės teise priklausančio turto valdymo, naudojimo ir disponavimo juo tvarkos aprašu.</w:t>
      </w:r>
    </w:p>
    <w:p w:rsidR="002B4F3D" w:rsidRDefault="002B4F3D" w:rsidP="006646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Default="002B4F3D" w:rsidP="006646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F3D" w:rsidRPr="00F063C8" w:rsidRDefault="002B4F3D" w:rsidP="00664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ir ūkio skyriaus vedėjo pavaduotoja  </w:t>
      </w:r>
      <w:r w:rsidRPr="00F063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Laimutė Šegždienė</w:t>
      </w:r>
    </w:p>
    <w:sectPr w:rsidR="002B4F3D" w:rsidRPr="00F063C8" w:rsidSect="000463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C4"/>
    <w:rsid w:val="00033473"/>
    <w:rsid w:val="0004630B"/>
    <w:rsid w:val="00054B4C"/>
    <w:rsid w:val="00072023"/>
    <w:rsid w:val="000A21A1"/>
    <w:rsid w:val="000B21D4"/>
    <w:rsid w:val="000E6E14"/>
    <w:rsid w:val="00140914"/>
    <w:rsid w:val="00157E57"/>
    <w:rsid w:val="001858B1"/>
    <w:rsid w:val="001D10A5"/>
    <w:rsid w:val="001E4F6A"/>
    <w:rsid w:val="001F5526"/>
    <w:rsid w:val="00261CF4"/>
    <w:rsid w:val="00283903"/>
    <w:rsid w:val="002B4F3D"/>
    <w:rsid w:val="002E41E3"/>
    <w:rsid w:val="0032249D"/>
    <w:rsid w:val="00343377"/>
    <w:rsid w:val="00344901"/>
    <w:rsid w:val="003616CC"/>
    <w:rsid w:val="003A6D14"/>
    <w:rsid w:val="003B2E46"/>
    <w:rsid w:val="00436189"/>
    <w:rsid w:val="00452AAA"/>
    <w:rsid w:val="004764E6"/>
    <w:rsid w:val="004B136B"/>
    <w:rsid w:val="004F4A23"/>
    <w:rsid w:val="00505A35"/>
    <w:rsid w:val="00515941"/>
    <w:rsid w:val="0052422D"/>
    <w:rsid w:val="00560997"/>
    <w:rsid w:val="00564960"/>
    <w:rsid w:val="005668B0"/>
    <w:rsid w:val="00581A7F"/>
    <w:rsid w:val="005A1FE3"/>
    <w:rsid w:val="00600D39"/>
    <w:rsid w:val="00615259"/>
    <w:rsid w:val="00650EC4"/>
    <w:rsid w:val="006646DA"/>
    <w:rsid w:val="00682178"/>
    <w:rsid w:val="007375DE"/>
    <w:rsid w:val="0077679E"/>
    <w:rsid w:val="00782349"/>
    <w:rsid w:val="007B7D95"/>
    <w:rsid w:val="0081523C"/>
    <w:rsid w:val="00821F92"/>
    <w:rsid w:val="00837414"/>
    <w:rsid w:val="0087290A"/>
    <w:rsid w:val="00890D74"/>
    <w:rsid w:val="008F62DF"/>
    <w:rsid w:val="00927838"/>
    <w:rsid w:val="00966A21"/>
    <w:rsid w:val="00966D3F"/>
    <w:rsid w:val="009A6444"/>
    <w:rsid w:val="009B5159"/>
    <w:rsid w:val="009D61EC"/>
    <w:rsid w:val="009E6C5E"/>
    <w:rsid w:val="009F00F5"/>
    <w:rsid w:val="00A0246A"/>
    <w:rsid w:val="00A24652"/>
    <w:rsid w:val="00A35F1D"/>
    <w:rsid w:val="00AD3E0F"/>
    <w:rsid w:val="00AE1260"/>
    <w:rsid w:val="00AE3F3E"/>
    <w:rsid w:val="00AF7A7F"/>
    <w:rsid w:val="00B24FDC"/>
    <w:rsid w:val="00B4166D"/>
    <w:rsid w:val="00BC171F"/>
    <w:rsid w:val="00BD1A22"/>
    <w:rsid w:val="00BF1A23"/>
    <w:rsid w:val="00C8136F"/>
    <w:rsid w:val="00C935BE"/>
    <w:rsid w:val="00CA1382"/>
    <w:rsid w:val="00CD1B5B"/>
    <w:rsid w:val="00CD5C6C"/>
    <w:rsid w:val="00CE5755"/>
    <w:rsid w:val="00CF5B4B"/>
    <w:rsid w:val="00D026B2"/>
    <w:rsid w:val="00D178B5"/>
    <w:rsid w:val="00D667DB"/>
    <w:rsid w:val="00D767C1"/>
    <w:rsid w:val="00D9133C"/>
    <w:rsid w:val="00DC3AF6"/>
    <w:rsid w:val="00DC3D2E"/>
    <w:rsid w:val="00DF6A9D"/>
    <w:rsid w:val="00E06D0A"/>
    <w:rsid w:val="00E3158F"/>
    <w:rsid w:val="00E362A7"/>
    <w:rsid w:val="00E6069C"/>
    <w:rsid w:val="00E80242"/>
    <w:rsid w:val="00E84F73"/>
    <w:rsid w:val="00EA01A2"/>
    <w:rsid w:val="00EB66E5"/>
    <w:rsid w:val="00EC4339"/>
    <w:rsid w:val="00F063C8"/>
    <w:rsid w:val="00F57F0F"/>
    <w:rsid w:val="00F8049F"/>
    <w:rsid w:val="00F81D09"/>
    <w:rsid w:val="00F962BD"/>
    <w:rsid w:val="00FA3A25"/>
    <w:rsid w:val="00FC195E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0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EC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50EC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5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E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525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F063C8"/>
    <w:pPr>
      <w:spacing w:after="0" w:line="240" w:lineRule="auto"/>
      <w:ind w:left="1296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locked/>
    <w:rsid w:val="00AE3F3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3</Pages>
  <Words>3422</Words>
  <Characters>1951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63</cp:revision>
  <dcterms:created xsi:type="dcterms:W3CDTF">2017-09-15T08:05:00Z</dcterms:created>
  <dcterms:modified xsi:type="dcterms:W3CDTF">2019-08-13T06:27:00Z</dcterms:modified>
</cp:coreProperties>
</file>