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91" w:rsidRPr="00593B00" w:rsidRDefault="003D5291" w:rsidP="00636760">
      <w:pPr>
        <w:jc w:val="right"/>
        <w:rPr>
          <w:b/>
          <w:bCs/>
        </w:rPr>
      </w:pPr>
      <w:r>
        <w:rPr>
          <w:b/>
          <w:bCs/>
        </w:rPr>
        <w:t>Projektas</w:t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3D5291">
        <w:trPr>
          <w:trHeight w:hRule="exact" w:val="1055"/>
        </w:trPr>
        <w:tc>
          <w:tcPr>
            <w:tcW w:w="9639" w:type="dxa"/>
          </w:tcPr>
          <w:p w:rsidR="003D5291" w:rsidRDefault="003D5291">
            <w:pPr>
              <w:spacing w:line="240" w:lineRule="atLeast"/>
              <w:jc w:val="center"/>
            </w:pPr>
            <w:r w:rsidRPr="004B31E4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3D5291" w:rsidRDefault="003D5291">
            <w:pPr>
              <w:spacing w:line="240" w:lineRule="atLeast"/>
              <w:jc w:val="center"/>
            </w:pPr>
          </w:p>
          <w:p w:rsidR="003D5291" w:rsidRDefault="003D5291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3D5291">
        <w:trPr>
          <w:trHeight w:hRule="exact" w:val="1657"/>
        </w:trPr>
        <w:tc>
          <w:tcPr>
            <w:tcW w:w="9639" w:type="dxa"/>
          </w:tcPr>
          <w:p w:rsidR="003D5291" w:rsidRDefault="003D5291">
            <w:pPr>
              <w:pStyle w:val="Heading2"/>
              <w:numPr>
                <w:ilvl w:val="0"/>
                <w:numId w:val="0"/>
              </w:numPr>
            </w:pPr>
            <w:r>
              <w:t>Pagėgių savivaldybės taryba</w:t>
            </w:r>
          </w:p>
          <w:p w:rsidR="003D5291" w:rsidRDefault="003D5291">
            <w:pPr>
              <w:jc w:val="center"/>
            </w:pPr>
          </w:p>
          <w:p w:rsidR="003D5291" w:rsidRDefault="003D529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D5291" w:rsidRPr="00A54B8D" w:rsidRDefault="003D5291" w:rsidP="006D65D6">
            <w:pPr>
              <w:pStyle w:val="statymopavad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54B8D">
              <w:rPr>
                <w:rFonts w:ascii="Times New Roman" w:hAnsi="Times New Roman" w:cs="Times New Roman"/>
                <w:b/>
                <w:bCs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2018 – 2019 m. šildymo sezono </w:t>
            </w:r>
            <w:r w:rsidRPr="00A54B8D">
              <w:rPr>
                <w:rFonts w:ascii="Times New Roman" w:hAnsi="Times New Roman" w:cs="Times New Roman"/>
                <w:b/>
                <w:bCs/>
              </w:rPr>
              <w:t>vidutinių kuro kainų, taikomų kompensacijoms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aps</w:t>
            </w:r>
            <w:r w:rsidRPr="00A54B8D">
              <w:rPr>
                <w:rFonts w:ascii="Times New Roman" w:hAnsi="Times New Roman" w:cs="Times New Roman"/>
                <w:b/>
                <w:bCs/>
              </w:rPr>
              <w:t>kaičiuoti, patvirtinimo</w:t>
            </w:r>
          </w:p>
          <w:p w:rsidR="003D5291" w:rsidRDefault="003D529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3D5291">
        <w:trPr>
          <w:trHeight w:hRule="exact" w:val="703"/>
        </w:trPr>
        <w:tc>
          <w:tcPr>
            <w:tcW w:w="9639" w:type="dxa"/>
          </w:tcPr>
          <w:p w:rsidR="003D5291" w:rsidRDefault="003D5291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spalio 22 d. Nr. T1-165</w:t>
            </w:r>
          </w:p>
          <w:p w:rsidR="003D5291" w:rsidRDefault="003D5291">
            <w:pPr>
              <w:jc w:val="center"/>
            </w:pPr>
            <w:r>
              <w:t>Pagėgiai</w:t>
            </w:r>
          </w:p>
        </w:tc>
      </w:tr>
    </w:tbl>
    <w:p w:rsidR="003D5291" w:rsidRPr="0034005C" w:rsidRDefault="003D5291" w:rsidP="00552324">
      <w:pPr>
        <w:ind w:firstLine="748"/>
        <w:jc w:val="both"/>
      </w:pPr>
      <w:r w:rsidRPr="0034005C">
        <w:t>Vadovaudamasi Lietuvos Respublikos vietos savivaldos įstatymo 16 straipsnio 4 dalimi,  Lietuvos Respublikos piniginės socialinės paramos nepasiturintiems gyventojams įstatymo  11 straipsnio 3 dalimi, Pagėgių savivaldybės taryba  n u s p r e n d ž i a:</w:t>
      </w:r>
    </w:p>
    <w:p w:rsidR="003D5291" w:rsidRPr="0034005C" w:rsidRDefault="003D5291" w:rsidP="00552324">
      <w:pPr>
        <w:tabs>
          <w:tab w:val="left" w:pos="912"/>
        </w:tabs>
        <w:ind w:firstLine="720"/>
        <w:jc w:val="both"/>
      </w:pPr>
      <w:r w:rsidRPr="0034005C">
        <w:t xml:space="preserve">1. </w:t>
      </w:r>
      <w:r w:rsidRPr="001631E7">
        <w:rPr>
          <w:kern w:val="24"/>
        </w:rPr>
        <w:t>Patvirtinti</w:t>
      </w:r>
      <w:r w:rsidRPr="0034005C">
        <w:t xml:space="preserve"> </w:t>
      </w:r>
      <w:r>
        <w:t xml:space="preserve">2018 – 2019 metų šildymo sezono </w:t>
      </w:r>
      <w:r w:rsidRPr="0034005C">
        <w:t>vidutines kietojo ar kitokio kuro, kurio fa</w:t>
      </w:r>
      <w:r w:rsidRPr="0034005C">
        <w:t>k</w:t>
      </w:r>
      <w:r w:rsidRPr="0034005C">
        <w:t>tinės sąnaudos kiekvieną mėnesį nenustatomos, kainas (įskaitant PVM) būsto šildymo išlaidų ir i</w:t>
      </w:r>
      <w:r w:rsidRPr="0034005C">
        <w:t>š</w:t>
      </w:r>
      <w:r w:rsidRPr="0034005C">
        <w:t>laidų karštam vandeniui kompensacijoms, naudojant kietąjį ar kitokį kurą, apskaičiuoti:</w:t>
      </w:r>
    </w:p>
    <w:p w:rsidR="003D5291" w:rsidRPr="0034005C" w:rsidRDefault="003D5291" w:rsidP="00552324">
      <w:pPr>
        <w:ind w:firstLine="720"/>
        <w:jc w:val="both"/>
      </w:pPr>
      <w:r w:rsidRPr="0034005C">
        <w:t xml:space="preserve">1.1. vieno kubinio metro (kietmetrio) malkų kaina (pateikus pirkimo dokumentus) – </w:t>
      </w:r>
      <w:r>
        <w:t>45 Eur;</w:t>
      </w:r>
    </w:p>
    <w:p w:rsidR="003D5291" w:rsidRPr="0034005C" w:rsidRDefault="003D5291" w:rsidP="00552324">
      <w:pPr>
        <w:ind w:firstLine="720"/>
        <w:jc w:val="both"/>
      </w:pPr>
      <w:r w:rsidRPr="0034005C">
        <w:t xml:space="preserve">1.2. vieno kubinio metro (kietmetrio) malkų kaina (be pirkimo dokumentų) – </w:t>
      </w:r>
      <w:r>
        <w:t>35 Eur</w:t>
      </w:r>
      <w:r w:rsidRPr="0034005C">
        <w:t>;</w:t>
      </w:r>
    </w:p>
    <w:p w:rsidR="003D5291" w:rsidRPr="0034005C" w:rsidRDefault="003D5291" w:rsidP="00552324">
      <w:pPr>
        <w:ind w:firstLine="720"/>
        <w:jc w:val="both"/>
      </w:pPr>
      <w:r>
        <w:t xml:space="preserve">1.3. vienos tonos </w:t>
      </w:r>
      <w:r w:rsidRPr="0034005C">
        <w:t xml:space="preserve">akmens anglių kaina (pateikus pirkimo dokumentus) – </w:t>
      </w:r>
      <w:r>
        <w:t>168 Eur</w:t>
      </w:r>
      <w:r w:rsidRPr="0034005C">
        <w:t>;</w:t>
      </w:r>
    </w:p>
    <w:p w:rsidR="003D5291" w:rsidRPr="0034005C" w:rsidRDefault="003D5291" w:rsidP="00552324">
      <w:pPr>
        <w:ind w:firstLine="720"/>
        <w:jc w:val="both"/>
      </w:pPr>
      <w:r w:rsidRPr="0034005C">
        <w:t>1.4</w:t>
      </w:r>
      <w:r>
        <w:t xml:space="preserve">. </w:t>
      </w:r>
      <w:r w:rsidRPr="0034005C">
        <w:t>kai būsto šildymui ir karšto vandens ruošimui naudojamas kitoks kuras (pateikus pirk</w:t>
      </w:r>
      <w:r w:rsidRPr="0034005C">
        <w:t>i</w:t>
      </w:r>
      <w:r w:rsidRPr="0034005C">
        <w:t xml:space="preserve">mo dokumentus), jo vidutinė kaina prilyginama vidutinei vieno kubinio metro (kietmetrio) malkų kainai – </w:t>
      </w:r>
      <w:r>
        <w:t>45 Eur</w:t>
      </w:r>
      <w:r w:rsidRPr="0034005C">
        <w:t>;</w:t>
      </w:r>
    </w:p>
    <w:p w:rsidR="003D5291" w:rsidRPr="0034005C" w:rsidRDefault="003D5291" w:rsidP="00552324">
      <w:pPr>
        <w:ind w:firstLine="720"/>
        <w:jc w:val="both"/>
      </w:pPr>
      <w:r w:rsidRPr="0034005C">
        <w:t>1.5. kai būsto šildymui ir karšto vandens ruošimui naudojamas kitoks kuras</w:t>
      </w:r>
      <w:r>
        <w:t xml:space="preserve"> (be pirkimo d</w:t>
      </w:r>
      <w:r>
        <w:t>o</w:t>
      </w:r>
      <w:r>
        <w:t>kumentų)</w:t>
      </w:r>
      <w:r w:rsidRPr="0034005C">
        <w:t xml:space="preserve">, jo vidutinė kaina prilyginama vidutinei vieno kubinio metro (kietmetrio) malkų kainai – </w:t>
      </w:r>
      <w:r>
        <w:t>35 Eur</w:t>
      </w:r>
      <w:r w:rsidRPr="0034005C">
        <w:t>.</w:t>
      </w:r>
    </w:p>
    <w:p w:rsidR="003D5291" w:rsidRDefault="003D5291" w:rsidP="00552324">
      <w:pPr>
        <w:tabs>
          <w:tab w:val="left" w:pos="912"/>
        </w:tabs>
        <w:ind w:firstLine="720"/>
        <w:jc w:val="both"/>
      </w:pPr>
      <w:r w:rsidRPr="0034005C">
        <w:t>2. Nustatyti, kad šio sprendimo 1 punktu patvirtintos kainos taikomos apskaičiuojant</w:t>
      </w:r>
      <w:r>
        <w:t xml:space="preserve"> </w:t>
      </w:r>
      <w:r w:rsidRPr="0034005C">
        <w:t>būsto šildymo išlaidų ir išlaidų karštam vandeniui kompensacijų dydį</w:t>
      </w:r>
      <w:r>
        <w:t>,</w:t>
      </w:r>
      <w:r w:rsidRPr="0034005C">
        <w:t xml:space="preserve"> naudojantiems kietąjį ar kitokį k</w:t>
      </w:r>
      <w:r w:rsidRPr="0034005C">
        <w:t>u</w:t>
      </w:r>
      <w:r w:rsidRPr="0034005C">
        <w:t>rą</w:t>
      </w:r>
      <w:r>
        <w:t xml:space="preserve">, už </w:t>
      </w:r>
      <w:r w:rsidRPr="0034005C">
        <w:t>201</w:t>
      </w:r>
      <w:r>
        <w:t>8</w:t>
      </w:r>
      <w:r w:rsidRPr="0034005C">
        <w:t xml:space="preserve"> – </w:t>
      </w:r>
      <w:r>
        <w:t xml:space="preserve"> 2019 metų šildymo sezoną.</w:t>
      </w:r>
    </w:p>
    <w:p w:rsidR="003D5291" w:rsidRDefault="003D5291" w:rsidP="00173A99">
      <w:pPr>
        <w:pStyle w:val="BodyText"/>
        <w:ind w:firstLine="720"/>
        <w:jc w:val="both"/>
        <w:rPr>
          <w:lang w:val="pt-BR"/>
        </w:rPr>
      </w:pPr>
      <w:r>
        <w:t xml:space="preserve">3. </w:t>
      </w:r>
      <w:r>
        <w:rPr>
          <w:lang w:val="pt-BR"/>
        </w:rPr>
        <w:t xml:space="preserve">Sprendimą paskelbti Teisės aktų registre ir Pagėgių savivaldybės interneto svetainėje </w:t>
      </w:r>
      <w:hyperlink r:id="rId6" w:history="1">
        <w:r w:rsidRPr="00AC13E1">
          <w:rPr>
            <w:rStyle w:val="Hyperlink"/>
            <w:color w:val="auto"/>
            <w:u w:val="none"/>
            <w:lang w:val="pt-BR"/>
          </w:rPr>
          <w:t>www.pagegiai.lt</w:t>
        </w:r>
      </w:hyperlink>
      <w:r>
        <w:rPr>
          <w:lang w:val="pt-BR"/>
        </w:rPr>
        <w:t>.</w:t>
      </w:r>
    </w:p>
    <w:p w:rsidR="003D5291" w:rsidRDefault="003D5291" w:rsidP="00173A99">
      <w:pPr>
        <w:pStyle w:val="Default"/>
        <w:ind w:firstLine="720"/>
        <w:jc w:val="both"/>
      </w:pPr>
      <w: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3D5291" w:rsidRPr="006419A6" w:rsidRDefault="003D5291" w:rsidP="00173A99">
      <w:pPr>
        <w:pStyle w:val="HTMLPreformatted"/>
        <w:tabs>
          <w:tab w:val="clear" w:pos="916"/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291" w:rsidRDefault="003D5291" w:rsidP="00173A99">
      <w:pPr>
        <w:jc w:val="both"/>
      </w:pPr>
    </w:p>
    <w:p w:rsidR="003D5291" w:rsidRPr="001A166F" w:rsidRDefault="003D5291" w:rsidP="00173A99">
      <w:pPr>
        <w:jc w:val="both"/>
      </w:pPr>
      <w:r w:rsidRPr="001A166F">
        <w:t>SUDERINTA:</w:t>
      </w:r>
    </w:p>
    <w:p w:rsidR="003D5291" w:rsidRDefault="003D5291" w:rsidP="00173A99">
      <w:pPr>
        <w:jc w:val="both"/>
      </w:pPr>
    </w:p>
    <w:p w:rsidR="003D5291" w:rsidRPr="001A166F" w:rsidRDefault="003D5291" w:rsidP="00173A99">
      <w:pPr>
        <w:jc w:val="both"/>
      </w:pPr>
      <w:r w:rsidRPr="001A166F">
        <w:t>Administracijos direktorė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</w:t>
      </w:r>
      <w:r w:rsidRPr="001A166F">
        <w:t>Dainora Butvydienė</w:t>
      </w:r>
    </w:p>
    <w:p w:rsidR="003D5291" w:rsidRDefault="003D5291" w:rsidP="00173A99"/>
    <w:p w:rsidR="003D5291" w:rsidRPr="001A166F" w:rsidRDefault="003D5291" w:rsidP="00173A99">
      <w:r w:rsidRPr="001A166F">
        <w:t>Kalbo</w:t>
      </w:r>
      <w:r>
        <w:t>s ir archyvo tvarkytoja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A166F">
        <w:t>Laimutė Mickevičienė</w:t>
      </w:r>
    </w:p>
    <w:p w:rsidR="003D5291" w:rsidRDefault="003D5291" w:rsidP="00173A99"/>
    <w:p w:rsidR="003D5291" w:rsidRDefault="003D5291" w:rsidP="00173A99">
      <w:r>
        <w:tab/>
      </w:r>
      <w:r>
        <w:tab/>
        <w:t xml:space="preserve">        </w:t>
      </w:r>
    </w:p>
    <w:p w:rsidR="003D5291" w:rsidRDefault="003D5291" w:rsidP="00173A9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D5291" w:rsidRPr="00657F1E" w:rsidRDefault="003D5291" w:rsidP="00173A9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57F1E">
        <w:rPr>
          <w:rFonts w:ascii="Times New Roman" w:hAnsi="Times New Roman" w:cs="Times New Roman"/>
          <w:sz w:val="24"/>
          <w:szCs w:val="24"/>
        </w:rPr>
        <w:t>Parengė</w:t>
      </w:r>
    </w:p>
    <w:p w:rsidR="003D5291" w:rsidRPr="00657F1E" w:rsidRDefault="003D5291" w:rsidP="00173A9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57F1E">
        <w:rPr>
          <w:rFonts w:ascii="Times New Roman" w:hAnsi="Times New Roman" w:cs="Times New Roman"/>
          <w:sz w:val="24"/>
          <w:szCs w:val="24"/>
        </w:rPr>
        <w:t>Administracijos vyriausioji ekonomistė</w:t>
      </w:r>
    </w:p>
    <w:p w:rsidR="003D5291" w:rsidRDefault="003D5291" w:rsidP="00173A9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D5291" w:rsidRPr="006419A6" w:rsidRDefault="003D5291" w:rsidP="00173A9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419A6">
        <w:rPr>
          <w:rFonts w:ascii="Times New Roman" w:hAnsi="Times New Roman" w:cs="Times New Roman"/>
          <w:sz w:val="24"/>
          <w:szCs w:val="24"/>
        </w:rPr>
        <w:t>Dalija Irena Einikienė</w:t>
      </w:r>
    </w:p>
    <w:p w:rsidR="003D5291" w:rsidRDefault="003D5291" w:rsidP="001E224B">
      <w:pPr>
        <w:rPr>
          <w:sz w:val="20"/>
          <w:szCs w:val="20"/>
        </w:rPr>
      </w:pPr>
    </w:p>
    <w:p w:rsidR="003D5291" w:rsidRDefault="003D5291" w:rsidP="001E224B">
      <w:pPr>
        <w:rPr>
          <w:sz w:val="20"/>
          <w:szCs w:val="20"/>
        </w:rPr>
      </w:pPr>
    </w:p>
    <w:p w:rsidR="003D5291" w:rsidRDefault="003D5291" w:rsidP="00D15E52">
      <w:pPr>
        <w:ind w:left="5102"/>
        <w:jc w:val="both"/>
        <w:rPr>
          <w:color w:val="000000"/>
        </w:rPr>
      </w:pPr>
      <w:r>
        <w:rPr>
          <w:color w:val="000000"/>
        </w:rPr>
        <w:t>Pagėgių savivaldybės tarybos</w:t>
      </w:r>
    </w:p>
    <w:p w:rsidR="003D5291" w:rsidRDefault="003D5291" w:rsidP="00D15E52">
      <w:pPr>
        <w:ind w:left="5102"/>
        <w:jc w:val="both"/>
        <w:rPr>
          <w:color w:val="000000"/>
        </w:rPr>
      </w:pPr>
      <w:r>
        <w:rPr>
          <w:color w:val="000000"/>
        </w:rPr>
        <w:t>veiklos reglamento</w:t>
      </w:r>
    </w:p>
    <w:p w:rsidR="003D5291" w:rsidRDefault="003D5291" w:rsidP="00D15E52">
      <w:pPr>
        <w:ind w:left="5102"/>
        <w:jc w:val="both"/>
        <w:rPr>
          <w:color w:val="000000"/>
        </w:rPr>
      </w:pPr>
      <w:r>
        <w:rPr>
          <w:color w:val="000000"/>
        </w:rPr>
        <w:t>2 priedas</w:t>
      </w:r>
    </w:p>
    <w:p w:rsidR="003D5291" w:rsidRDefault="003D5291" w:rsidP="00D15E52">
      <w:pPr>
        <w:pStyle w:val="statymopavad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3D5291" w:rsidRDefault="003D5291" w:rsidP="00D15E52">
      <w:pPr>
        <w:pStyle w:val="statymopavad"/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DĖL 2018 – 2019 m. šildymo sezono vidutinių kuro kainų, taikomų kompensacijoms apskaičiuoti, patvirtinimo</w:t>
      </w:r>
    </w:p>
    <w:p w:rsidR="003D5291" w:rsidRDefault="003D5291" w:rsidP="00D15E52">
      <w:pPr>
        <w:ind w:firstLine="720"/>
        <w:jc w:val="center"/>
        <w:rPr>
          <w:color w:val="000000"/>
        </w:rPr>
      </w:pPr>
      <w:r>
        <w:rPr>
          <w:color w:val="000000"/>
        </w:rPr>
        <w:t>__________________________________________________________                          (Tarybos sprendimo projekto pavadinimas)</w:t>
      </w:r>
    </w:p>
    <w:p w:rsidR="003D5291" w:rsidRDefault="003D5291" w:rsidP="00D15E52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3D5291" w:rsidRDefault="003D5291" w:rsidP="00D15E52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________2018 10 22______________</w:t>
      </w:r>
    </w:p>
    <w:p w:rsidR="003D5291" w:rsidRDefault="003D5291" w:rsidP="00D15E52">
      <w:pPr>
        <w:ind w:firstLine="720"/>
        <w:jc w:val="center"/>
        <w:rPr>
          <w:color w:val="000000"/>
        </w:rPr>
      </w:pPr>
      <w:r>
        <w:rPr>
          <w:color w:val="000000"/>
        </w:rPr>
        <w:t>(Data)</w:t>
      </w:r>
    </w:p>
    <w:p w:rsidR="003D5291" w:rsidRDefault="003D5291" w:rsidP="00D15E52">
      <w:pPr>
        <w:ind w:firstLine="720"/>
        <w:jc w:val="center"/>
        <w:rPr>
          <w:color w:val="000000"/>
        </w:rPr>
      </w:pPr>
    </w:p>
    <w:p w:rsidR="003D5291" w:rsidRDefault="003D5291" w:rsidP="00D15E52">
      <w:pPr>
        <w:widowControl w:val="0"/>
        <w:ind w:left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 Parengto projekto tikslai ir uždaviniai</w:t>
      </w:r>
    </w:p>
    <w:p w:rsidR="003D5291" w:rsidRDefault="003D5291" w:rsidP="00D15E52">
      <w:pPr>
        <w:ind w:firstLine="720"/>
        <w:jc w:val="both"/>
        <w:rPr>
          <w:color w:val="000000"/>
        </w:rPr>
      </w:pPr>
      <w:r>
        <w:rPr>
          <w:color w:val="000000"/>
        </w:rPr>
        <w:t>Patvirtinti vidutines kuro kainas, kurios bus taikomos 2018 – 2019 metų šildymo sezono būsto šildymo išlaidų kompensacijoms apskaičiuoti</w:t>
      </w:r>
    </w:p>
    <w:p w:rsidR="003D5291" w:rsidRDefault="003D5291" w:rsidP="00D15E52">
      <w:pPr>
        <w:widowControl w:val="0"/>
        <w:ind w:left="720"/>
        <w:jc w:val="both"/>
        <w:rPr>
          <w:b/>
          <w:bCs/>
          <w:i/>
          <w:iCs/>
          <w:color w:val="000000"/>
        </w:rPr>
      </w:pPr>
    </w:p>
    <w:p w:rsidR="003D5291" w:rsidRDefault="003D5291" w:rsidP="00D15E52">
      <w:pPr>
        <w:widowControl w:val="0"/>
        <w:ind w:left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2. Kaip šiuo metu yra sureguliuoti projekte aptarti klausimai</w:t>
      </w:r>
    </w:p>
    <w:p w:rsidR="003D5291" w:rsidRPr="00337585" w:rsidRDefault="003D5291" w:rsidP="00D15E52">
      <w:pPr>
        <w:widowControl w:val="0"/>
        <w:ind w:firstLine="567"/>
        <w:jc w:val="both"/>
        <w:rPr>
          <w:rStyle w:val="LLCTekstas"/>
        </w:rPr>
      </w:pPr>
      <w:r>
        <w:t>Vadovaujantis Lietuvos Respublikos piniginės socialinės paramos nepasiturintiems gyvent</w:t>
      </w:r>
      <w:r>
        <w:t>o</w:t>
      </w:r>
      <w:r>
        <w:t>jams įstatymo 11 straipsnio 3 dalimi, būsto šildymo ir karšto vandens išlaidos , kai kietojo ar kit</w:t>
      </w:r>
      <w:r>
        <w:t>o</w:t>
      </w:r>
      <w:r>
        <w:t>kio kuro, kurio faktinės sąnaudos kiekvieną mėnesį nenustatomos, Savivaldybėje tvirtinamos vid</w:t>
      </w:r>
      <w:r>
        <w:t>u</w:t>
      </w:r>
      <w:r>
        <w:t xml:space="preserve">tinės kuro kainos. </w:t>
      </w:r>
      <w:r>
        <w:rPr>
          <w:rStyle w:val="LLCTekstas"/>
        </w:rPr>
        <w:t>Bendrai gyvenantiems asmenims arba vienam gyvenančiam asmeniui kompe</w:t>
      </w:r>
      <w:r>
        <w:rPr>
          <w:rStyle w:val="LLCTekstas"/>
        </w:rPr>
        <w:t>n</w:t>
      </w:r>
      <w:r>
        <w:rPr>
          <w:rStyle w:val="LLCTekstas"/>
        </w:rPr>
        <w:t>suojama: šildymo sezono metu – būsto šildymo išlaidų, kai naudingasis būsto plotas ir atskirų ene</w:t>
      </w:r>
      <w:r>
        <w:rPr>
          <w:rStyle w:val="LLCTekstas"/>
        </w:rPr>
        <w:t>r</w:t>
      </w:r>
      <w:r>
        <w:rPr>
          <w:rStyle w:val="LLCTekstas"/>
        </w:rPr>
        <w:t>gijos ar kuro rūšių sąnaudos būstui šildyti ne didesni už įstatymo nustatytus normatyvus, dalis, vi</w:t>
      </w:r>
      <w:r>
        <w:rPr>
          <w:rStyle w:val="LLCTekstas"/>
        </w:rPr>
        <w:t>r</w:t>
      </w:r>
      <w:r>
        <w:rPr>
          <w:rStyle w:val="LLCTekstas"/>
        </w:rPr>
        <w:t>šijanti 20 procentų skirtumo tarp bendrai gyvenančių asmenų arba vieno gyvenančio asmens pajamų ir valstybės remiamų pajamų bendrai gyvenantiems asmenims arba vienam gyvenančiam asmeniui dydžio;</w:t>
      </w:r>
    </w:p>
    <w:p w:rsidR="003D5291" w:rsidRDefault="003D5291" w:rsidP="00D15E52">
      <w:pPr>
        <w:pStyle w:val="LLPTekstas"/>
        <w:rPr>
          <w:rStyle w:val="LLCTekstas"/>
        </w:rPr>
      </w:pPr>
      <w:r>
        <w:rPr>
          <w:rStyle w:val="LLCTekstas"/>
        </w:rPr>
        <w:t>Kompensacijoms apskaičiuoti taikomi šie normatyvai: naudingojo būsto ploto normatyvas būste gyvenamąją vietą deklaravusiems arba būstą nuomojantiems asmenims: 50 kvadratinių metrų vienam gyvenančiam asmeniui; 38 kvadratiniai metrai pirmam bendrai gyvenančiam asmeniui; 12 kvadratinių metrų antram bendrai gyvenančiam asmeniui; 10 kvadratinių metrų trečiam ir kiekvi</w:t>
      </w:r>
      <w:r>
        <w:rPr>
          <w:rStyle w:val="LLCTekstas"/>
        </w:rPr>
        <w:t>e</w:t>
      </w:r>
      <w:r>
        <w:rPr>
          <w:rStyle w:val="LLCTekstas"/>
        </w:rPr>
        <w:t xml:space="preserve">nam paskesniam bendrai gyvenančiam asmeniui. </w:t>
      </w:r>
    </w:p>
    <w:p w:rsidR="003D5291" w:rsidRDefault="003D5291" w:rsidP="00D15E52">
      <w:pPr>
        <w:pStyle w:val="LLPTekstas"/>
        <w:ind w:firstLine="1080"/>
      </w:pPr>
      <w:r>
        <w:t xml:space="preserve">Kompensacijos skiriamos vadovaujantis </w:t>
      </w:r>
      <w:r>
        <w:rPr>
          <w:rStyle w:val="LLCTekstas"/>
        </w:rPr>
        <w:t>Piniginės socialinės paramos nepasiturintiems Pagėgių savivaldybės gyventojams teikimo tvarkos aprašu,  patvirtintu Pagėgių savivaldybės tar</w:t>
      </w:r>
      <w:r>
        <w:rPr>
          <w:rStyle w:val="LLCTekstas"/>
        </w:rPr>
        <w:t>y</w:t>
      </w:r>
      <w:r>
        <w:rPr>
          <w:rStyle w:val="LLCTekstas"/>
        </w:rPr>
        <w:t>bos 2015 m. balandžio 2 d. sprendimu Nr. T-45 ,,Dėl piniginės socialinės paramos nepasiturintiems Pagėgių savivaldybės gyventojams teikimo tvarkos aprašo patvirtinimo“.</w:t>
      </w:r>
    </w:p>
    <w:p w:rsidR="003D5291" w:rsidRDefault="003D5291" w:rsidP="00D15E52">
      <w:pPr>
        <w:widowControl w:val="0"/>
        <w:ind w:left="720"/>
        <w:jc w:val="both"/>
        <w:rPr>
          <w:b/>
          <w:bCs/>
          <w:i/>
          <w:iCs/>
          <w:color w:val="000000"/>
        </w:rPr>
      </w:pPr>
    </w:p>
    <w:p w:rsidR="003D5291" w:rsidRDefault="003D5291" w:rsidP="00D15E52">
      <w:pPr>
        <w:widowControl w:val="0"/>
        <w:ind w:left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3. Kokių teigiamų rezultatų laukiama</w:t>
      </w:r>
    </w:p>
    <w:p w:rsidR="003D5291" w:rsidRDefault="003D5291" w:rsidP="00D15E52">
      <w:pPr>
        <w:ind w:firstLine="720"/>
        <w:jc w:val="both"/>
        <w:rPr>
          <w:color w:val="000000"/>
        </w:rPr>
      </w:pPr>
      <w:r>
        <w:rPr>
          <w:color w:val="000000"/>
        </w:rPr>
        <w:t>Asmenys, pagal galiojančius teisės aktus turintys teisę į būsto šildymo ir karšto vandens i</w:t>
      </w:r>
      <w:r>
        <w:rPr>
          <w:color w:val="000000"/>
        </w:rPr>
        <w:t>š</w:t>
      </w:r>
      <w:r>
        <w:rPr>
          <w:color w:val="000000"/>
        </w:rPr>
        <w:t>laidų kompensacijas, gaus piniginę socialinę paramą.</w:t>
      </w:r>
    </w:p>
    <w:p w:rsidR="003D5291" w:rsidRDefault="003D5291" w:rsidP="00D15E52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</w:p>
    <w:p w:rsidR="003D5291" w:rsidRDefault="003D5291" w:rsidP="00D15E52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4. Galimos neigiamos priimto projekto pasekmės ir kokių priemonių reikėtų imtis, kad tokių pasekmių būtų išvengta</w:t>
      </w:r>
    </w:p>
    <w:p w:rsidR="003D5291" w:rsidRDefault="003D5291" w:rsidP="00D15E52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-</w:t>
      </w:r>
    </w:p>
    <w:p w:rsidR="003D5291" w:rsidRDefault="003D5291" w:rsidP="00D15E52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5. Kokius galiojančius aktus (tarybos, mero, savivaldybės administracijos direktoriaus) reikėtų pakeisti ir panaikinti, priėmus sprendimą pagal teikiamą projektą</w:t>
      </w:r>
    </w:p>
    <w:p w:rsidR="003D5291" w:rsidRDefault="003D5291" w:rsidP="00D15E52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-</w:t>
      </w:r>
    </w:p>
    <w:p w:rsidR="003D5291" w:rsidRDefault="003D5291" w:rsidP="00D15E52">
      <w:pPr>
        <w:widowControl w:val="0"/>
        <w:ind w:left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6. Jeigu priimtam sprendimui reikės kito tarybos sprendimo, mero potvarkio ar adminis</w:t>
      </w:r>
      <w:r>
        <w:rPr>
          <w:b/>
          <w:bCs/>
          <w:i/>
          <w:iCs/>
          <w:color w:val="000000"/>
        </w:rPr>
        <w:t>t</w:t>
      </w:r>
      <w:r>
        <w:rPr>
          <w:b/>
          <w:bCs/>
          <w:i/>
          <w:iCs/>
          <w:color w:val="000000"/>
        </w:rPr>
        <w:t>racijos direktoriaus įsakymo, kas ir kada juos turėtų parengti</w:t>
      </w:r>
    </w:p>
    <w:p w:rsidR="003D5291" w:rsidRDefault="003D5291" w:rsidP="00D15E52">
      <w:pPr>
        <w:ind w:left="108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</w:t>
      </w:r>
    </w:p>
    <w:p w:rsidR="003D5291" w:rsidRDefault="003D5291" w:rsidP="00D15E52">
      <w:pPr>
        <w:widowControl w:val="0"/>
        <w:tabs>
          <w:tab w:val="left" w:pos="0"/>
        </w:tabs>
        <w:ind w:left="360" w:right="360" w:firstLine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  Ar reikalinga atlikti sprendimo projekto antikorupcinį vertinimą</w:t>
      </w:r>
    </w:p>
    <w:p w:rsidR="003D5291" w:rsidRDefault="003D5291" w:rsidP="00D15E52">
      <w:pPr>
        <w:pStyle w:val="ListParagraph"/>
        <w:ind w:left="1080" w:firstLine="360"/>
        <w:rPr>
          <w:color w:val="000000"/>
          <w:lang w:val="lt-LT"/>
        </w:rPr>
      </w:pPr>
      <w:r>
        <w:rPr>
          <w:color w:val="000000"/>
          <w:lang w:val="lt-LT"/>
        </w:rPr>
        <w:t>Taip</w:t>
      </w:r>
    </w:p>
    <w:p w:rsidR="003D5291" w:rsidRDefault="003D5291" w:rsidP="00D15E52">
      <w:pPr>
        <w:widowControl w:val="0"/>
        <w:tabs>
          <w:tab w:val="left" w:pos="0"/>
        </w:tabs>
        <w:ind w:left="360" w:righ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8. Sprendimo vykdytojai ir įvykdymo terminai, lėšų, reikalingų sprendimui įgyvendinti, poreikis (jeigu tai numatoma – derinti su Finansų skyriumi)</w:t>
      </w:r>
    </w:p>
    <w:p w:rsidR="003D5291" w:rsidRDefault="003D5291" w:rsidP="00D15E52">
      <w:pPr>
        <w:widowControl w:val="0"/>
        <w:tabs>
          <w:tab w:val="left" w:pos="0"/>
        </w:tabs>
        <w:ind w:right="360"/>
        <w:jc w:val="both"/>
        <w:rPr>
          <w:b/>
          <w:bCs/>
        </w:rPr>
      </w:pPr>
      <w:r>
        <w:rPr>
          <w:b/>
          <w:bCs/>
          <w:i/>
          <w:iCs/>
        </w:rPr>
        <w:tab/>
      </w:r>
      <w:r>
        <w:rPr>
          <w:rStyle w:val="LLCTekstas"/>
        </w:rPr>
        <w:t>Piniginę socialinę paramą savivaldybė teikia vykdydama savarankiškąją savivaldybių funkciją, kuri yra finansuojama iš savivaldybės biudžetų lėšų. 2017 m. kompensacijoms išm</w:t>
      </w:r>
      <w:r>
        <w:rPr>
          <w:rStyle w:val="LLCTekstas"/>
        </w:rPr>
        <w:t>o</w:t>
      </w:r>
      <w:r>
        <w:rPr>
          <w:rStyle w:val="LLCTekstas"/>
        </w:rPr>
        <w:t xml:space="preserve">kėta 39,2 tūkst. eurų, 2018 m. planuojama  (pagal poreikį) – 37,0 tūkst. eurų. </w:t>
      </w:r>
    </w:p>
    <w:p w:rsidR="003D5291" w:rsidRDefault="003D5291" w:rsidP="00D15E52">
      <w:pPr>
        <w:widowControl w:val="0"/>
        <w:tabs>
          <w:tab w:val="left" w:pos="0"/>
        </w:tabs>
        <w:ind w:left="360" w:right="360" w:firstLine="360"/>
        <w:jc w:val="both"/>
        <w:rPr>
          <w:b/>
          <w:bCs/>
          <w:i/>
          <w:iCs/>
          <w:color w:val="000000"/>
        </w:rPr>
      </w:pPr>
    </w:p>
    <w:p w:rsidR="003D5291" w:rsidRDefault="003D5291" w:rsidP="00D15E52">
      <w:pPr>
        <w:widowControl w:val="0"/>
        <w:tabs>
          <w:tab w:val="left" w:pos="0"/>
        </w:tabs>
        <w:ind w:left="360" w:right="360" w:firstLine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9. Projekto rengimo metu gauti specialistų vertinimai ir išvados, ekonominiai apska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</w:rPr>
        <w:t>čiavimai (sąmatos)  ir konkretūs finansavimo šaltiniai</w:t>
      </w:r>
    </w:p>
    <w:p w:rsidR="003D5291" w:rsidRDefault="003D5291" w:rsidP="00D15E52">
      <w:pPr>
        <w:tabs>
          <w:tab w:val="left" w:pos="0"/>
        </w:tabs>
        <w:ind w:right="360"/>
        <w:jc w:val="both"/>
        <w:rPr>
          <w:color w:val="000000"/>
        </w:rPr>
      </w:pPr>
      <w:r>
        <w:rPr>
          <w:i/>
          <w:iCs/>
          <w:color w:val="000000"/>
        </w:rPr>
        <w:tab/>
      </w:r>
      <w:r w:rsidRPr="00D15E52">
        <w:rPr>
          <w:color w:val="000000"/>
        </w:rPr>
        <w:t>Valstybės įmonės valstybinių miškų urėdijos Šilutės regioninio padalinio 2018 10 22</w:t>
      </w:r>
      <w:r>
        <w:rPr>
          <w:color w:val="000000"/>
        </w:rPr>
        <w:t xml:space="preserve"> </w:t>
      </w:r>
      <w:r w:rsidRPr="00D15E52">
        <w:rPr>
          <w:color w:val="000000"/>
        </w:rPr>
        <w:t xml:space="preserve"> </w:t>
      </w:r>
      <w:r>
        <w:rPr>
          <w:color w:val="000000"/>
        </w:rPr>
        <w:t xml:space="preserve">skelbiamos </w:t>
      </w:r>
      <w:r w:rsidRPr="00D15E52">
        <w:rPr>
          <w:color w:val="000000"/>
        </w:rPr>
        <w:t xml:space="preserve">malkinės  medienos </w:t>
      </w:r>
      <w:r>
        <w:rPr>
          <w:color w:val="000000"/>
        </w:rPr>
        <w:t>ir UAB ,,Grasta“ akmens anglies kainos pateiktos lentelėje (pr</w:t>
      </w:r>
      <w:r>
        <w:rPr>
          <w:color w:val="000000"/>
        </w:rPr>
        <w:t>i</w:t>
      </w:r>
      <w:r>
        <w:rPr>
          <w:color w:val="000000"/>
        </w:rPr>
        <w:t>dedama):</w:t>
      </w:r>
    </w:p>
    <w:p w:rsidR="003D5291" w:rsidRDefault="003D5291" w:rsidP="00D15E52">
      <w:pPr>
        <w:widowControl w:val="0"/>
        <w:tabs>
          <w:tab w:val="left" w:pos="0"/>
        </w:tabs>
        <w:ind w:left="360" w:right="360" w:firstLine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10.  Projekto rengėjas ar rengėjų grupė.</w:t>
      </w:r>
    </w:p>
    <w:p w:rsidR="003D5291" w:rsidRDefault="003D5291" w:rsidP="00D15E52">
      <w:pPr>
        <w:widowControl w:val="0"/>
        <w:tabs>
          <w:tab w:val="left" w:pos="0"/>
        </w:tabs>
        <w:ind w:left="360" w:right="360" w:firstLine="360"/>
        <w:jc w:val="both"/>
        <w:rPr>
          <w:color w:val="000000"/>
        </w:rPr>
      </w:pPr>
      <w:r>
        <w:rPr>
          <w:color w:val="000000"/>
        </w:rPr>
        <w:t>Administracijos vyr. ekonomistė Dalija Irena Einikienė</w:t>
      </w:r>
    </w:p>
    <w:p w:rsidR="003D5291" w:rsidRDefault="003D5291" w:rsidP="00D15E52">
      <w:pPr>
        <w:widowControl w:val="0"/>
        <w:tabs>
          <w:tab w:val="left" w:pos="0"/>
        </w:tabs>
        <w:ind w:left="360" w:right="360" w:firstLine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 Kiti, rengėjo nuomone,  reikalingi pagrindimai ir paaiškinimai.</w:t>
      </w:r>
    </w:p>
    <w:p w:rsidR="003D5291" w:rsidRDefault="003D5291" w:rsidP="00D15E52">
      <w:pPr>
        <w:ind w:left="1080"/>
        <w:jc w:val="both"/>
        <w:rPr>
          <w:color w:val="000000"/>
        </w:rPr>
      </w:pPr>
      <w:r>
        <w:rPr>
          <w:color w:val="000000"/>
        </w:rPr>
        <w:t>-</w:t>
      </w:r>
    </w:p>
    <w:p w:rsidR="003D5291" w:rsidRDefault="003D5291" w:rsidP="00D15E52">
      <w:pPr>
        <w:jc w:val="both"/>
        <w:rPr>
          <w:color w:val="000000"/>
        </w:rPr>
      </w:pPr>
      <w:r>
        <w:rPr>
          <w:color w:val="000000"/>
          <w:u w:val="single"/>
        </w:rPr>
        <w:t>Administracijos vyr. ekonomistė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Dalija Irena Einikienė</w:t>
      </w:r>
      <w:r>
        <w:rPr>
          <w:color w:val="000000"/>
        </w:rPr>
        <w:tab/>
      </w:r>
    </w:p>
    <w:p w:rsidR="003D5291" w:rsidRDefault="003D5291" w:rsidP="00D15E52">
      <w:pPr>
        <w:ind w:left="1080"/>
        <w:jc w:val="both"/>
        <w:rPr>
          <w:color w:val="000000"/>
        </w:rPr>
      </w:pPr>
      <w:r>
        <w:rPr>
          <w:color w:val="000000"/>
        </w:rPr>
        <w:t>(Rengėjo pareigos)</w:t>
      </w:r>
      <w:r>
        <w:rPr>
          <w:color w:val="000000"/>
        </w:rPr>
        <w:tab/>
        <w:t>(Parašas)</w:t>
      </w:r>
      <w:r>
        <w:rPr>
          <w:color w:val="000000"/>
        </w:rPr>
        <w:tab/>
      </w:r>
      <w:r>
        <w:rPr>
          <w:color w:val="000000"/>
        </w:rPr>
        <w:tab/>
        <w:t>(Rengėjo varas, pavardė)</w:t>
      </w:r>
    </w:p>
    <w:p w:rsidR="003D5291" w:rsidRDefault="003D5291" w:rsidP="00D15E52">
      <w:pPr>
        <w:rPr>
          <w:sz w:val="20"/>
          <w:szCs w:val="20"/>
        </w:rPr>
      </w:pPr>
    </w:p>
    <w:p w:rsidR="003D5291" w:rsidRDefault="003D5291" w:rsidP="00D15E52">
      <w:pPr>
        <w:rPr>
          <w:sz w:val="20"/>
          <w:szCs w:val="20"/>
        </w:rPr>
      </w:pPr>
    </w:p>
    <w:p w:rsidR="003D5291" w:rsidRDefault="003D5291" w:rsidP="001E224B">
      <w:pPr>
        <w:rPr>
          <w:sz w:val="20"/>
          <w:szCs w:val="20"/>
        </w:rPr>
      </w:pPr>
    </w:p>
    <w:p w:rsidR="003D5291" w:rsidRDefault="003D5291" w:rsidP="001E224B">
      <w:pPr>
        <w:rPr>
          <w:sz w:val="20"/>
          <w:szCs w:val="20"/>
        </w:rPr>
      </w:pPr>
    </w:p>
    <w:tbl>
      <w:tblPr>
        <w:tblW w:w="9500" w:type="dxa"/>
        <w:tblInd w:w="-106" w:type="dxa"/>
        <w:tblLook w:val="0000"/>
      </w:tblPr>
      <w:tblGrid>
        <w:gridCol w:w="5200"/>
        <w:gridCol w:w="1540"/>
        <w:gridCol w:w="1120"/>
        <w:gridCol w:w="1640"/>
      </w:tblGrid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 xml:space="preserve">                         KURO KAINOS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2018 10 22</w:t>
            </w:r>
          </w:p>
        </w:tc>
      </w:tr>
      <w:tr w:rsidR="003D5291" w:rsidRPr="00B84C7E">
        <w:trPr>
          <w:trHeight w:val="126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Kuro rūšis (kategorija) / paslaugos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Kaina Eur/ m3                            (be PVM)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PVM Eur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Iš viso   Eur/m3</w:t>
            </w:r>
          </w:p>
        </w:tc>
      </w:tr>
      <w:tr w:rsidR="003D5291" w:rsidRPr="00B84C7E">
        <w:trPr>
          <w:trHeight w:val="40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Šilutės regioninis padalinys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 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I kat. malkos (ąžuolas, beržas, uosis)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45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II kat. malkos (pušis, juodalksnis)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40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III kat. malkos (eglė, drebulė)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39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Vidutinė I-III kat. kaina Eur/ m3)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B84C7E">
              <w:rPr>
                <w:b/>
                <w:bCs/>
                <w:i/>
                <w:iCs/>
                <w:color w:val="FF0000"/>
                <w:lang w:eastAsia="lt-LT"/>
              </w:rPr>
              <w:t>41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lang w:eastAsia="lt-LT"/>
              </w:rPr>
            </w:pPr>
            <w:r w:rsidRPr="00B84C7E">
              <w:rPr>
                <w:i/>
                <w:iCs/>
                <w:color w:val="FF0000"/>
                <w:lang w:eastAsia="lt-LT"/>
              </w:rPr>
              <w:t> </w:t>
            </w:r>
          </w:p>
        </w:tc>
      </w:tr>
      <w:tr w:rsidR="003D5291" w:rsidRPr="00B84C7E">
        <w:trPr>
          <w:trHeight w:val="4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Atvežimas (kaina už 1 m</w:t>
            </w:r>
            <w:r w:rsidRPr="00B84C7E">
              <w:rPr>
                <w:b/>
                <w:bCs/>
                <w:i/>
                <w:iCs/>
                <w:vertAlign w:val="superscript"/>
                <w:lang w:eastAsia="lt-LT"/>
              </w:rPr>
              <w:t>3</w:t>
            </w:r>
            <w:r w:rsidRPr="00B84C7E">
              <w:rPr>
                <w:b/>
                <w:bCs/>
                <w:i/>
                <w:iCs/>
                <w:lang w:eastAsia="lt-LT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B84C7E">
              <w:rPr>
                <w:b/>
                <w:bCs/>
                <w:i/>
                <w:iCs/>
                <w:color w:val="FF0000"/>
                <w:lang w:eastAsia="lt-LT"/>
              </w:rPr>
              <w:t>7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Vidutinė kaina su atvežimu Eur/ m3)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B84C7E">
              <w:rPr>
                <w:b/>
                <w:bCs/>
                <w:i/>
                <w:iCs/>
                <w:color w:val="FF0000"/>
                <w:lang w:eastAsia="lt-LT"/>
              </w:rPr>
              <w:t>48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 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Akmens anglis (sveriama)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lang w:eastAsia="lt-LT"/>
              </w:rPr>
            </w:pPr>
            <w:r w:rsidRPr="00B84C7E">
              <w:rPr>
                <w:i/>
                <w:iCs/>
                <w:lang w:eastAsia="lt-LT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lang w:eastAsia="lt-LT"/>
              </w:rPr>
            </w:pPr>
            <w:r w:rsidRPr="00B84C7E">
              <w:rPr>
                <w:b/>
                <w:bCs/>
                <w:i/>
                <w:iCs/>
                <w:lang w:eastAsia="lt-LT"/>
              </w:rPr>
              <w:t>168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FFFF"/>
                <w:lang w:eastAsia="lt-LT"/>
              </w:rPr>
            </w:pPr>
            <w:r w:rsidRPr="00B84C7E">
              <w:rPr>
                <w:i/>
                <w:iCs/>
                <w:color w:val="FFFFFF"/>
                <w:lang w:eastAsia="lt-L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FFFF"/>
                <w:lang w:eastAsia="lt-LT"/>
              </w:rPr>
            </w:pPr>
            <w:r w:rsidRPr="00B84C7E">
              <w:rPr>
                <w:i/>
                <w:iCs/>
                <w:color w:val="FFFFFF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FFFF"/>
                <w:lang w:eastAsia="lt-LT"/>
              </w:rPr>
            </w:pPr>
            <w:r w:rsidRPr="00B84C7E">
              <w:rPr>
                <w:i/>
                <w:iCs/>
                <w:color w:val="FFFFFF"/>
                <w:lang w:eastAsia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FFFF"/>
                <w:lang w:eastAsia="lt-LT"/>
              </w:rPr>
            </w:pPr>
            <w:r w:rsidRPr="00B84C7E">
              <w:rPr>
                <w:i/>
                <w:iCs/>
                <w:color w:val="FFFFFF"/>
                <w:lang w:eastAsia="lt-LT"/>
              </w:rPr>
              <w:t> </w:t>
            </w:r>
          </w:p>
        </w:tc>
      </w:tr>
      <w:tr w:rsidR="003D5291" w:rsidRPr="00B84C7E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FFFF"/>
                <w:lang w:eastAsia="lt-LT"/>
              </w:rPr>
            </w:pPr>
            <w:r w:rsidRPr="00B84C7E">
              <w:rPr>
                <w:i/>
                <w:iCs/>
                <w:color w:val="FFFFFF"/>
                <w:lang w:eastAsia="lt-L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FFFF"/>
                <w:lang w:eastAsia="lt-LT"/>
              </w:rPr>
            </w:pPr>
            <w:r w:rsidRPr="00B84C7E">
              <w:rPr>
                <w:i/>
                <w:iCs/>
                <w:color w:val="FFFFFF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FFFF"/>
                <w:lang w:eastAsia="lt-LT"/>
              </w:rPr>
            </w:pPr>
            <w:r w:rsidRPr="00B84C7E">
              <w:rPr>
                <w:i/>
                <w:iCs/>
                <w:color w:val="FFFFFF"/>
                <w:lang w:eastAsia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FFFF"/>
                <w:lang w:eastAsia="lt-LT"/>
              </w:rPr>
            </w:pPr>
            <w:r w:rsidRPr="00B84C7E">
              <w:rPr>
                <w:i/>
                <w:iCs/>
                <w:color w:val="FFFFFF"/>
                <w:lang w:eastAsia="lt-LT"/>
              </w:rPr>
              <w:t> </w:t>
            </w:r>
          </w:p>
        </w:tc>
      </w:tr>
      <w:tr w:rsidR="003D5291" w:rsidRPr="00B84C7E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</w:p>
        </w:tc>
      </w:tr>
      <w:tr w:rsidR="003D5291" w:rsidRPr="00B84C7E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  <w:r w:rsidRPr="00B84C7E">
              <w:rPr>
                <w:lang w:eastAsia="lt-LT"/>
              </w:rPr>
              <w:t>Vyr. ekonomistė Dalija Irena Einikienė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291" w:rsidRPr="00B84C7E" w:rsidRDefault="003D5291" w:rsidP="00B84C7E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</w:p>
        </w:tc>
      </w:tr>
    </w:tbl>
    <w:p w:rsidR="003D5291" w:rsidRDefault="003D5291" w:rsidP="001E224B">
      <w:pPr>
        <w:rPr>
          <w:sz w:val="20"/>
          <w:szCs w:val="20"/>
        </w:rPr>
      </w:pPr>
    </w:p>
    <w:p w:rsidR="003D5291" w:rsidRDefault="003D5291" w:rsidP="001E224B">
      <w:pPr>
        <w:rPr>
          <w:sz w:val="20"/>
          <w:szCs w:val="20"/>
        </w:rPr>
      </w:pPr>
    </w:p>
    <w:p w:rsidR="003D5291" w:rsidRDefault="003D5291" w:rsidP="001E224B">
      <w:pPr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3D5291">
        <w:trPr>
          <w:trHeight w:hRule="exact" w:val="1055"/>
        </w:trPr>
        <w:tc>
          <w:tcPr>
            <w:tcW w:w="9639" w:type="dxa"/>
          </w:tcPr>
          <w:p w:rsidR="003D5291" w:rsidRDefault="003D5291" w:rsidP="00D11581">
            <w:pPr>
              <w:spacing w:line="240" w:lineRule="atLeast"/>
              <w:jc w:val="center"/>
            </w:pPr>
            <w:r w:rsidRPr="004B31E4">
              <w:rPr>
                <w:sz w:val="28"/>
                <w:szCs w:val="28"/>
              </w:rPr>
              <w:pict>
                <v:shape id="_x0000_i1026" type="#_x0000_t75" style="width:33pt;height:42pt">
                  <v:imagedata r:id="rId5" o:title=""/>
                </v:shape>
              </w:pict>
            </w:r>
          </w:p>
          <w:p w:rsidR="003D5291" w:rsidRDefault="003D5291" w:rsidP="00D11581">
            <w:pPr>
              <w:spacing w:line="240" w:lineRule="atLeast"/>
              <w:jc w:val="center"/>
            </w:pPr>
          </w:p>
          <w:p w:rsidR="003D5291" w:rsidRDefault="003D5291" w:rsidP="00D11581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3D5291">
        <w:trPr>
          <w:trHeight w:hRule="exact" w:val="1657"/>
        </w:trPr>
        <w:tc>
          <w:tcPr>
            <w:tcW w:w="9639" w:type="dxa"/>
          </w:tcPr>
          <w:p w:rsidR="003D5291" w:rsidRDefault="003D5291" w:rsidP="00D11581">
            <w:pPr>
              <w:pStyle w:val="Heading2"/>
              <w:numPr>
                <w:ilvl w:val="0"/>
                <w:numId w:val="0"/>
              </w:numPr>
            </w:pPr>
            <w:r>
              <w:t>Pagėgių savivaldybės taryba</w:t>
            </w:r>
          </w:p>
          <w:p w:rsidR="003D5291" w:rsidRDefault="003D5291" w:rsidP="00D11581">
            <w:pPr>
              <w:jc w:val="center"/>
            </w:pPr>
          </w:p>
          <w:p w:rsidR="003D5291" w:rsidRDefault="003D5291" w:rsidP="00D1158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D5291" w:rsidRPr="00A54B8D" w:rsidRDefault="003D5291" w:rsidP="00D11581">
            <w:pPr>
              <w:pStyle w:val="statymopavad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54B8D">
              <w:rPr>
                <w:rFonts w:ascii="Times New Roman" w:hAnsi="Times New Roman" w:cs="Times New Roman"/>
                <w:b/>
                <w:bCs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2017 – 2018 m. šildymo sezono </w:t>
            </w:r>
            <w:r w:rsidRPr="00A54B8D">
              <w:rPr>
                <w:rFonts w:ascii="Times New Roman" w:hAnsi="Times New Roman" w:cs="Times New Roman"/>
                <w:b/>
                <w:bCs/>
              </w:rPr>
              <w:t>vidutinių kuro kainų, taikomų kompensacijoms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aps</w:t>
            </w:r>
            <w:r w:rsidRPr="00A54B8D">
              <w:rPr>
                <w:rFonts w:ascii="Times New Roman" w:hAnsi="Times New Roman" w:cs="Times New Roman"/>
                <w:b/>
                <w:bCs/>
              </w:rPr>
              <w:t>kaičiuoti, patvirtinimo</w:t>
            </w:r>
          </w:p>
          <w:p w:rsidR="003D5291" w:rsidRDefault="003D5291" w:rsidP="00D1158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3D5291">
        <w:trPr>
          <w:trHeight w:hRule="exact" w:val="703"/>
        </w:trPr>
        <w:tc>
          <w:tcPr>
            <w:tcW w:w="9639" w:type="dxa"/>
          </w:tcPr>
          <w:p w:rsidR="003D5291" w:rsidRDefault="003D5291" w:rsidP="00D11581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spalio 2 d. Nr. T-139</w:t>
            </w:r>
          </w:p>
          <w:p w:rsidR="003D5291" w:rsidRDefault="003D5291" w:rsidP="00D11581">
            <w:pPr>
              <w:jc w:val="center"/>
            </w:pPr>
            <w:r>
              <w:t>Pagėgiai</w:t>
            </w:r>
          </w:p>
        </w:tc>
      </w:tr>
    </w:tbl>
    <w:p w:rsidR="003D5291" w:rsidRPr="0034005C" w:rsidRDefault="003D5291" w:rsidP="009738BA">
      <w:pPr>
        <w:ind w:firstLine="748"/>
        <w:jc w:val="both"/>
      </w:pPr>
      <w:r w:rsidRPr="0034005C">
        <w:t>Vadovaudamasi Lietuvos Respublikos vietos savivaldos įstatymo 16 straipsnio 4 dalimi,  Lietuvos Respublikos piniginės socialinės paramos nepasiturintiems gyventojams įstatymo  11 straipsnio 3 dalimi, Pagėgių savivaldybės taryba  n u s p r e n d ž i a:</w:t>
      </w:r>
    </w:p>
    <w:p w:rsidR="003D5291" w:rsidRPr="0034005C" w:rsidRDefault="003D5291" w:rsidP="009738BA">
      <w:pPr>
        <w:tabs>
          <w:tab w:val="left" w:pos="912"/>
        </w:tabs>
        <w:ind w:firstLine="720"/>
        <w:jc w:val="both"/>
      </w:pPr>
      <w:r w:rsidRPr="0034005C">
        <w:t xml:space="preserve">1. </w:t>
      </w:r>
      <w:r w:rsidRPr="001631E7">
        <w:rPr>
          <w:kern w:val="24"/>
        </w:rPr>
        <w:t>Patvirtinti</w:t>
      </w:r>
      <w:r w:rsidRPr="0034005C">
        <w:t xml:space="preserve"> </w:t>
      </w:r>
      <w:r>
        <w:t xml:space="preserve">2017 – 2018 metų šildymo sezono </w:t>
      </w:r>
      <w:r w:rsidRPr="0034005C">
        <w:t>vidutines kietojo ar kitokio kuro, kurio fa</w:t>
      </w:r>
      <w:r w:rsidRPr="0034005C">
        <w:t>k</w:t>
      </w:r>
      <w:r w:rsidRPr="0034005C">
        <w:t>tinės sąnaudos kiekvieną mėnesį nenustatomos, kainas (įskaitant PVM) būsto šildymo išlaidų ir i</w:t>
      </w:r>
      <w:r w:rsidRPr="0034005C">
        <w:t>š</w:t>
      </w:r>
      <w:r w:rsidRPr="0034005C">
        <w:t>laidų karštam vandeniui kompensacijoms, naudojant kietąjį ar kitokį kurą, apskaičiuoti:</w:t>
      </w:r>
    </w:p>
    <w:p w:rsidR="003D5291" w:rsidRPr="0034005C" w:rsidRDefault="003D5291" w:rsidP="009738BA">
      <w:pPr>
        <w:ind w:firstLine="720"/>
        <w:jc w:val="both"/>
      </w:pPr>
      <w:r w:rsidRPr="0034005C">
        <w:t xml:space="preserve">1.1. vieno kubinio metro (kietmetrio) malkų kaina (pateikus pirkimo dokumentus) – </w:t>
      </w:r>
      <w:r>
        <w:t>38 Eur;</w:t>
      </w:r>
    </w:p>
    <w:p w:rsidR="003D5291" w:rsidRPr="0034005C" w:rsidRDefault="003D5291" w:rsidP="009738BA">
      <w:pPr>
        <w:ind w:firstLine="720"/>
        <w:jc w:val="both"/>
      </w:pPr>
      <w:r w:rsidRPr="0034005C">
        <w:t xml:space="preserve">1.2. vieno kubinio metro (kietmetrio) malkų kaina (be pirkimo dokumentų) – </w:t>
      </w:r>
      <w:r>
        <w:t>25 Eur</w:t>
      </w:r>
      <w:r w:rsidRPr="0034005C">
        <w:t>;</w:t>
      </w:r>
    </w:p>
    <w:p w:rsidR="003D5291" w:rsidRPr="0034005C" w:rsidRDefault="003D5291" w:rsidP="009738BA">
      <w:pPr>
        <w:ind w:firstLine="720"/>
        <w:jc w:val="both"/>
      </w:pPr>
      <w:r w:rsidRPr="0034005C">
        <w:t xml:space="preserve">1.3. vienos tonos akmens anglių kaina (pateikus pirkimo dokumentus) – </w:t>
      </w:r>
      <w:r>
        <w:t>148 Eur</w:t>
      </w:r>
      <w:r w:rsidRPr="0034005C">
        <w:t>;</w:t>
      </w:r>
    </w:p>
    <w:p w:rsidR="003D5291" w:rsidRPr="0034005C" w:rsidRDefault="003D5291" w:rsidP="009738BA">
      <w:pPr>
        <w:ind w:firstLine="720"/>
        <w:jc w:val="both"/>
      </w:pPr>
      <w:r w:rsidRPr="0034005C">
        <w:t>1.4</w:t>
      </w:r>
      <w:r>
        <w:t xml:space="preserve">. </w:t>
      </w:r>
      <w:r w:rsidRPr="0034005C">
        <w:t>kai būsto šildymui ir karšto vandens ruošimui naudojamas kitoks kuras (pateikus pirk</w:t>
      </w:r>
      <w:r w:rsidRPr="0034005C">
        <w:t>i</w:t>
      </w:r>
      <w:r w:rsidRPr="0034005C">
        <w:t xml:space="preserve">mo dokumentus), jo vidutinė kaina prilyginama vidutinei vieno kubinio metro (kietmetrio) malkų kainai – </w:t>
      </w:r>
      <w:r>
        <w:t>38 Eur</w:t>
      </w:r>
      <w:r w:rsidRPr="0034005C">
        <w:t>;</w:t>
      </w:r>
    </w:p>
    <w:p w:rsidR="003D5291" w:rsidRPr="0034005C" w:rsidRDefault="003D5291" w:rsidP="009738BA">
      <w:pPr>
        <w:ind w:firstLine="720"/>
        <w:jc w:val="both"/>
      </w:pPr>
      <w:r w:rsidRPr="0034005C">
        <w:t>1.5. kai būsto šildymui ir karšto vandens ruošimui naudojamas kitoks kuras</w:t>
      </w:r>
      <w:r>
        <w:t xml:space="preserve"> (be pirkimo d</w:t>
      </w:r>
      <w:r>
        <w:t>o</w:t>
      </w:r>
      <w:r>
        <w:t>kumentų)</w:t>
      </w:r>
      <w:r w:rsidRPr="0034005C">
        <w:t xml:space="preserve">, jo vidutinė kaina prilyginama vidutinei vieno kubinio metro (kietmetrio) malkų kainai – </w:t>
      </w:r>
      <w:r>
        <w:t>25 Eur</w:t>
      </w:r>
      <w:r w:rsidRPr="0034005C">
        <w:t>.</w:t>
      </w:r>
    </w:p>
    <w:p w:rsidR="003D5291" w:rsidRDefault="003D5291" w:rsidP="009738BA">
      <w:pPr>
        <w:tabs>
          <w:tab w:val="left" w:pos="912"/>
        </w:tabs>
        <w:ind w:firstLine="720"/>
        <w:jc w:val="both"/>
      </w:pPr>
      <w:r w:rsidRPr="0034005C">
        <w:t>2. Nustatyti, kad šio sprendimo 1 punktu patvirtintos kainos taikomos apskaičiuojant</w:t>
      </w:r>
      <w:r>
        <w:t xml:space="preserve"> </w:t>
      </w:r>
      <w:r w:rsidRPr="0034005C">
        <w:t>būsto šildymo išlaidų ir išlaidų karštam vandeniui kompensacijų dydį</w:t>
      </w:r>
      <w:r>
        <w:t>,</w:t>
      </w:r>
      <w:r w:rsidRPr="0034005C">
        <w:t xml:space="preserve"> naudojantiems kietąjį ar kitokį k</w:t>
      </w:r>
      <w:r w:rsidRPr="0034005C">
        <w:t>u</w:t>
      </w:r>
      <w:r w:rsidRPr="0034005C">
        <w:t>rą</w:t>
      </w:r>
      <w:r>
        <w:t xml:space="preserve">, už </w:t>
      </w:r>
      <w:r w:rsidRPr="0034005C">
        <w:t>201</w:t>
      </w:r>
      <w:r>
        <w:t>7</w:t>
      </w:r>
      <w:r w:rsidRPr="0034005C">
        <w:t xml:space="preserve"> – </w:t>
      </w:r>
      <w:r>
        <w:t xml:space="preserve"> 2018 metų šildymo sezoną.</w:t>
      </w:r>
    </w:p>
    <w:p w:rsidR="003D5291" w:rsidRPr="0034005C" w:rsidRDefault="003D5291" w:rsidP="009738BA">
      <w:pPr>
        <w:ind w:right="-81" w:firstLine="720"/>
        <w:jc w:val="both"/>
      </w:pPr>
      <w:r>
        <w:t>3</w:t>
      </w:r>
      <w:r w:rsidRPr="0034005C">
        <w:t xml:space="preserve">. </w:t>
      </w:r>
      <w:r>
        <w:t xml:space="preserve">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3D5291" w:rsidRDefault="003D5291" w:rsidP="009738BA">
      <w:pPr>
        <w:tabs>
          <w:tab w:val="left" w:pos="1134"/>
        </w:tabs>
        <w:jc w:val="both"/>
      </w:pPr>
      <w:r>
        <w:t xml:space="preserve">            Šis s</w:t>
      </w:r>
      <w:r w:rsidRPr="0034005C">
        <w:t>prendimas gali būti skundžiamas</w:t>
      </w:r>
      <w:r>
        <w:t xml:space="preserve"> Lietuvos Respublikos</w:t>
      </w:r>
      <w:r w:rsidRPr="0034005C">
        <w:t xml:space="preserve"> </w:t>
      </w:r>
      <w:r>
        <w:t>a</w:t>
      </w:r>
      <w:r w:rsidRPr="0034005C">
        <w:t>dministracinių bylų teisenos įstatymo nustatyta tvarka.</w:t>
      </w:r>
    </w:p>
    <w:p w:rsidR="003D5291" w:rsidRDefault="003D5291" w:rsidP="009738BA">
      <w:pPr>
        <w:rPr>
          <w:lang w:val="pt-BR"/>
        </w:rPr>
      </w:pPr>
    </w:p>
    <w:p w:rsidR="003D5291" w:rsidRPr="00655129" w:rsidRDefault="003D5291" w:rsidP="009738BA">
      <w:pPr>
        <w:rPr>
          <w:lang w:val="pt-BR"/>
        </w:rPr>
      </w:pPr>
    </w:p>
    <w:p w:rsidR="003D5291" w:rsidRPr="00655129" w:rsidRDefault="003D5291" w:rsidP="009738BA">
      <w:pPr>
        <w:rPr>
          <w:lang w:val="pt-BR"/>
        </w:rPr>
      </w:pPr>
    </w:p>
    <w:p w:rsidR="003D5291" w:rsidRPr="00655129" w:rsidRDefault="003D5291" w:rsidP="009738BA">
      <w:pPr>
        <w:rPr>
          <w:lang w:val="pt-BR"/>
        </w:rPr>
      </w:pPr>
    </w:p>
    <w:p w:rsidR="003D5291" w:rsidRDefault="003D5291" w:rsidP="009738BA">
      <w:pPr>
        <w:rPr>
          <w:lang w:val="pt-BR"/>
        </w:rPr>
      </w:pPr>
      <w:r>
        <w:rPr>
          <w:lang w:val="pt-BR"/>
        </w:rPr>
        <w:t xml:space="preserve"> </w:t>
      </w:r>
    </w:p>
    <w:p w:rsidR="003D5291" w:rsidRPr="000D732B" w:rsidRDefault="003D5291" w:rsidP="009738BA">
      <w:pPr>
        <w:spacing w:line="360" w:lineRule="auto"/>
        <w:jc w:val="both"/>
      </w:pPr>
      <w:r w:rsidRPr="000D732B">
        <w:t>Savivaldybės meras</w:t>
      </w:r>
      <w:r w:rsidRPr="000D732B">
        <w:tab/>
      </w:r>
      <w:r w:rsidRPr="000D732B">
        <w:tab/>
      </w:r>
      <w:r w:rsidRPr="000D732B">
        <w:tab/>
      </w:r>
      <w:r w:rsidRPr="000D732B">
        <w:tab/>
      </w:r>
      <w:r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r w:rsidRPr="000D732B">
        <w:t>Virginijus Komskis</w:t>
      </w:r>
    </w:p>
    <w:p w:rsidR="003D5291" w:rsidRDefault="003D5291" w:rsidP="001E224B">
      <w:pPr>
        <w:rPr>
          <w:sz w:val="20"/>
          <w:szCs w:val="20"/>
        </w:rPr>
      </w:pPr>
    </w:p>
    <w:sectPr w:rsidR="003D5291" w:rsidSect="004E68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5A4"/>
    <w:multiLevelType w:val="multilevel"/>
    <w:tmpl w:val="04090023"/>
    <w:lvl w:ilvl="0">
      <w:start w:val="1"/>
      <w:numFmt w:val="upperRoman"/>
      <w:pStyle w:val="Heading1"/>
      <w:lvlText w:val="Straipsnis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447"/>
    <w:rsid w:val="00030CA4"/>
    <w:rsid w:val="0004788A"/>
    <w:rsid w:val="000638F5"/>
    <w:rsid w:val="000961EA"/>
    <w:rsid w:val="000A6B11"/>
    <w:rsid w:val="000D1BBF"/>
    <w:rsid w:val="000D732B"/>
    <w:rsid w:val="001631E7"/>
    <w:rsid w:val="00173A99"/>
    <w:rsid w:val="001A166F"/>
    <w:rsid w:val="001A7A13"/>
    <w:rsid w:val="001E224B"/>
    <w:rsid w:val="00201A4E"/>
    <w:rsid w:val="00210BDC"/>
    <w:rsid w:val="002270F6"/>
    <w:rsid w:val="00287CFA"/>
    <w:rsid w:val="002916B4"/>
    <w:rsid w:val="002E5BC3"/>
    <w:rsid w:val="00305F2F"/>
    <w:rsid w:val="00310447"/>
    <w:rsid w:val="00337585"/>
    <w:rsid w:val="0034005C"/>
    <w:rsid w:val="00390049"/>
    <w:rsid w:val="00393678"/>
    <w:rsid w:val="003A380A"/>
    <w:rsid w:val="003C29A1"/>
    <w:rsid w:val="003D5291"/>
    <w:rsid w:val="0041040E"/>
    <w:rsid w:val="004200BD"/>
    <w:rsid w:val="00427339"/>
    <w:rsid w:val="004301A7"/>
    <w:rsid w:val="00460F72"/>
    <w:rsid w:val="00472ABE"/>
    <w:rsid w:val="004A0633"/>
    <w:rsid w:val="004B31E4"/>
    <w:rsid w:val="004E68A2"/>
    <w:rsid w:val="00552324"/>
    <w:rsid w:val="0056710B"/>
    <w:rsid w:val="005823E4"/>
    <w:rsid w:val="00593B00"/>
    <w:rsid w:val="005A1733"/>
    <w:rsid w:val="005F3490"/>
    <w:rsid w:val="006239A9"/>
    <w:rsid w:val="00636760"/>
    <w:rsid w:val="006419A6"/>
    <w:rsid w:val="00655129"/>
    <w:rsid w:val="00657F1E"/>
    <w:rsid w:val="006A2A94"/>
    <w:rsid w:val="006C38CD"/>
    <w:rsid w:val="006C43D7"/>
    <w:rsid w:val="006D084F"/>
    <w:rsid w:val="006D65D6"/>
    <w:rsid w:val="007008DD"/>
    <w:rsid w:val="00706378"/>
    <w:rsid w:val="00707949"/>
    <w:rsid w:val="0075294F"/>
    <w:rsid w:val="00783925"/>
    <w:rsid w:val="007C3C3E"/>
    <w:rsid w:val="00803226"/>
    <w:rsid w:val="00820FD0"/>
    <w:rsid w:val="00924F97"/>
    <w:rsid w:val="009738BA"/>
    <w:rsid w:val="009D4F82"/>
    <w:rsid w:val="00A54B8D"/>
    <w:rsid w:val="00A6003B"/>
    <w:rsid w:val="00A67B54"/>
    <w:rsid w:val="00A81EF6"/>
    <w:rsid w:val="00AA4FF0"/>
    <w:rsid w:val="00AA7A8F"/>
    <w:rsid w:val="00AB479F"/>
    <w:rsid w:val="00AC13E1"/>
    <w:rsid w:val="00AE5299"/>
    <w:rsid w:val="00B84C7E"/>
    <w:rsid w:val="00B878A8"/>
    <w:rsid w:val="00BA0FF3"/>
    <w:rsid w:val="00BB7152"/>
    <w:rsid w:val="00BC721E"/>
    <w:rsid w:val="00C74C95"/>
    <w:rsid w:val="00CB7681"/>
    <w:rsid w:val="00CC1347"/>
    <w:rsid w:val="00D11581"/>
    <w:rsid w:val="00D15E52"/>
    <w:rsid w:val="00D20AAF"/>
    <w:rsid w:val="00D70D28"/>
    <w:rsid w:val="00D81BA1"/>
    <w:rsid w:val="00DC4067"/>
    <w:rsid w:val="00DE3CF7"/>
    <w:rsid w:val="00DF7F95"/>
    <w:rsid w:val="00E65274"/>
    <w:rsid w:val="00E76D4F"/>
    <w:rsid w:val="00E91622"/>
    <w:rsid w:val="00EB5561"/>
    <w:rsid w:val="00EB570A"/>
    <w:rsid w:val="00EC7752"/>
    <w:rsid w:val="00EF29E4"/>
    <w:rsid w:val="00FA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0A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0AAF"/>
    <w:pPr>
      <w:keepNext/>
      <w:numPr>
        <w:ilvl w:val="1"/>
        <w:numId w:val="1"/>
      </w:numPr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6B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16B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D20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16B4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D20AAF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916B4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D2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16B4"/>
    <w:rPr>
      <w:rFonts w:ascii="Courier New" w:hAnsi="Courier New" w:cs="Courier New"/>
      <w:sz w:val="20"/>
      <w:szCs w:val="20"/>
      <w:lang w:eastAsia="en-US"/>
    </w:rPr>
  </w:style>
  <w:style w:type="paragraph" w:customStyle="1" w:styleId="CharCharDiagramaDiagramaCharChar">
    <w:name w:val="Char Char Diagrama Diagrama Char Char"/>
    <w:basedOn w:val="Normal"/>
    <w:uiPriority w:val="99"/>
    <w:rsid w:val="0063676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A7A13"/>
    <w:rPr>
      <w:rFonts w:cs="Times New Roman"/>
      <w:color w:val="0000FF"/>
      <w:u w:val="single"/>
    </w:rPr>
  </w:style>
  <w:style w:type="paragraph" w:customStyle="1" w:styleId="statymopavad">
    <w:name w:val="?statymo pavad."/>
    <w:basedOn w:val="Normal"/>
    <w:uiPriority w:val="99"/>
    <w:rsid w:val="009D4F82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 w:cs="TimesLT"/>
      <w:caps/>
    </w:rPr>
  </w:style>
  <w:style w:type="paragraph" w:customStyle="1" w:styleId="Char1CharChar">
    <w:name w:val="Char1 Char Char"/>
    <w:basedOn w:val="Normal"/>
    <w:uiPriority w:val="99"/>
    <w:rsid w:val="009D4F8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BC721E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  <w:style w:type="paragraph" w:customStyle="1" w:styleId="LLPTekstas">
    <w:name w:val="LLPTekstas"/>
    <w:basedOn w:val="Normal"/>
    <w:uiPriority w:val="99"/>
    <w:rsid w:val="00BC721E"/>
    <w:pPr>
      <w:overflowPunct/>
      <w:autoSpaceDE/>
      <w:autoSpaceDN/>
      <w:adjustRightInd/>
      <w:ind w:firstLine="567"/>
      <w:jc w:val="both"/>
      <w:textAlignment w:val="auto"/>
    </w:pPr>
  </w:style>
  <w:style w:type="character" w:customStyle="1" w:styleId="LLCTekstas">
    <w:name w:val="LLCTekstas"/>
    <w:basedOn w:val="DefaultParagraphFont"/>
    <w:uiPriority w:val="99"/>
    <w:rsid w:val="00BC72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73A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16B4"/>
    <w:rPr>
      <w:rFonts w:cs="Times New Roman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73A99"/>
    <w:rPr>
      <w:rFonts w:ascii="Courier New" w:hAnsi="Courier New" w:cs="Courier New"/>
      <w:lang w:val="lt-LT" w:eastAsia="lt-LT"/>
    </w:rPr>
  </w:style>
  <w:style w:type="paragraph" w:customStyle="1" w:styleId="Default">
    <w:name w:val="Default"/>
    <w:uiPriority w:val="99"/>
    <w:rsid w:val="00173A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5450</Words>
  <Characters>3107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yg</dc:creator>
  <cp:keywords/>
  <dc:description/>
  <cp:lastModifiedBy>Comp</cp:lastModifiedBy>
  <cp:revision>7</cp:revision>
  <cp:lastPrinted>2018-10-19T11:55:00Z</cp:lastPrinted>
  <dcterms:created xsi:type="dcterms:W3CDTF">2018-10-22T10:59:00Z</dcterms:created>
  <dcterms:modified xsi:type="dcterms:W3CDTF">2018-10-22T13:29:00Z</dcterms:modified>
</cp:coreProperties>
</file>