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43" w:rsidRPr="0027205C" w:rsidRDefault="00217743" w:rsidP="0027205C">
      <w:pPr>
        <w:jc w:val="right"/>
        <w:rPr>
          <w:b/>
          <w:bCs/>
        </w:rPr>
      </w:pPr>
    </w:p>
    <w:tbl>
      <w:tblPr>
        <w:tblpPr w:leftFromText="180" w:rightFromText="180" w:horzAnchor="margin" w:tblpY="979"/>
        <w:tblW w:w="0" w:type="auto"/>
        <w:tblLayout w:type="fixed"/>
        <w:tblLook w:val="0000"/>
      </w:tblPr>
      <w:tblGrid>
        <w:gridCol w:w="9639"/>
      </w:tblGrid>
      <w:tr w:rsidR="00217743">
        <w:trPr>
          <w:trHeight w:hRule="exact" w:val="1055"/>
        </w:trPr>
        <w:tc>
          <w:tcPr>
            <w:tcW w:w="9639" w:type="dxa"/>
          </w:tcPr>
          <w:p w:rsidR="00217743" w:rsidRDefault="00217743" w:rsidP="0034285C">
            <w:pPr>
              <w:spacing w:line="240" w:lineRule="atLeast"/>
              <w:jc w:val="center"/>
              <w:rPr>
                <w:color w:val="000000"/>
              </w:rPr>
            </w:pPr>
            <w:r w:rsidRPr="007E4B1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217743">
        <w:trPr>
          <w:trHeight w:hRule="exact" w:val="2197"/>
        </w:trPr>
        <w:tc>
          <w:tcPr>
            <w:tcW w:w="9639" w:type="dxa"/>
          </w:tcPr>
          <w:p w:rsidR="00217743" w:rsidRDefault="00217743" w:rsidP="0034285C">
            <w:pPr>
              <w:pStyle w:val="Heading2"/>
            </w:pPr>
            <w:r>
              <w:t>Pagėgių savivaldybės taryba</w:t>
            </w:r>
          </w:p>
          <w:p w:rsidR="00217743" w:rsidRDefault="00217743" w:rsidP="0034285C">
            <w:pPr>
              <w:spacing w:before="120"/>
              <w:jc w:val="center"/>
              <w:rPr>
                <w:b/>
                <w:bCs/>
                <w:caps/>
                <w:color w:val="000000"/>
              </w:rPr>
            </w:pPr>
          </w:p>
          <w:p w:rsidR="00217743" w:rsidRDefault="00217743" w:rsidP="0034285C">
            <w:pPr>
              <w:spacing w:before="120"/>
              <w:jc w:val="center"/>
              <w:rPr>
                <w:b/>
                <w:bCs/>
                <w:caps/>
                <w:color w:val="000000"/>
              </w:rPr>
            </w:pPr>
            <w:r>
              <w:rPr>
                <w:b/>
                <w:bCs/>
                <w:caps/>
                <w:color w:val="000000"/>
              </w:rPr>
              <w:t>sprendimas</w:t>
            </w:r>
          </w:p>
          <w:p w:rsidR="00217743" w:rsidRPr="00660A0A" w:rsidRDefault="00217743" w:rsidP="0034285C">
            <w:pPr>
              <w:ind w:left="360"/>
              <w:jc w:val="center"/>
              <w:rPr>
                <w:b/>
                <w:bCs/>
              </w:rPr>
            </w:pPr>
            <w:r w:rsidRPr="00660A0A">
              <w:rPr>
                <w:b/>
                <w:bCs/>
                <w:caps/>
                <w:color w:val="000000"/>
                <w:sz w:val="22"/>
                <w:szCs w:val="22"/>
              </w:rPr>
              <w:t>DĖL UŽDAROSIOS AKCINĖS BENDROVĖS „</w:t>
            </w:r>
            <w:r>
              <w:rPr>
                <w:b/>
                <w:bCs/>
                <w:caps/>
                <w:color w:val="000000"/>
                <w:sz w:val="22"/>
                <w:szCs w:val="22"/>
              </w:rPr>
              <w:t>PAGĖGIŲ KOMUNALINIS ŪKIS</w:t>
            </w:r>
            <w:r w:rsidRPr="00660A0A">
              <w:rPr>
                <w:b/>
                <w:bCs/>
                <w:caps/>
                <w:color w:val="000000"/>
                <w:sz w:val="22"/>
                <w:szCs w:val="22"/>
              </w:rPr>
              <w:t>“</w:t>
            </w:r>
            <w:r w:rsidRPr="00660A0A">
              <w:rPr>
                <w:rStyle w:val="apple-converted-space"/>
                <w:b/>
                <w:bCs/>
                <w:caps/>
                <w:color w:val="000000"/>
                <w:sz w:val="22"/>
                <w:szCs w:val="22"/>
              </w:rPr>
              <w:t> </w:t>
            </w:r>
            <w:r>
              <w:rPr>
                <w:rStyle w:val="apple-converted-space"/>
                <w:b/>
                <w:bCs/>
                <w:caps/>
                <w:color w:val="000000"/>
                <w:sz w:val="22"/>
                <w:szCs w:val="22"/>
              </w:rPr>
              <w:t xml:space="preserve">PERSKAIČIUOTŲ </w:t>
            </w:r>
            <w:r w:rsidRPr="00660A0A">
              <w:rPr>
                <w:b/>
                <w:bCs/>
                <w:caps/>
                <w:color w:val="000000"/>
                <w:sz w:val="22"/>
                <w:szCs w:val="22"/>
              </w:rPr>
              <w:t xml:space="preserve">GERIAMOJO VANDENS TIEKIMO IR NUOTEKŲ TVARKYMO PASLAUGŲ BAZINIŲ KAINŲ </w:t>
            </w:r>
            <w:r w:rsidRPr="00660A0A">
              <w:rPr>
                <w:b/>
                <w:bCs/>
                <w:sz w:val="22"/>
                <w:szCs w:val="22"/>
              </w:rPr>
              <w:t>NUSTATYMO</w:t>
            </w:r>
          </w:p>
          <w:p w:rsidR="00217743" w:rsidRDefault="00217743" w:rsidP="0034285C">
            <w:pPr>
              <w:spacing w:before="120"/>
              <w:jc w:val="center"/>
              <w:rPr>
                <w:b/>
                <w:bCs/>
                <w:caps/>
                <w:color w:val="000000"/>
              </w:rPr>
            </w:pPr>
          </w:p>
        </w:tc>
      </w:tr>
      <w:tr w:rsidR="00217743">
        <w:trPr>
          <w:trHeight w:hRule="exact" w:val="703"/>
        </w:trPr>
        <w:tc>
          <w:tcPr>
            <w:tcW w:w="9639" w:type="dxa"/>
          </w:tcPr>
          <w:p w:rsidR="00217743" w:rsidRDefault="00217743" w:rsidP="0034285C">
            <w:pPr>
              <w:pStyle w:val="Heading2"/>
              <w:rPr>
                <w:b w:val="0"/>
                <w:bCs w:val="0"/>
                <w:caps w:val="0"/>
              </w:rPr>
            </w:pPr>
            <w:r>
              <w:rPr>
                <w:b w:val="0"/>
                <w:bCs w:val="0"/>
                <w:caps w:val="0"/>
              </w:rPr>
              <w:t>2018 m. spalio 18  Nr. T1-162</w:t>
            </w:r>
          </w:p>
          <w:p w:rsidR="00217743" w:rsidRDefault="00217743" w:rsidP="0034285C">
            <w:pPr>
              <w:jc w:val="center"/>
            </w:pPr>
            <w:r>
              <w:t>Pagėgiai</w:t>
            </w:r>
          </w:p>
        </w:tc>
      </w:tr>
    </w:tbl>
    <w:p w:rsidR="00217743" w:rsidRDefault="00217743" w:rsidP="0034285C">
      <w:pPr>
        <w:jc w:val="both"/>
        <w:rPr>
          <w:sz w:val="22"/>
          <w:szCs w:val="22"/>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99.55pt;margin-top:3.45pt;width:63.5pt;height:35.5pt;z-index:251658240;mso-wrap-style:none;mso-position-horizontal-relative:text;mso-position-vertical-relative:text" filled="f" stroked="f">
            <v:textbox style="mso-fit-shape-to-text:t">
              <w:txbxContent>
                <w:p w:rsidR="00217743" w:rsidRDefault="00217743"/>
                <w:p w:rsidR="00217743" w:rsidRPr="00A045C6" w:rsidRDefault="00217743" w:rsidP="00CE5DC8">
                  <w:pPr>
                    <w:jc w:val="right"/>
                    <w:rPr>
                      <w:b/>
                      <w:bCs/>
                    </w:rPr>
                  </w:pPr>
                  <w:r w:rsidRPr="0027205C">
                    <w:rPr>
                      <w:b/>
                      <w:bCs/>
                    </w:rPr>
                    <w:t>Projektas</w:t>
                  </w:r>
                </w:p>
              </w:txbxContent>
            </v:textbox>
            <w10:wrap type="square"/>
          </v:shape>
        </w:pict>
      </w:r>
    </w:p>
    <w:p w:rsidR="00217743" w:rsidRDefault="00217743" w:rsidP="004B37DC">
      <w:pPr>
        <w:ind w:firstLine="720"/>
        <w:jc w:val="both"/>
      </w:pPr>
    </w:p>
    <w:p w:rsidR="00217743" w:rsidRPr="004857D2" w:rsidRDefault="00217743" w:rsidP="004B37DC">
      <w:pPr>
        <w:ind w:firstLine="720"/>
        <w:jc w:val="both"/>
      </w:pPr>
      <w:r w:rsidRPr="004857D2">
        <w:t xml:space="preserve">Vadovaudamasi Lietuvos Respublikos vietos savivaldos įstatymo 16 </w:t>
      </w:r>
      <w:r>
        <w:t xml:space="preserve">straipsnio 2 dalies 37 punktu, </w:t>
      </w:r>
      <w:r w:rsidRPr="004857D2">
        <w:t>Lietuvos Respublikos geriamojo vandens tiekimo ir nuotekų tvarkymo įstatymo 10 straipsnio 6 punktu,</w:t>
      </w:r>
      <w:r>
        <w:t xml:space="preserve"> 34 straipsnio 2 ir 12 punktais,</w:t>
      </w:r>
      <w:r w:rsidRPr="004857D2">
        <w:t xml:space="preserve"> Geriamojo vandens tiekimo ir nuotekų tvarkymo paslaugų kainų nustatymo metodika</w:t>
      </w:r>
      <w:r>
        <w:t>,</w:t>
      </w:r>
      <w:r w:rsidRPr="004857D2">
        <w:t xml:space="preserve"> patvirtinta Valstybinės kainų ir energetikos kontrolės komisijos 2006 m. gruodžio 21 d. nutarimu Nr. O3-92</w:t>
      </w:r>
      <w:r>
        <w:t xml:space="preserve"> „Dėl geriamojo vandens tiekimo ir nuotekų tvarkymo paslaugų kainų nustatymo metodikos“</w:t>
      </w:r>
      <w:r w:rsidRPr="004857D2">
        <w:t>, Valstybinės kainų ir energetikos kontrolės komisijos 201</w:t>
      </w:r>
      <w:r>
        <w:t>8</w:t>
      </w:r>
      <w:r w:rsidRPr="004857D2">
        <w:t xml:space="preserve"> m. </w:t>
      </w:r>
      <w:r>
        <w:t xml:space="preserve">spalio 15 </w:t>
      </w:r>
      <w:r w:rsidRPr="004857D2">
        <w:t>d. nutarimu Nr. O3</w:t>
      </w:r>
      <w:r>
        <w:t xml:space="preserve">E- 321 </w:t>
      </w:r>
      <w:r w:rsidRPr="004857D2">
        <w:t xml:space="preserve">„Dėl uždarosios akcinės bendrovės „Pagėgių komunalinis ūkis“ </w:t>
      </w:r>
      <w:r>
        <w:t xml:space="preserve">perskaičiuotų </w:t>
      </w:r>
      <w:r w:rsidRPr="004857D2">
        <w:t>geriamojo vandens tiekimo ir nuotekų tvarkymo paslaugų bazinių kainų derinimo“, Pagėgių savivaldybės taryba  n u s p r e n d ž i a:</w:t>
      </w:r>
    </w:p>
    <w:p w:rsidR="00217743" w:rsidRPr="004857D2" w:rsidRDefault="00217743" w:rsidP="004B37DC">
      <w:pPr>
        <w:ind w:right="-1" w:firstLine="567"/>
        <w:jc w:val="both"/>
        <w:rPr>
          <w:color w:val="000000"/>
          <w:lang w:eastAsia="lt-LT"/>
        </w:rPr>
      </w:pPr>
      <w:r w:rsidRPr="004857D2">
        <w:t xml:space="preserve">1. Nustatyti </w:t>
      </w:r>
      <w:r w:rsidRPr="004857D2">
        <w:rPr>
          <w:color w:val="000000"/>
        </w:rPr>
        <w:t>UAB „Pagėgių komunalinis ūkis“ geriamojo vandens tiekimo ir nuotekų tvarkymo paslaugų bei atsiskaitomųjų apskaitos prietaisų priežiūros ir vartotojų aptarnavimo paslaugos bazines kainas (be pridėtinės vertės mokesčio):</w:t>
      </w:r>
    </w:p>
    <w:p w:rsidR="00217743" w:rsidRPr="004857D2" w:rsidRDefault="00217743" w:rsidP="004B37DC">
      <w:pPr>
        <w:ind w:right="-1" w:firstLine="567"/>
        <w:jc w:val="both"/>
        <w:rPr>
          <w:color w:val="000000"/>
        </w:rPr>
      </w:pPr>
      <w:bookmarkStart w:id="0" w:name="part_718623c2303f4abf85e536fc727f21d5"/>
      <w:bookmarkEnd w:id="0"/>
      <w:r w:rsidRPr="004857D2">
        <w:rPr>
          <w:color w:val="000000"/>
        </w:rPr>
        <w:t xml:space="preserve">1.1. </w:t>
      </w:r>
      <w:r>
        <w:rPr>
          <w:color w:val="000000"/>
        </w:rPr>
        <w:t xml:space="preserve">perskaičiuotą </w:t>
      </w:r>
      <w:r w:rsidRPr="004857D2">
        <w:rPr>
          <w:color w:val="000000"/>
        </w:rPr>
        <w:t>geriamojo vandens tiekimo ir nuotekų tvarkymo paslaugų bazinę kainą vartotojams, perkantiems geriamojo vandens tiekimo ir nuotekų tvarkymo paslaugas bute – 2,</w:t>
      </w:r>
      <w:r>
        <w:rPr>
          <w:color w:val="000000"/>
        </w:rPr>
        <w:t>17</w:t>
      </w:r>
      <w:r w:rsidRPr="004857D2">
        <w:rPr>
          <w:color w:val="000000"/>
        </w:rPr>
        <w:t xml:space="preserve"> 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1" w:name="part_f79e784fc1e1498fbb6c4bf0588dcd2c"/>
      <w:bookmarkEnd w:id="1"/>
      <w:r w:rsidRPr="004857D2">
        <w:rPr>
          <w:color w:val="000000"/>
        </w:rPr>
        <w:t>1.1.1. geriamojo vandens tiekimo – 0,</w:t>
      </w:r>
      <w:r>
        <w:rPr>
          <w:color w:val="000000"/>
        </w:rPr>
        <w:t>6</w:t>
      </w:r>
      <w:r w:rsidRPr="004857D2">
        <w:rPr>
          <w:color w:val="000000"/>
        </w:rPr>
        <w:t>8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2" w:name="part_0bf624e72fba4a85b6fb4e6e9a0ae34c"/>
      <w:bookmarkEnd w:id="2"/>
      <w:r w:rsidRPr="004857D2">
        <w:rPr>
          <w:color w:val="000000"/>
        </w:rPr>
        <w:t>1.1.2. nuotekų tvarkymo – 1,</w:t>
      </w:r>
      <w:r>
        <w:rPr>
          <w:color w:val="000000"/>
        </w:rPr>
        <w:t>49</w:t>
      </w:r>
      <w:r w:rsidRPr="004857D2">
        <w:rPr>
          <w:color w:val="000000"/>
        </w:rPr>
        <w:t xml:space="preserve"> 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3" w:name="part_1fd97aac55314c7aa285994c9f19c745"/>
      <w:bookmarkEnd w:id="3"/>
      <w:r w:rsidRPr="004857D2">
        <w:rPr>
          <w:color w:val="000000"/>
        </w:rPr>
        <w:t>1.1.2.1. nuotekų surinkimo – 0,7</w:t>
      </w:r>
      <w:r>
        <w:rPr>
          <w:color w:val="000000"/>
        </w:rPr>
        <w:t>0</w:t>
      </w:r>
      <w:r w:rsidRPr="004857D2">
        <w:rPr>
          <w:color w:val="000000"/>
        </w:rPr>
        <w:t xml:space="preserve">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4" w:name="part_b74f863d8efa4adab88a0ccf0c7450cd"/>
      <w:bookmarkEnd w:id="4"/>
      <w:r w:rsidRPr="004857D2">
        <w:rPr>
          <w:color w:val="000000"/>
        </w:rPr>
        <w:t>1.1.2.2. nuotekų valymo – 0,</w:t>
      </w:r>
      <w:r>
        <w:rPr>
          <w:color w:val="000000"/>
        </w:rPr>
        <w:t>7</w:t>
      </w:r>
      <w:r w:rsidRPr="004857D2">
        <w:rPr>
          <w:color w:val="000000"/>
        </w:rPr>
        <w:t>9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5" w:name="part_9ca527cf1007451c9fd145285cc327d0"/>
      <w:bookmarkEnd w:id="5"/>
      <w:r w:rsidRPr="004857D2">
        <w:rPr>
          <w:color w:val="000000"/>
        </w:rPr>
        <w:t xml:space="preserve">1.2. </w:t>
      </w:r>
      <w:r>
        <w:rPr>
          <w:color w:val="000000"/>
        </w:rPr>
        <w:t xml:space="preserve">perskaičiuotą </w:t>
      </w:r>
      <w:r w:rsidRPr="004857D2">
        <w:rPr>
          <w:color w:val="000000"/>
        </w:rPr>
        <w:t>geriamojo vandens tiekimo ir nuotekų tvarkymo paslaugų bazinę kainą vartotojams, perkantiems geriamojo vandens tiekimo ir nuotekų tvarkymo paslaugas individualių gyvenamųjų namų ar kitų patalpų, skirtų asmeninėms, šeimos ar namų reikmėms, įvaduose – 2,</w:t>
      </w:r>
      <w:r>
        <w:rPr>
          <w:color w:val="000000"/>
        </w:rPr>
        <w:t xml:space="preserve">00 </w:t>
      </w:r>
      <w:r w:rsidRPr="004857D2">
        <w:rPr>
          <w:color w:val="000000"/>
        </w:rPr>
        <w:t>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6" w:name="part_db4c48e3898f44a69df28805f0ecb1ea"/>
      <w:bookmarkEnd w:id="6"/>
      <w:r w:rsidRPr="004857D2">
        <w:rPr>
          <w:color w:val="000000"/>
        </w:rPr>
        <w:t>1.2.1. geriamojo vandens tiekimo – 0,</w:t>
      </w:r>
      <w:r>
        <w:rPr>
          <w:color w:val="000000"/>
        </w:rPr>
        <w:t>6</w:t>
      </w:r>
      <w:r w:rsidRPr="004857D2">
        <w:rPr>
          <w:color w:val="000000"/>
        </w:rPr>
        <w:t>2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7" w:name="part_5649211851ab48b192b35f53245c8e48"/>
      <w:bookmarkEnd w:id="7"/>
      <w:r w:rsidRPr="004857D2">
        <w:rPr>
          <w:color w:val="000000"/>
        </w:rPr>
        <w:t>1.2.2. nuotekų tvarkymo – 1,</w:t>
      </w:r>
      <w:r>
        <w:rPr>
          <w:color w:val="000000"/>
        </w:rPr>
        <w:t>38</w:t>
      </w:r>
      <w:r w:rsidRPr="004857D2">
        <w:rPr>
          <w:color w:val="000000"/>
        </w:rPr>
        <w:t xml:space="preserve"> 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8" w:name="part_ff1c05cbb8ca4ff49269bb4b3aed1e0a"/>
      <w:bookmarkEnd w:id="8"/>
      <w:r w:rsidRPr="004857D2">
        <w:rPr>
          <w:color w:val="000000"/>
        </w:rPr>
        <w:t>1.2.2.1. nuotekų surinkimo – 0,6</w:t>
      </w:r>
      <w:r>
        <w:rPr>
          <w:color w:val="000000"/>
        </w:rPr>
        <w:t>5</w:t>
      </w:r>
      <w:r w:rsidRPr="004857D2">
        <w:rPr>
          <w:color w:val="000000"/>
        </w:rPr>
        <w:t xml:space="preserve">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9" w:name="part_4475ea7fa1d64540b64a631ae0b779fa"/>
      <w:bookmarkEnd w:id="9"/>
      <w:r w:rsidRPr="004857D2">
        <w:rPr>
          <w:color w:val="000000"/>
        </w:rPr>
        <w:t>1.2.2.2. nuotekų valymo – 0,</w:t>
      </w:r>
      <w:r>
        <w:rPr>
          <w:color w:val="000000"/>
        </w:rPr>
        <w:t>7</w:t>
      </w:r>
      <w:r w:rsidRPr="004857D2">
        <w:rPr>
          <w:color w:val="000000"/>
        </w:rPr>
        <w:t>3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10" w:name="part_464c767680d54721850a3ec9f2f5d455"/>
      <w:bookmarkEnd w:id="10"/>
      <w:r w:rsidRPr="004857D2">
        <w:rPr>
          <w:color w:val="000000"/>
        </w:rPr>
        <w:t xml:space="preserve">1.3. </w:t>
      </w:r>
      <w:r>
        <w:rPr>
          <w:color w:val="000000"/>
        </w:rPr>
        <w:t xml:space="preserve">perskaičiuotą </w:t>
      </w:r>
      <w:r w:rsidRPr="004857D2">
        <w:rPr>
          <w:color w:val="000000"/>
        </w:rPr>
        <w:t>geriamojo vandens tiekimo ir nuotekų tvarkymo paslaugų bazinę kainą abonentams, perkantiems geriamojo vandens tiekimo ir nuotekų tvarkymo paslaugas buities ir komerciniams poreikiams bei perkantiems geriamąjį vandenį, skirtą karštam vandeniui ruošti ir tiekiamą</w:t>
      </w:r>
      <w:r w:rsidRPr="004857D2">
        <w:rPr>
          <w:rStyle w:val="apple-converted-space"/>
          <w:color w:val="000000"/>
        </w:rPr>
        <w:t> </w:t>
      </w:r>
      <w:r>
        <w:rPr>
          <w:rStyle w:val="apple-converted-space"/>
          <w:color w:val="000000"/>
        </w:rPr>
        <w:t xml:space="preserve"> </w:t>
      </w:r>
      <w:r w:rsidRPr="004857D2">
        <w:rPr>
          <w:color w:val="000000"/>
        </w:rPr>
        <w:t>abonentams – 2,</w:t>
      </w:r>
      <w:r>
        <w:rPr>
          <w:color w:val="000000"/>
        </w:rPr>
        <w:t>03</w:t>
      </w:r>
      <w:r w:rsidRPr="004857D2">
        <w:rPr>
          <w:color w:val="000000"/>
        </w:rPr>
        <w:t xml:space="preserve"> 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11" w:name="part_c4aed0c6ea5342cd891d2695fa70adc1"/>
      <w:bookmarkEnd w:id="11"/>
      <w:r w:rsidRPr="004857D2">
        <w:rPr>
          <w:color w:val="000000"/>
        </w:rPr>
        <w:t>1.3.1. geriamojo vandens tiekimo – 0,</w:t>
      </w:r>
      <w:r>
        <w:rPr>
          <w:color w:val="000000"/>
        </w:rPr>
        <w:t>6</w:t>
      </w:r>
      <w:r w:rsidRPr="004857D2">
        <w:rPr>
          <w:color w:val="000000"/>
        </w:rPr>
        <w:t>5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12" w:name="part_c85ca4aa84dc4e07b89963f27600e43f"/>
      <w:bookmarkEnd w:id="12"/>
      <w:r w:rsidRPr="004857D2">
        <w:rPr>
          <w:color w:val="000000"/>
        </w:rPr>
        <w:t>1.3.2. nuotekų tvarkymo – 1,</w:t>
      </w:r>
      <w:r>
        <w:rPr>
          <w:color w:val="000000"/>
        </w:rPr>
        <w:t xml:space="preserve">38 </w:t>
      </w:r>
      <w:r w:rsidRPr="004857D2">
        <w:rPr>
          <w:color w:val="000000"/>
        </w:rPr>
        <w:t>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13" w:name="part_b858131075f6423a9ebecf4737264d64"/>
      <w:bookmarkEnd w:id="13"/>
      <w:r w:rsidRPr="004857D2">
        <w:rPr>
          <w:color w:val="000000"/>
        </w:rPr>
        <w:t>1.3.2.1. nuotekų surinkimo – 0,6</w:t>
      </w:r>
      <w:r>
        <w:rPr>
          <w:color w:val="000000"/>
        </w:rPr>
        <w:t>5</w:t>
      </w:r>
      <w:r w:rsidRPr="004857D2">
        <w:rPr>
          <w:color w:val="000000"/>
        </w:rPr>
        <w:t xml:space="preserve">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14" w:name="part_d36d5a3ec58841c48fa22689662e9a3f"/>
      <w:bookmarkEnd w:id="14"/>
      <w:r w:rsidRPr="004857D2">
        <w:rPr>
          <w:color w:val="000000"/>
        </w:rPr>
        <w:t>1.3.2.2. nuotekų valymo – 0,</w:t>
      </w:r>
      <w:r>
        <w:rPr>
          <w:color w:val="000000"/>
        </w:rPr>
        <w:t>7</w:t>
      </w:r>
      <w:r w:rsidRPr="004857D2">
        <w:rPr>
          <w:color w:val="000000"/>
        </w:rPr>
        <w:t>3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15" w:name="part_d311546ef2164370b92657a9e48e4a68"/>
      <w:bookmarkStart w:id="16" w:name="part_76d12d0607264cf180440bf9566e7e07"/>
      <w:bookmarkEnd w:id="15"/>
      <w:bookmarkEnd w:id="16"/>
      <w:r w:rsidRPr="004857D2">
        <w:rPr>
          <w:color w:val="000000"/>
        </w:rPr>
        <w:t xml:space="preserve">1.4. </w:t>
      </w:r>
      <w:r>
        <w:rPr>
          <w:color w:val="000000"/>
        </w:rPr>
        <w:t xml:space="preserve">perskaičiuotą </w:t>
      </w:r>
      <w:r w:rsidRPr="004857D2">
        <w:rPr>
          <w:color w:val="000000"/>
        </w:rPr>
        <w:t>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w:t>
      </w:r>
      <w:r>
        <w:rPr>
          <w:color w:val="000000"/>
        </w:rPr>
        <w:t>00</w:t>
      </w:r>
      <w:r w:rsidRPr="004857D2">
        <w:rPr>
          <w:color w:val="000000"/>
        </w:rPr>
        <w:t xml:space="preserve"> 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17" w:name="part_bc0b7e060b5a47bd9063238066770454"/>
      <w:bookmarkEnd w:id="17"/>
      <w:r w:rsidRPr="004857D2">
        <w:rPr>
          <w:color w:val="000000"/>
        </w:rPr>
        <w:t>1.4.1. geriamojo vandens tiekimo – 0,</w:t>
      </w:r>
      <w:r>
        <w:rPr>
          <w:color w:val="000000"/>
        </w:rPr>
        <w:t>6</w:t>
      </w:r>
      <w:r w:rsidRPr="004857D2">
        <w:rPr>
          <w:color w:val="000000"/>
        </w:rPr>
        <w:t>2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18" w:name="part_30b85ea9617049898819a71dce8e2116"/>
      <w:bookmarkEnd w:id="18"/>
      <w:r w:rsidRPr="004857D2">
        <w:rPr>
          <w:color w:val="000000"/>
        </w:rPr>
        <w:t>1.4.2. nuotekų tvarkymo – 1,</w:t>
      </w:r>
      <w:r>
        <w:rPr>
          <w:color w:val="000000"/>
        </w:rPr>
        <w:t>38</w:t>
      </w:r>
      <w:r w:rsidRPr="004857D2">
        <w:rPr>
          <w:color w:val="000000"/>
        </w:rPr>
        <w:t xml:space="preserve"> Eur/m</w:t>
      </w:r>
      <w:r w:rsidRPr="004857D2">
        <w:rPr>
          <w:color w:val="000000"/>
          <w:vertAlign w:val="superscript"/>
        </w:rPr>
        <w:t>3</w:t>
      </w:r>
      <w:r w:rsidRPr="004857D2">
        <w:rPr>
          <w:color w:val="000000"/>
        </w:rPr>
        <w:t>, iš šio skaičiaus:</w:t>
      </w:r>
    </w:p>
    <w:p w:rsidR="00217743" w:rsidRPr="004857D2" w:rsidRDefault="00217743" w:rsidP="004B37DC">
      <w:pPr>
        <w:ind w:right="-1" w:firstLine="567"/>
        <w:jc w:val="both"/>
        <w:rPr>
          <w:color w:val="000000"/>
        </w:rPr>
      </w:pPr>
      <w:bookmarkStart w:id="19" w:name="part_ed2f8634abdc4da196c02836e07002e0"/>
      <w:bookmarkEnd w:id="19"/>
      <w:r w:rsidRPr="004857D2">
        <w:rPr>
          <w:color w:val="000000"/>
        </w:rPr>
        <w:t>1.4.2.1. nuotekų surinkimo – 0,6</w:t>
      </w:r>
      <w:r>
        <w:rPr>
          <w:color w:val="000000"/>
        </w:rPr>
        <w:t>5</w:t>
      </w:r>
      <w:r w:rsidRPr="004857D2">
        <w:rPr>
          <w:color w:val="000000"/>
        </w:rPr>
        <w:t xml:space="preserve">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rPr>
      </w:pPr>
      <w:bookmarkStart w:id="20" w:name="part_bb48f1f271a24047919ca077a7bc5398"/>
      <w:bookmarkEnd w:id="20"/>
      <w:r w:rsidRPr="004857D2">
        <w:rPr>
          <w:color w:val="000000"/>
        </w:rPr>
        <w:t>1.4.2.2. nuotekų valymo – 0,</w:t>
      </w:r>
      <w:r>
        <w:rPr>
          <w:color w:val="000000"/>
        </w:rPr>
        <w:t>7</w:t>
      </w:r>
      <w:r w:rsidRPr="004857D2">
        <w:rPr>
          <w:color w:val="000000"/>
        </w:rPr>
        <w:t>3 Eur/m</w:t>
      </w:r>
      <w:r w:rsidRPr="004857D2">
        <w:rPr>
          <w:color w:val="000000"/>
          <w:vertAlign w:val="superscript"/>
        </w:rPr>
        <w:t>3</w:t>
      </w:r>
      <w:r w:rsidRPr="004857D2">
        <w:rPr>
          <w:color w:val="000000"/>
        </w:rPr>
        <w:t>.</w:t>
      </w:r>
    </w:p>
    <w:p w:rsidR="00217743" w:rsidRPr="004857D2" w:rsidRDefault="00217743" w:rsidP="004B37DC">
      <w:pPr>
        <w:ind w:firstLine="567"/>
        <w:jc w:val="both"/>
        <w:rPr>
          <w:color w:val="000000"/>
        </w:rPr>
      </w:pPr>
      <w:bookmarkStart w:id="21" w:name="part_3729e2e9ba174b4795191b6e5d10ad79"/>
      <w:bookmarkStart w:id="22" w:name="part_dc71615831ad41e180c0850df6557bf4"/>
      <w:bookmarkEnd w:id="21"/>
      <w:bookmarkEnd w:id="22"/>
      <w:r w:rsidRPr="004857D2">
        <w:rPr>
          <w:color w:val="000000"/>
        </w:rPr>
        <w:t xml:space="preserve">1.5. </w:t>
      </w:r>
      <w:r>
        <w:rPr>
          <w:color w:val="000000"/>
        </w:rPr>
        <w:t xml:space="preserve">perskaičiuotą </w:t>
      </w:r>
      <w:r w:rsidRPr="004857D2">
        <w:rPr>
          <w:color w:val="000000"/>
        </w:rPr>
        <w:t>atsiskaitomųjų apskaitos prietaisų priežiūros ir vartotojų aptarnavimo paslaugos bazinę kainą vartotojams, perkantiems geriamojo vandens tiekimo ir nuotekų tvarkymo paslaugas bute:</w:t>
      </w:r>
    </w:p>
    <w:p w:rsidR="00217743" w:rsidRPr="004857D2" w:rsidRDefault="00217743" w:rsidP="004B37DC">
      <w:pPr>
        <w:ind w:right="-1" w:firstLine="567"/>
        <w:jc w:val="both"/>
        <w:rPr>
          <w:color w:val="000000"/>
        </w:rPr>
      </w:pPr>
      <w:bookmarkStart w:id="23" w:name="part_e7bf35d8f7554447b0878cb7db6647ff"/>
      <w:bookmarkEnd w:id="23"/>
      <w:r w:rsidRPr="004857D2">
        <w:rPr>
          <w:color w:val="000000"/>
        </w:rPr>
        <w:t>1.5.1. kai įrengtas atsiskaitomasis apskaitos prietaisas – 1,3</w:t>
      </w:r>
      <w:r>
        <w:rPr>
          <w:color w:val="000000"/>
        </w:rPr>
        <w:t>8</w:t>
      </w:r>
      <w:r w:rsidRPr="004857D2">
        <w:rPr>
          <w:color w:val="000000"/>
        </w:rPr>
        <w:t xml:space="preserve"> Eur butui per mėnesį;</w:t>
      </w:r>
    </w:p>
    <w:p w:rsidR="00217743" w:rsidRPr="004857D2" w:rsidRDefault="00217743" w:rsidP="004B37DC">
      <w:pPr>
        <w:ind w:right="-1" w:firstLine="567"/>
        <w:jc w:val="both"/>
        <w:rPr>
          <w:color w:val="000000"/>
        </w:rPr>
      </w:pPr>
      <w:bookmarkStart w:id="24" w:name="part_4071d81f973242e4a3f62001c7c1d074"/>
      <w:bookmarkEnd w:id="24"/>
      <w:r w:rsidRPr="004857D2">
        <w:rPr>
          <w:color w:val="000000"/>
        </w:rPr>
        <w:t>1.5.2. kai dėl techninių ar kitų priežasčių nėra galimybės įrengti atsiskaitomojo apskaitos prietaiso – 0,7</w:t>
      </w:r>
      <w:r>
        <w:rPr>
          <w:color w:val="000000"/>
        </w:rPr>
        <w:t>2</w:t>
      </w:r>
      <w:r w:rsidRPr="004857D2">
        <w:rPr>
          <w:color w:val="000000"/>
        </w:rPr>
        <w:t xml:space="preserve"> Eur butui per mėnesį</w:t>
      </w:r>
      <w:bookmarkStart w:id="25" w:name="part_52cca8ce94fb4f32897ab6bf61879884"/>
      <w:bookmarkEnd w:id="25"/>
      <w:r w:rsidRPr="004857D2">
        <w:rPr>
          <w:color w:val="000000"/>
        </w:rPr>
        <w:t>.</w:t>
      </w:r>
    </w:p>
    <w:p w:rsidR="00217743" w:rsidRPr="004857D2" w:rsidRDefault="00217743" w:rsidP="004B37DC">
      <w:pPr>
        <w:ind w:right="-1" w:firstLine="567"/>
        <w:jc w:val="both"/>
        <w:rPr>
          <w:color w:val="000000"/>
        </w:rPr>
      </w:pPr>
      <w:r w:rsidRPr="004857D2">
        <w:rPr>
          <w:color w:val="000000"/>
        </w:rPr>
        <w:t xml:space="preserve">1.6. </w:t>
      </w:r>
      <w:r>
        <w:rPr>
          <w:color w:val="000000"/>
        </w:rPr>
        <w:t xml:space="preserve">perskaičiuotą </w:t>
      </w:r>
      <w:r w:rsidRPr="004857D2">
        <w:rPr>
          <w:color w:val="000000"/>
        </w:rPr>
        <w:t>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217743" w:rsidRPr="004857D2" w:rsidRDefault="00217743" w:rsidP="004B37DC">
      <w:pPr>
        <w:ind w:right="-1" w:firstLine="567"/>
        <w:jc w:val="both"/>
        <w:rPr>
          <w:color w:val="000000"/>
        </w:rPr>
      </w:pPr>
      <w:r w:rsidRPr="004857D2">
        <w:rPr>
          <w:color w:val="000000"/>
        </w:rPr>
        <w:t>1.6.1. kai įrengtas atsiskaitomasis apskaitos prietaisas – 1,</w:t>
      </w:r>
      <w:r>
        <w:rPr>
          <w:color w:val="000000"/>
        </w:rPr>
        <w:t>30</w:t>
      </w:r>
      <w:r w:rsidRPr="004857D2">
        <w:rPr>
          <w:color w:val="000000"/>
        </w:rPr>
        <w:t xml:space="preserve"> Eur apskaitos prietaisui per mėnesį;</w:t>
      </w:r>
      <w:bookmarkStart w:id="26" w:name="part_2599ab854df7469b8666541398847d10"/>
      <w:bookmarkEnd w:id="26"/>
    </w:p>
    <w:p w:rsidR="00217743" w:rsidRPr="004857D2" w:rsidRDefault="00217743" w:rsidP="004B37DC">
      <w:pPr>
        <w:ind w:right="-1" w:firstLine="567"/>
        <w:jc w:val="both"/>
        <w:rPr>
          <w:color w:val="000000"/>
        </w:rPr>
      </w:pPr>
      <w:r w:rsidRPr="004857D2">
        <w:rPr>
          <w:color w:val="000000"/>
        </w:rPr>
        <w:t>1.6.2. kai dėl techninių ar kitų priežasčių nėra galimybės įrengti atsiskaitomojo apskaitos prietaiso – 0,6</w:t>
      </w:r>
      <w:r>
        <w:rPr>
          <w:color w:val="000000"/>
        </w:rPr>
        <w:t>7</w:t>
      </w:r>
      <w:r w:rsidRPr="004857D2">
        <w:rPr>
          <w:color w:val="000000"/>
        </w:rPr>
        <w:t xml:space="preserve"> Eur namui per mėnesį.</w:t>
      </w:r>
    </w:p>
    <w:p w:rsidR="00217743" w:rsidRPr="004857D2" w:rsidRDefault="00217743" w:rsidP="00602787">
      <w:pPr>
        <w:ind w:right="-1" w:firstLine="567"/>
        <w:jc w:val="both"/>
        <w:rPr>
          <w:color w:val="000000"/>
        </w:rPr>
      </w:pPr>
      <w:r w:rsidRPr="004857D2">
        <w:rPr>
          <w:color w:val="000000"/>
        </w:rPr>
        <w:t>1.7. vidutinę atsiskaitomųjų apskaitos prietaisų priežiūros ir vartotojų aptarnavimo paslaugos kainą abonentams, perkantiems geriamojo vandens tiekimo ir nuotekų tvarkymo</w:t>
      </w:r>
      <w:r w:rsidRPr="004857D2">
        <w:rPr>
          <w:rStyle w:val="apple-converted-space"/>
          <w:color w:val="000000"/>
        </w:rPr>
        <w:t> </w:t>
      </w:r>
      <w:r w:rsidRPr="004857D2">
        <w:rPr>
          <w:color w:val="000000"/>
        </w:rPr>
        <w:br/>
        <w:t>paslaugas – 2,</w:t>
      </w:r>
      <w:r>
        <w:rPr>
          <w:color w:val="000000"/>
        </w:rPr>
        <w:t>90</w:t>
      </w:r>
      <w:r w:rsidRPr="004857D2">
        <w:rPr>
          <w:color w:val="000000"/>
        </w:rPr>
        <w:t xml:space="preserve"> Eur apskaitos prietaisui per mėnesį</w:t>
      </w:r>
      <w:bookmarkStart w:id="27" w:name="part_bb010300b1db4a5c9f7cbccbd0f5dbdd"/>
      <w:bookmarkEnd w:id="27"/>
      <w:r w:rsidRPr="004857D2">
        <w:rPr>
          <w:color w:val="000000"/>
        </w:rPr>
        <w:t>.</w:t>
      </w:r>
    </w:p>
    <w:p w:rsidR="00217743" w:rsidRPr="004857D2" w:rsidRDefault="00217743" w:rsidP="00602787">
      <w:pPr>
        <w:ind w:right="-1" w:firstLine="567"/>
        <w:jc w:val="both"/>
        <w:rPr>
          <w:color w:val="000000"/>
        </w:rPr>
      </w:pPr>
      <w:r w:rsidRPr="004857D2">
        <w:rPr>
          <w:color w:val="000000"/>
        </w:rPr>
        <w:t xml:space="preserve">1.8. </w:t>
      </w:r>
      <w:bookmarkStart w:id="28" w:name="part_84061fcc46f84aac81ca8dfcb9dc2d3a"/>
      <w:bookmarkEnd w:id="28"/>
      <w:r w:rsidRPr="004857D2">
        <w:rPr>
          <w:color w:val="000000"/>
        </w:rPr>
        <w:t>nuotekų transportavimo asenizacijos transporto priemonėmis paslaugos bazinę</w:t>
      </w:r>
      <w:r w:rsidRPr="004857D2">
        <w:rPr>
          <w:rStyle w:val="apple-converted-space"/>
          <w:color w:val="000000"/>
        </w:rPr>
        <w:t> </w:t>
      </w:r>
      <w:r w:rsidRPr="004857D2">
        <w:rPr>
          <w:color w:val="000000"/>
        </w:rPr>
        <w:br/>
        <w:t>kainą – 4,</w:t>
      </w:r>
      <w:r>
        <w:rPr>
          <w:color w:val="000000"/>
        </w:rPr>
        <w:t>9</w:t>
      </w:r>
      <w:r w:rsidRPr="004857D2">
        <w:rPr>
          <w:color w:val="000000"/>
        </w:rPr>
        <w:t>2 Eur/m</w:t>
      </w:r>
      <w:r w:rsidRPr="004857D2">
        <w:rPr>
          <w:color w:val="000000"/>
          <w:vertAlign w:val="superscript"/>
        </w:rPr>
        <w:t>3</w:t>
      </w:r>
      <w:r w:rsidRPr="004857D2">
        <w:rPr>
          <w:color w:val="000000"/>
        </w:rPr>
        <w:t>.</w:t>
      </w:r>
    </w:p>
    <w:p w:rsidR="00217743" w:rsidRPr="004857D2" w:rsidRDefault="00217743" w:rsidP="004B37DC">
      <w:pPr>
        <w:ind w:right="-1" w:firstLine="567"/>
        <w:jc w:val="both"/>
        <w:rPr>
          <w:color w:val="000000"/>
          <w:lang w:eastAsia="lt-LT"/>
        </w:rPr>
      </w:pPr>
      <w:bookmarkStart w:id="29" w:name="part_7539b4fdf34e48c0aa312587978a9e70"/>
      <w:bookmarkEnd w:id="29"/>
      <w:r w:rsidRPr="004857D2">
        <w:rPr>
          <w:color w:val="000000"/>
        </w:rPr>
        <w:t xml:space="preserve">2. Nustatyti, kad šio sprendimo 1 punkte nurodytos </w:t>
      </w:r>
      <w:r>
        <w:rPr>
          <w:color w:val="000000"/>
        </w:rPr>
        <w:t xml:space="preserve">perskaičiuotos </w:t>
      </w:r>
      <w:r w:rsidRPr="004857D2">
        <w:rPr>
          <w:color w:val="000000"/>
        </w:rPr>
        <w:t xml:space="preserve">geriamojo vandens tiekimo ir nuotekų tvarkymo paslaugų bazinės kainos galioja </w:t>
      </w:r>
      <w:r>
        <w:rPr>
          <w:color w:val="000000"/>
        </w:rPr>
        <w:t xml:space="preserve">12 mėnesių </w:t>
      </w:r>
      <w:r w:rsidRPr="004857D2">
        <w:rPr>
          <w:color w:val="000000"/>
        </w:rPr>
        <w:t>nuo šių kainų įsigaliojimo dienos.</w:t>
      </w:r>
    </w:p>
    <w:p w:rsidR="00217743" w:rsidRDefault="00217743" w:rsidP="00343477">
      <w:pPr>
        <w:pStyle w:val="BodyText"/>
        <w:ind w:firstLine="567"/>
        <w:rPr>
          <w:lang w:val="pt-BR"/>
        </w:rPr>
      </w:pPr>
      <w:bookmarkStart w:id="30" w:name="part_940000746b4f487cac8d709d5755b606"/>
      <w:bookmarkEnd w:id="30"/>
      <w:r>
        <w:t xml:space="preserve">3. </w:t>
      </w:r>
      <w:r>
        <w:rPr>
          <w:lang w:val="pt-BR"/>
        </w:rPr>
        <w:t xml:space="preserve">Sprendimą paskelbti Teisės aktų registre ir Pagėgių savivaldybės interneto svetainėje </w:t>
      </w:r>
      <w:hyperlink r:id="rId8" w:history="1">
        <w:r w:rsidRPr="00134F6B">
          <w:rPr>
            <w:rStyle w:val="Hyperlink"/>
            <w:color w:val="auto"/>
            <w:u w:val="none"/>
            <w:lang w:val="pt-BR"/>
          </w:rPr>
          <w:t>www.pagegiai.lt</w:t>
        </w:r>
      </w:hyperlink>
      <w:r w:rsidRPr="00134F6B">
        <w:rPr>
          <w:lang w:val="pt-BR"/>
        </w:rPr>
        <w:t>.</w:t>
      </w:r>
    </w:p>
    <w:p w:rsidR="00217743" w:rsidRDefault="00217743" w:rsidP="0034285C">
      <w:pPr>
        <w:pStyle w:val="Default"/>
        <w:spacing w:line="360" w:lineRule="auto"/>
        <w:ind w:firstLine="720"/>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217743" w:rsidRPr="006419A6" w:rsidRDefault="00217743" w:rsidP="0034285C">
      <w:pPr>
        <w:pStyle w:val="HTMLPreformatted"/>
        <w:tabs>
          <w:tab w:val="clear" w:pos="916"/>
          <w:tab w:val="left" w:pos="748"/>
        </w:tabs>
        <w:spacing w:line="360" w:lineRule="auto"/>
        <w:jc w:val="both"/>
        <w:rPr>
          <w:rFonts w:ascii="Times New Roman" w:hAnsi="Times New Roman" w:cs="Times New Roman"/>
          <w:sz w:val="24"/>
          <w:szCs w:val="24"/>
        </w:rPr>
      </w:pPr>
    </w:p>
    <w:p w:rsidR="00217743" w:rsidRPr="001A166F" w:rsidRDefault="00217743" w:rsidP="0034285C">
      <w:pPr>
        <w:jc w:val="both"/>
      </w:pPr>
      <w:r w:rsidRPr="001A166F">
        <w:t>SUDERINTA:</w:t>
      </w:r>
    </w:p>
    <w:p w:rsidR="00217743" w:rsidRPr="001A166F" w:rsidRDefault="00217743" w:rsidP="0034285C">
      <w:pPr>
        <w:spacing w:line="360" w:lineRule="auto"/>
        <w:jc w:val="both"/>
      </w:pPr>
      <w:r w:rsidRPr="001A166F">
        <w:t>Administracijos direktorė</w:t>
      </w:r>
      <w:r>
        <w:tab/>
      </w:r>
      <w:r>
        <w:tab/>
      </w:r>
      <w:r>
        <w:tab/>
      </w:r>
      <w:r>
        <w:tab/>
        <w:t xml:space="preserve">  </w:t>
      </w:r>
      <w:r w:rsidRPr="001A166F">
        <w:t>Dainora Butvydienė</w:t>
      </w:r>
    </w:p>
    <w:p w:rsidR="00217743" w:rsidRPr="001A166F" w:rsidRDefault="00217743" w:rsidP="0034285C">
      <w:pPr>
        <w:spacing w:line="360" w:lineRule="auto"/>
      </w:pPr>
      <w:r w:rsidRPr="001A166F">
        <w:t>Kalbo</w:t>
      </w:r>
      <w:r>
        <w:t>s ir archyvo tvarkytoja</w:t>
      </w:r>
      <w:r>
        <w:tab/>
      </w:r>
      <w:r>
        <w:tab/>
      </w:r>
      <w:r>
        <w:tab/>
        <w:t xml:space="preserve">  </w:t>
      </w:r>
      <w:r w:rsidRPr="001A166F">
        <w:t>Laimutė Mickevičienė</w:t>
      </w:r>
    </w:p>
    <w:p w:rsidR="00217743" w:rsidRPr="00BD758D" w:rsidRDefault="00217743" w:rsidP="0034285C">
      <w:pPr>
        <w:spacing w:line="360" w:lineRule="auto"/>
      </w:pPr>
      <w:r>
        <w:t>Bendrojo ir juridinio skyriaus vyriausiasis specialistas</w:t>
      </w:r>
      <w:r>
        <w:tab/>
      </w:r>
      <w:r>
        <w:tab/>
        <w:t xml:space="preserve">  Valdas Vytuvis</w:t>
      </w:r>
      <w:r>
        <w:tab/>
      </w:r>
      <w:r w:rsidRPr="00BD758D">
        <w:tab/>
        <w:t xml:space="preserve">        </w:t>
      </w:r>
    </w:p>
    <w:p w:rsidR="00217743" w:rsidRPr="00BD758D" w:rsidRDefault="00217743" w:rsidP="0034285C">
      <w:pPr>
        <w:pStyle w:val="HTMLPreformatted"/>
        <w:rPr>
          <w:rFonts w:ascii="Times New Roman" w:hAnsi="Times New Roman" w:cs="Times New Roman"/>
          <w:sz w:val="24"/>
          <w:szCs w:val="24"/>
        </w:rPr>
      </w:pPr>
      <w:r w:rsidRPr="00BD758D">
        <w:rPr>
          <w:rFonts w:ascii="Times New Roman" w:hAnsi="Times New Roman" w:cs="Times New Roman"/>
          <w:sz w:val="24"/>
          <w:szCs w:val="24"/>
        </w:rPr>
        <w:t>Parengė</w:t>
      </w:r>
    </w:p>
    <w:p w:rsidR="00217743" w:rsidRPr="00BD758D" w:rsidRDefault="00217743" w:rsidP="0034285C">
      <w:pPr>
        <w:pStyle w:val="HTMLPreformatted"/>
        <w:rPr>
          <w:rFonts w:ascii="Times New Roman" w:hAnsi="Times New Roman" w:cs="Times New Roman"/>
          <w:sz w:val="24"/>
          <w:szCs w:val="24"/>
        </w:rPr>
      </w:pPr>
      <w:r w:rsidRPr="00BD758D">
        <w:rPr>
          <w:rFonts w:ascii="Times New Roman" w:hAnsi="Times New Roman" w:cs="Times New Roman"/>
          <w:sz w:val="24"/>
          <w:szCs w:val="24"/>
        </w:rPr>
        <w:t>Administracijos vyriausioji ekonomistė</w:t>
      </w:r>
    </w:p>
    <w:p w:rsidR="00217743" w:rsidRPr="00BD758D" w:rsidRDefault="00217743" w:rsidP="0034285C">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r w:rsidRPr="00BD758D">
        <w:rPr>
          <w:rFonts w:ascii="Times New Roman" w:hAnsi="Times New Roman" w:cs="Times New Roman"/>
          <w:sz w:val="24"/>
          <w:szCs w:val="24"/>
        </w:rPr>
        <w:t>Dalija Irena Einikienė</w:t>
      </w:r>
    </w:p>
    <w:p w:rsidR="00217743" w:rsidRDefault="00217743" w:rsidP="00BD758D">
      <w:pPr>
        <w:pStyle w:val="HTMLPreformatted"/>
        <w:rPr>
          <w:rFonts w:ascii="Times New Roman" w:hAnsi="Times New Roman" w:cs="Times New Roman"/>
          <w:sz w:val="24"/>
          <w:szCs w:val="24"/>
        </w:rPr>
      </w:pPr>
    </w:p>
    <w:p w:rsidR="00217743" w:rsidRDefault="00217743" w:rsidP="00DE29D0">
      <w:pPr>
        <w:ind w:left="6406" w:firstLine="114"/>
        <w:jc w:val="both"/>
        <w:rPr>
          <w:color w:val="000000"/>
        </w:rPr>
      </w:pPr>
      <w:r>
        <w:rPr>
          <w:color w:val="000000"/>
        </w:rPr>
        <w:t>Pagėgių savivaldybės tarybos</w:t>
      </w:r>
    </w:p>
    <w:p w:rsidR="00217743" w:rsidRDefault="00217743" w:rsidP="00DE29D0">
      <w:pPr>
        <w:ind w:left="6292" w:firstLine="114"/>
        <w:jc w:val="both"/>
        <w:rPr>
          <w:color w:val="000000"/>
        </w:rPr>
      </w:pPr>
      <w:r>
        <w:rPr>
          <w:color w:val="000000"/>
        </w:rPr>
        <w:t xml:space="preserve">  veiklos reglamento</w:t>
      </w:r>
    </w:p>
    <w:p w:rsidR="00217743" w:rsidRDefault="00217743" w:rsidP="00DE29D0">
      <w:pPr>
        <w:ind w:left="6178" w:firstLine="114"/>
        <w:jc w:val="both"/>
        <w:rPr>
          <w:color w:val="000000"/>
        </w:rPr>
      </w:pPr>
      <w:r>
        <w:rPr>
          <w:color w:val="000000"/>
        </w:rPr>
        <w:t xml:space="preserve">    2 priedas</w:t>
      </w:r>
    </w:p>
    <w:p w:rsidR="00217743" w:rsidRDefault="00217743" w:rsidP="00DE29D0">
      <w:pPr>
        <w:ind w:left="5102"/>
        <w:jc w:val="both"/>
        <w:rPr>
          <w:color w:val="000000"/>
        </w:rPr>
      </w:pPr>
      <w:r>
        <w:rPr>
          <w:color w:val="000000"/>
        </w:rPr>
        <w:t xml:space="preserve"> </w:t>
      </w:r>
    </w:p>
    <w:p w:rsidR="00217743" w:rsidRDefault="00217743" w:rsidP="00DE29D0">
      <w:pPr>
        <w:ind w:left="360"/>
        <w:jc w:val="center"/>
        <w:rPr>
          <w:b/>
          <w:bCs/>
          <w:sz w:val="22"/>
          <w:szCs w:val="22"/>
        </w:rPr>
      </w:pPr>
      <w:r>
        <w:rPr>
          <w:b/>
          <w:bCs/>
          <w:caps/>
          <w:color w:val="000000"/>
          <w:sz w:val="22"/>
          <w:szCs w:val="22"/>
        </w:rPr>
        <w:t>DĖL UŽDAROSIOS AKCINĖS BENDROVĖS „PAGĖGIŲ KOMUNALINIS ŪKIS“</w:t>
      </w:r>
      <w:r>
        <w:rPr>
          <w:rStyle w:val="apple-converted-space"/>
          <w:b/>
          <w:bCs/>
          <w:caps/>
          <w:color w:val="000000"/>
          <w:sz w:val="22"/>
          <w:szCs w:val="22"/>
        </w:rPr>
        <w:t xml:space="preserve"> PERSKAIČIUOTŲ </w:t>
      </w:r>
      <w:r>
        <w:rPr>
          <w:b/>
          <w:bCs/>
          <w:caps/>
          <w:color w:val="000000"/>
          <w:sz w:val="22"/>
          <w:szCs w:val="22"/>
        </w:rPr>
        <w:t xml:space="preserve">GERIAMOJO VANDENS TIEKIMO IR NUOTEKŲ TVARKYMO PASLAUGŲ BAZINIŲ KAINŲ </w:t>
      </w:r>
      <w:r>
        <w:rPr>
          <w:b/>
          <w:bCs/>
          <w:sz w:val="22"/>
          <w:szCs w:val="22"/>
        </w:rPr>
        <w:t>NUSTATYMO</w:t>
      </w:r>
    </w:p>
    <w:p w:rsidR="00217743" w:rsidRDefault="00217743" w:rsidP="00DE29D0">
      <w:pPr>
        <w:ind w:firstLine="720"/>
        <w:jc w:val="center"/>
        <w:rPr>
          <w:color w:val="000000"/>
        </w:rPr>
      </w:pPr>
      <w:r>
        <w:rPr>
          <w:b/>
          <w:bCs/>
        </w:rPr>
        <w:t xml:space="preserve"> </w:t>
      </w:r>
      <w:r>
        <w:rPr>
          <w:color w:val="000000"/>
        </w:rPr>
        <w:t>__________________________________________________________                                       (Tarybos sprendimo projekto pavadinimas)</w:t>
      </w:r>
    </w:p>
    <w:p w:rsidR="00217743" w:rsidRDefault="00217743" w:rsidP="00DE29D0">
      <w:pPr>
        <w:ind w:firstLine="720"/>
        <w:jc w:val="center"/>
        <w:rPr>
          <w:b/>
          <w:bCs/>
          <w:color w:val="000000"/>
        </w:rPr>
      </w:pPr>
      <w:r>
        <w:rPr>
          <w:b/>
          <w:bCs/>
          <w:color w:val="000000"/>
        </w:rPr>
        <w:t>AIŠKINAMASIS RAŠTAS</w:t>
      </w:r>
    </w:p>
    <w:p w:rsidR="00217743" w:rsidRDefault="00217743" w:rsidP="00DE29D0">
      <w:pPr>
        <w:ind w:firstLine="720"/>
        <w:jc w:val="center"/>
        <w:rPr>
          <w:b/>
          <w:bCs/>
          <w:color w:val="000000"/>
        </w:rPr>
      </w:pPr>
      <w:r>
        <w:rPr>
          <w:b/>
          <w:bCs/>
          <w:color w:val="000000"/>
        </w:rPr>
        <w:t>________2018 10 17______________</w:t>
      </w:r>
    </w:p>
    <w:p w:rsidR="00217743" w:rsidRDefault="00217743" w:rsidP="00DE29D0">
      <w:pPr>
        <w:ind w:firstLine="720"/>
        <w:jc w:val="center"/>
        <w:rPr>
          <w:color w:val="000000"/>
        </w:rPr>
      </w:pPr>
      <w:r>
        <w:rPr>
          <w:color w:val="000000"/>
        </w:rPr>
        <w:t>(Data)</w:t>
      </w:r>
    </w:p>
    <w:p w:rsidR="00217743" w:rsidRDefault="00217743" w:rsidP="00DE29D0">
      <w:pPr>
        <w:widowControl w:val="0"/>
        <w:ind w:left="720"/>
        <w:jc w:val="both"/>
        <w:rPr>
          <w:b/>
          <w:bCs/>
          <w:i/>
          <w:iCs/>
          <w:color w:val="000000"/>
        </w:rPr>
      </w:pPr>
      <w:r>
        <w:rPr>
          <w:b/>
          <w:bCs/>
          <w:i/>
          <w:iCs/>
          <w:color w:val="000000"/>
        </w:rPr>
        <w:t>1. Parengto projekto tikslai ir uždaviniai</w:t>
      </w:r>
    </w:p>
    <w:p w:rsidR="00217743" w:rsidRDefault="00217743" w:rsidP="00DE29D0">
      <w:pPr>
        <w:widowControl w:val="0"/>
        <w:ind w:firstLine="720"/>
        <w:jc w:val="both"/>
      </w:pPr>
      <w:r>
        <w:rPr>
          <w:lang w:eastAsia="lt-LT"/>
        </w:rPr>
        <w:t xml:space="preserve">Geriamojo vandens tiekimo ir nuotekų tvarkymo paslaugų bazinės kainos </w:t>
      </w:r>
      <w:r>
        <w:t xml:space="preserve">nustatomos 3 metų laikotarpiui ir perskaičiuojamos kasmet. </w:t>
      </w:r>
    </w:p>
    <w:p w:rsidR="00217743" w:rsidRDefault="00217743" w:rsidP="00DE29D0">
      <w:pPr>
        <w:tabs>
          <w:tab w:val="left" w:pos="900"/>
        </w:tabs>
        <w:rPr>
          <w:b/>
          <w:bCs/>
          <w:i/>
          <w:iCs/>
        </w:rPr>
      </w:pPr>
      <w:r>
        <w:rPr>
          <w:b/>
          <w:bCs/>
          <w:i/>
          <w:iCs/>
        </w:rPr>
        <w:t xml:space="preserve">            </w:t>
      </w:r>
    </w:p>
    <w:p w:rsidR="00217743" w:rsidRDefault="00217743" w:rsidP="00DE29D0">
      <w:pPr>
        <w:tabs>
          <w:tab w:val="left" w:pos="900"/>
        </w:tabs>
        <w:rPr>
          <w:b/>
          <w:bCs/>
          <w:i/>
          <w:iCs/>
        </w:rPr>
      </w:pPr>
      <w:r>
        <w:rPr>
          <w:b/>
          <w:bCs/>
          <w:i/>
          <w:iCs/>
        </w:rPr>
        <w:tab/>
        <w:t>2. Kaip šiuo metu yra sureguliuoti projekte aptarti klausimai</w:t>
      </w:r>
    </w:p>
    <w:p w:rsidR="00217743" w:rsidRDefault="00217743" w:rsidP="00DE29D0">
      <w:pPr>
        <w:jc w:val="both"/>
        <w:rPr>
          <w:lang w:eastAsia="lt-LT"/>
        </w:rPr>
      </w:pPr>
      <w:r>
        <w:rPr>
          <w:b/>
          <w:bCs/>
          <w:i/>
          <w:iCs/>
        </w:rPr>
        <w:tab/>
      </w:r>
      <w:r>
        <w:rPr>
          <w:lang w:eastAsia="lt-LT"/>
        </w:rPr>
        <w:t xml:space="preserve">Bendrovės geriamojo vandens tiekimo ir nuotekų tvarkymo paslaugų, Apskaitos veiklos bazinių kainų perskaičiavimo ataskaitinis laikotarpis – 2017 m. gegužės 1 d. – 2018 m. balandžio 31 d. Įsigytas ilgalaikis turtas vertinamas per ataskaitinius 2016 ir 2017 metus, investicijų grąža per 2017 metus, o paslaugų realizuotų kiekių ir sąnaudų pasikeitimai – per 12 ankstesnių mėnesių iki geriamojo vandens tiekimo ir nuotekų tvarkymo paslaugų bazinių kainų perskaičiavimo projekto rengimo proceso pradžios </w:t>
      </w:r>
    </w:p>
    <w:p w:rsidR="00217743" w:rsidRDefault="00217743" w:rsidP="00DE29D0">
      <w:pPr>
        <w:overflowPunct/>
        <w:autoSpaceDE/>
        <w:adjustRightInd/>
        <w:jc w:val="both"/>
        <w:rPr>
          <w:lang w:eastAsia="lt-LT"/>
        </w:rPr>
      </w:pPr>
      <w:r>
        <w:rPr>
          <w:lang w:eastAsia="lt-LT"/>
        </w:rPr>
        <w:t xml:space="preserve">Perskaičiuotų geriamojo vandens tiekimo ir nuotekų tvarkymo paslaugų bazinių kainų kainodaros taisyklės nurodytos Metodikos 57 – 58 punktuose. </w:t>
      </w:r>
    </w:p>
    <w:p w:rsidR="00217743" w:rsidRDefault="00217743" w:rsidP="00DE29D0">
      <w:pPr>
        <w:tabs>
          <w:tab w:val="left" w:pos="900"/>
        </w:tabs>
        <w:jc w:val="both"/>
        <w:rPr>
          <w:b/>
          <w:bCs/>
          <w:i/>
          <w:iCs/>
          <w:color w:val="000000"/>
        </w:rPr>
      </w:pPr>
      <w:r>
        <w:rPr>
          <w:b/>
          <w:bCs/>
          <w:i/>
          <w:iCs/>
          <w:color w:val="000000"/>
        </w:rPr>
        <w:tab/>
        <w:t>3. Kokių teigiamų rezultatų laukiama</w:t>
      </w:r>
    </w:p>
    <w:p w:rsidR="00217743" w:rsidRDefault="00217743" w:rsidP="00DE29D0">
      <w:pPr>
        <w:widowControl w:val="0"/>
        <w:tabs>
          <w:tab w:val="left" w:pos="0"/>
        </w:tabs>
        <w:ind w:right="360" w:firstLine="720"/>
        <w:jc w:val="both"/>
        <w:rPr>
          <w:lang w:eastAsia="lt-LT"/>
        </w:rPr>
      </w:pPr>
      <w:r>
        <w:rPr>
          <w:lang w:eastAsia="lt-LT"/>
        </w:rPr>
        <w:t>Geriamojo vandens tiekimo ir nuotekų tvarkymo, Apskaitos veiklos bazinės kainos perskaičiuotos, atsižvelgiant į efektyvumo koeficientą, realizuotų paslaugų kiekio neatitikimą tarp nustatyto bazinėje kainoje ir faktiškai realizuoto, ilgalaikio turto vienetų nusidėvėjimo (amortizacijos) sąnaudų pokytį dėl naujai pagal veiklos ir plėtros planą faktiškai pradėtų eksploatuoti ilgalaikio turto vienetų, faktinius įsigyjamo geriamojo vandens ir nuotekų tvarkymo paslaugų kainų pokyčius, faktinius elektros energijos kainų, šilumai naudojamų energetinių išteklių kainų, technologinių medžiagų ir technologinio kuro įsigijimo kainų pokyčius, faktinius mokesčių (gamtos išteklių, taršos ir kt.) dydžių pokyčius, faktinius Finansų ministerijos skelbiamo darbo užmokesčio pokyčius, investicijų grąžos pokyčius, nuo ūkio subjektų valios nepriklausančių veiksnių nulemtus, neišvengiamus sąnaudų pokyčius, dėl veiklos plano priemonių visiško neįvykdymo ar įvykdymo ne laiku sąnaudų pokyčius, dėl faktinės ataskaitinio laikotarpio ir ūkio subjektui bazinėje kainoje nustatyto sinvesticijų grąžos neatitikties.</w:t>
      </w:r>
    </w:p>
    <w:p w:rsidR="00217743" w:rsidRDefault="00217743" w:rsidP="00DE29D0">
      <w:pPr>
        <w:widowControl w:val="0"/>
        <w:tabs>
          <w:tab w:val="left" w:pos="0"/>
        </w:tabs>
        <w:ind w:right="360" w:firstLine="720"/>
        <w:jc w:val="both"/>
        <w:rPr>
          <w:b/>
          <w:bCs/>
          <w:i/>
          <w:iCs/>
          <w:color w:val="000000"/>
        </w:rPr>
      </w:pPr>
      <w:r>
        <w:rPr>
          <w:b/>
          <w:bCs/>
          <w:i/>
          <w:iCs/>
          <w:color w:val="000000"/>
        </w:rPr>
        <w:t>4. Galimos neigiamos priimto projekto pasekmės ir kokių priemonių reikėtų imtis, kad tokių pasekmių būtų išvengta</w:t>
      </w:r>
    </w:p>
    <w:p w:rsidR="00217743" w:rsidRDefault="00217743" w:rsidP="00DE29D0">
      <w:pPr>
        <w:ind w:firstLine="720"/>
        <w:jc w:val="both"/>
        <w:rPr>
          <w:color w:val="000000"/>
        </w:rPr>
      </w:pPr>
      <w:r>
        <w:t>Neigiamų pasekmių nenustatyta.</w:t>
      </w:r>
    </w:p>
    <w:p w:rsidR="00217743" w:rsidRDefault="00217743" w:rsidP="00DE29D0">
      <w:pPr>
        <w:tabs>
          <w:tab w:val="left" w:pos="0"/>
          <w:tab w:val="left" w:pos="540"/>
          <w:tab w:val="left" w:pos="900"/>
        </w:tabs>
        <w:ind w:right="360" w:firstLine="720"/>
        <w:jc w:val="both"/>
        <w:rPr>
          <w:b/>
          <w:bCs/>
          <w:i/>
          <w:iCs/>
          <w:color w:val="000000"/>
        </w:rPr>
      </w:pPr>
      <w:r>
        <w:rPr>
          <w:b/>
          <w:bCs/>
          <w:i/>
          <w:iCs/>
          <w:color w:val="000000"/>
        </w:rPr>
        <w:t xml:space="preserve">          </w:t>
      </w:r>
    </w:p>
    <w:p w:rsidR="00217743" w:rsidRDefault="00217743" w:rsidP="00DE29D0">
      <w:pPr>
        <w:tabs>
          <w:tab w:val="left" w:pos="0"/>
          <w:tab w:val="left" w:pos="540"/>
          <w:tab w:val="left" w:pos="900"/>
        </w:tabs>
        <w:ind w:right="360" w:firstLine="720"/>
        <w:jc w:val="both"/>
        <w:rPr>
          <w:b/>
          <w:bCs/>
          <w:i/>
          <w:iCs/>
          <w:color w:val="000000"/>
        </w:rPr>
      </w:pPr>
      <w:r>
        <w:rPr>
          <w:b/>
          <w:bCs/>
          <w:i/>
          <w:iCs/>
          <w:color w:val="000000"/>
        </w:rPr>
        <w:t>5. Kokius galiojančius aktus (tarybos, mero, savivaldybės administracijos direktoriaus) reikėtų pakeisti ir panaikinti, priėmus sprendimą pagal teikiamą projektą</w:t>
      </w:r>
    </w:p>
    <w:p w:rsidR="00217743" w:rsidRDefault="00217743" w:rsidP="00DE29D0">
      <w:pPr>
        <w:tabs>
          <w:tab w:val="left" w:pos="0"/>
        </w:tabs>
        <w:ind w:right="360" w:firstLine="720"/>
        <w:jc w:val="both"/>
        <w:rPr>
          <w:b/>
          <w:bCs/>
          <w:i/>
          <w:iCs/>
          <w:color w:val="000000"/>
        </w:rPr>
      </w:pPr>
      <w:r>
        <w:rPr>
          <w:b/>
          <w:bCs/>
          <w:i/>
          <w:iCs/>
          <w:color w:val="000000"/>
        </w:rPr>
        <w:tab/>
        <w:t>-</w:t>
      </w:r>
    </w:p>
    <w:p w:rsidR="00217743" w:rsidRDefault="00217743" w:rsidP="00DE29D0">
      <w:pPr>
        <w:widowControl w:val="0"/>
        <w:ind w:firstLine="720"/>
        <w:jc w:val="both"/>
        <w:rPr>
          <w:b/>
          <w:bCs/>
          <w:i/>
          <w:iCs/>
          <w:color w:val="000000"/>
        </w:rPr>
      </w:pPr>
    </w:p>
    <w:p w:rsidR="00217743" w:rsidRDefault="00217743" w:rsidP="00DE29D0">
      <w:pPr>
        <w:widowControl w:val="0"/>
        <w:ind w:firstLine="72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217743" w:rsidRDefault="00217743" w:rsidP="00DE29D0">
      <w:pPr>
        <w:widowControl w:val="0"/>
        <w:tabs>
          <w:tab w:val="left" w:pos="0"/>
        </w:tabs>
        <w:ind w:right="360" w:firstLine="720"/>
        <w:jc w:val="both"/>
        <w:rPr>
          <w:b/>
          <w:bCs/>
          <w:i/>
          <w:iCs/>
          <w:color w:val="000000"/>
        </w:rPr>
      </w:pPr>
    </w:p>
    <w:p w:rsidR="00217743" w:rsidRDefault="00217743" w:rsidP="00DE29D0">
      <w:pPr>
        <w:widowControl w:val="0"/>
        <w:tabs>
          <w:tab w:val="left" w:pos="0"/>
        </w:tabs>
        <w:ind w:right="360" w:firstLine="720"/>
        <w:jc w:val="both"/>
        <w:rPr>
          <w:b/>
          <w:bCs/>
          <w:i/>
          <w:iCs/>
          <w:color w:val="000000"/>
        </w:rPr>
      </w:pPr>
      <w:r>
        <w:rPr>
          <w:b/>
          <w:bCs/>
          <w:i/>
          <w:iCs/>
          <w:color w:val="000000"/>
        </w:rPr>
        <w:t>7.  Ar reikalinga atlikti sprendimo projekto antikorupcinį vertinimą</w:t>
      </w:r>
    </w:p>
    <w:p w:rsidR="00217743" w:rsidRDefault="00217743" w:rsidP="00DE29D0">
      <w:pPr>
        <w:pStyle w:val="ListParagraph"/>
        <w:ind w:left="0" w:firstLine="720"/>
        <w:rPr>
          <w:color w:val="000000"/>
          <w:lang w:val="lt-LT"/>
        </w:rPr>
      </w:pPr>
      <w:r>
        <w:rPr>
          <w:color w:val="000000"/>
          <w:lang w:val="lt-LT"/>
        </w:rPr>
        <w:t>Reikalinga</w:t>
      </w:r>
    </w:p>
    <w:p w:rsidR="00217743" w:rsidRDefault="00217743" w:rsidP="00DE29D0">
      <w:pPr>
        <w:widowControl w:val="0"/>
        <w:tabs>
          <w:tab w:val="left" w:pos="0"/>
        </w:tabs>
        <w:ind w:right="360" w:firstLine="720"/>
        <w:jc w:val="both"/>
        <w:rPr>
          <w:b/>
          <w:bCs/>
          <w:i/>
          <w:iCs/>
        </w:rPr>
      </w:pPr>
    </w:p>
    <w:p w:rsidR="00217743" w:rsidRDefault="00217743" w:rsidP="00DE29D0">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217743" w:rsidRDefault="00217743" w:rsidP="00DE29D0">
      <w:pPr>
        <w:ind w:firstLine="720"/>
      </w:pPr>
      <w:r>
        <w:t>Sprendimą įgyvendina uždaroji akcinė bendrovė ,,Pagėgių komunalinis ūkis“</w:t>
      </w:r>
    </w:p>
    <w:p w:rsidR="00217743" w:rsidRDefault="00217743" w:rsidP="00DE29D0">
      <w:pPr>
        <w:widowControl w:val="0"/>
        <w:tabs>
          <w:tab w:val="left" w:pos="0"/>
        </w:tabs>
        <w:ind w:right="360"/>
        <w:jc w:val="both"/>
        <w:rPr>
          <w:b/>
          <w:bCs/>
          <w:i/>
          <w:iCs/>
          <w:color w:val="000000"/>
        </w:rPr>
      </w:pPr>
      <w:r>
        <w:rPr>
          <w:b/>
          <w:bCs/>
          <w:i/>
          <w:iCs/>
          <w:color w:val="000000"/>
        </w:rPr>
        <w:t xml:space="preserve">            </w:t>
      </w:r>
    </w:p>
    <w:p w:rsidR="00217743" w:rsidRDefault="00217743" w:rsidP="00DE29D0">
      <w:pPr>
        <w:widowControl w:val="0"/>
        <w:tabs>
          <w:tab w:val="left" w:pos="0"/>
        </w:tabs>
        <w:ind w:right="360"/>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rsidR="00217743" w:rsidRDefault="00217743" w:rsidP="00DE29D0">
      <w:pPr>
        <w:widowControl w:val="0"/>
        <w:tabs>
          <w:tab w:val="left" w:pos="0"/>
        </w:tabs>
        <w:ind w:right="360" w:firstLine="720"/>
        <w:jc w:val="both"/>
        <w:rPr>
          <w:color w:val="000000"/>
        </w:rPr>
      </w:pPr>
      <w:r>
        <w:rPr>
          <w:color w:val="000000"/>
        </w:rPr>
        <w:t>Atlikta UAB „Pagėgių komunalinis ūkis“ geriamojo vandens tiekimo ir nuotekų tvarkymo paslaugų bei atsiskaitomųjų apskaitos prietaisų priežiūros ir vartotojų aptarnavimo paslaugos perskaičiuotų ir bazinių kainų pokyčio analizė (pridedama).</w:t>
      </w:r>
    </w:p>
    <w:p w:rsidR="00217743" w:rsidRDefault="00217743" w:rsidP="00DE29D0">
      <w:pPr>
        <w:widowControl w:val="0"/>
        <w:tabs>
          <w:tab w:val="left" w:pos="0"/>
        </w:tabs>
        <w:ind w:right="360" w:firstLine="720"/>
        <w:jc w:val="both"/>
        <w:rPr>
          <w:b/>
          <w:bCs/>
          <w:i/>
          <w:iCs/>
          <w:color w:val="000000"/>
        </w:rPr>
      </w:pPr>
    </w:p>
    <w:p w:rsidR="00217743" w:rsidRDefault="00217743" w:rsidP="00DE29D0">
      <w:pPr>
        <w:widowControl w:val="0"/>
        <w:tabs>
          <w:tab w:val="left" w:pos="0"/>
        </w:tabs>
        <w:ind w:right="360" w:firstLine="720"/>
        <w:jc w:val="both"/>
        <w:rPr>
          <w:b/>
          <w:bCs/>
          <w:i/>
          <w:iCs/>
          <w:color w:val="000000"/>
        </w:rPr>
      </w:pPr>
      <w:r>
        <w:rPr>
          <w:b/>
          <w:bCs/>
          <w:i/>
          <w:iCs/>
          <w:color w:val="000000"/>
        </w:rPr>
        <w:t>10.  Projekto rengėjas ar rengėjų grupė.</w:t>
      </w:r>
    </w:p>
    <w:p w:rsidR="00217743" w:rsidRDefault="00217743" w:rsidP="00DE29D0">
      <w:pPr>
        <w:widowControl w:val="0"/>
        <w:tabs>
          <w:tab w:val="left" w:pos="0"/>
        </w:tabs>
        <w:ind w:right="360" w:firstLine="720"/>
        <w:jc w:val="both"/>
        <w:rPr>
          <w:color w:val="000000"/>
        </w:rPr>
      </w:pPr>
      <w:r>
        <w:rPr>
          <w:color w:val="000000"/>
        </w:rPr>
        <w:t>Administracijos vyr. ekonomistė Dalija Irena Einikienė</w:t>
      </w:r>
    </w:p>
    <w:p w:rsidR="00217743" w:rsidRDefault="00217743" w:rsidP="00DE29D0">
      <w:pPr>
        <w:widowControl w:val="0"/>
        <w:tabs>
          <w:tab w:val="left" w:pos="0"/>
        </w:tabs>
        <w:ind w:left="360" w:right="360" w:firstLine="360"/>
        <w:rPr>
          <w:b/>
          <w:bCs/>
          <w:i/>
          <w:iCs/>
          <w:color w:val="000000"/>
        </w:rPr>
      </w:pPr>
    </w:p>
    <w:p w:rsidR="00217743" w:rsidRDefault="00217743" w:rsidP="00DE29D0">
      <w:pPr>
        <w:widowControl w:val="0"/>
        <w:tabs>
          <w:tab w:val="left" w:pos="0"/>
        </w:tabs>
        <w:ind w:left="360" w:right="360" w:firstLine="360"/>
        <w:rPr>
          <w:b/>
          <w:bCs/>
          <w:i/>
          <w:iCs/>
          <w:color w:val="000000"/>
        </w:rPr>
      </w:pPr>
      <w:r>
        <w:rPr>
          <w:b/>
          <w:bCs/>
          <w:i/>
          <w:iCs/>
          <w:color w:val="000000"/>
        </w:rPr>
        <w:t>11. Kiti, rengėjo nuomone,  reikalingi pagrindimai ir paaiškinimai.</w:t>
      </w:r>
    </w:p>
    <w:p w:rsidR="00217743" w:rsidRDefault="00217743" w:rsidP="00DE29D0">
      <w:pPr>
        <w:ind w:left="1080"/>
        <w:jc w:val="both"/>
        <w:rPr>
          <w:color w:val="000000"/>
        </w:rPr>
      </w:pPr>
      <w:r>
        <w:rPr>
          <w:color w:val="000000"/>
        </w:rPr>
        <w:t>-</w:t>
      </w:r>
    </w:p>
    <w:p w:rsidR="00217743" w:rsidRDefault="00217743" w:rsidP="00DE29D0">
      <w:pPr>
        <w:jc w:val="both"/>
        <w:rPr>
          <w:color w:val="000000"/>
          <w:u w:val="single"/>
        </w:rPr>
      </w:pPr>
    </w:p>
    <w:p w:rsidR="00217743" w:rsidRDefault="00217743" w:rsidP="00DE29D0">
      <w:pPr>
        <w:jc w:val="both"/>
        <w:rPr>
          <w:color w:val="000000"/>
        </w:rPr>
      </w:pPr>
      <w:r>
        <w:rPr>
          <w:color w:val="000000"/>
          <w:u w:val="single"/>
        </w:rPr>
        <w:t>Administracijos vyr. ekonomistė</w:t>
      </w:r>
      <w:r>
        <w:rPr>
          <w:color w:val="000000"/>
        </w:rPr>
        <w:tab/>
      </w:r>
      <w:r>
        <w:rPr>
          <w:color w:val="000000"/>
        </w:rPr>
        <w:tab/>
      </w:r>
      <w:r>
        <w:rPr>
          <w:color w:val="000000"/>
        </w:rPr>
        <w:tab/>
      </w:r>
      <w:r>
        <w:rPr>
          <w:color w:val="000000"/>
          <w:u w:val="single"/>
        </w:rPr>
        <w:t>Dalija Irena Einikienė</w:t>
      </w:r>
      <w:r>
        <w:rPr>
          <w:color w:val="000000"/>
        </w:rPr>
        <w:tab/>
      </w:r>
    </w:p>
    <w:p w:rsidR="00217743" w:rsidRDefault="00217743" w:rsidP="00DE29D0">
      <w:pPr>
        <w:ind w:left="1080"/>
        <w:jc w:val="both"/>
        <w:rPr>
          <w:color w:val="000000"/>
        </w:rPr>
      </w:pPr>
      <w:r>
        <w:rPr>
          <w:color w:val="000000"/>
        </w:rPr>
        <w:t>(Rengėjo pareigos)</w:t>
      </w:r>
      <w:r>
        <w:rPr>
          <w:color w:val="000000"/>
        </w:rPr>
        <w:tab/>
        <w:t>(Parašas)</w:t>
      </w:r>
      <w:r>
        <w:rPr>
          <w:color w:val="000000"/>
        </w:rPr>
        <w:tab/>
      </w:r>
      <w:r>
        <w:rPr>
          <w:color w:val="000000"/>
        </w:rPr>
        <w:tab/>
        <w:t>(Rengėjo varas, pavardė)</w:t>
      </w: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sectPr w:rsidR="00217743" w:rsidSect="00BF655B">
          <w:headerReference w:type="default" r:id="rId9"/>
          <w:pgSz w:w="11907" w:h="16840"/>
          <w:pgMar w:top="709" w:right="567" w:bottom="1418" w:left="1701" w:header="567" w:footer="567" w:gutter="0"/>
          <w:cols w:space="1296"/>
          <w:titlePg/>
        </w:sectPr>
      </w:pPr>
    </w:p>
    <w:tbl>
      <w:tblPr>
        <w:tblW w:w="5135" w:type="pct"/>
        <w:tblInd w:w="-106" w:type="dxa"/>
        <w:tblLayout w:type="fixed"/>
        <w:tblLook w:val="0000"/>
      </w:tblPr>
      <w:tblGrid>
        <w:gridCol w:w="9321"/>
        <w:gridCol w:w="3404"/>
        <w:gridCol w:w="1788"/>
        <w:gridCol w:w="819"/>
      </w:tblGrid>
      <w:tr w:rsidR="00217743" w:rsidRPr="00BD4105">
        <w:trPr>
          <w:trHeight w:val="255"/>
        </w:trPr>
        <w:tc>
          <w:tcPr>
            <w:tcW w:w="5000" w:type="pct"/>
            <w:gridSpan w:val="4"/>
            <w:tcBorders>
              <w:top w:val="nil"/>
              <w:left w:val="nil"/>
              <w:bottom w:val="nil"/>
              <w:right w:val="nil"/>
            </w:tcBorders>
            <w:noWrap/>
            <w:vAlign w:val="bottom"/>
          </w:tcPr>
          <w:p w:rsidR="00217743" w:rsidRDefault="00217743" w:rsidP="00BD4105">
            <w:pPr>
              <w:overflowPunct/>
              <w:autoSpaceDE/>
              <w:autoSpaceDN/>
              <w:adjustRightInd/>
              <w:textAlignment w:val="auto"/>
              <w:rPr>
                <w:sz w:val="20"/>
                <w:szCs w:val="20"/>
                <w:lang w:eastAsia="lt-LT"/>
              </w:rPr>
            </w:pPr>
            <w:r w:rsidRPr="00BD4105">
              <w:rPr>
                <w:sz w:val="20"/>
                <w:szCs w:val="20"/>
                <w:lang w:eastAsia="lt-LT"/>
              </w:rPr>
              <w:t xml:space="preserve">UAB „Pagėgių komunalinis ūkis“ geriamojo vandens tiekimo ir nuotekų tvarkymo paslaugų </w:t>
            </w:r>
          </w:p>
          <w:p w:rsidR="00217743" w:rsidRPr="00BD4105" w:rsidRDefault="00217743" w:rsidP="00BD4105">
            <w:pPr>
              <w:overflowPunct/>
              <w:autoSpaceDE/>
              <w:autoSpaceDN/>
              <w:adjustRightInd/>
              <w:textAlignment w:val="auto"/>
              <w:rPr>
                <w:sz w:val="20"/>
                <w:szCs w:val="20"/>
                <w:lang w:eastAsia="lt-LT"/>
              </w:rPr>
            </w:pPr>
            <w:r w:rsidRPr="00BD4105">
              <w:rPr>
                <w:sz w:val="20"/>
                <w:szCs w:val="20"/>
                <w:lang w:eastAsia="lt-LT"/>
              </w:rPr>
              <w:t>bei atsiskaitomųjų apskaitos prietaisų priežiūros ir vartotojų aptarnavimo</w:t>
            </w:r>
          </w:p>
        </w:tc>
      </w:tr>
      <w:tr w:rsidR="00217743" w:rsidRPr="00BD4105">
        <w:trPr>
          <w:trHeight w:val="255"/>
        </w:trPr>
        <w:tc>
          <w:tcPr>
            <w:tcW w:w="3040" w:type="pct"/>
            <w:tcBorders>
              <w:top w:val="nil"/>
              <w:left w:val="nil"/>
              <w:bottom w:val="nil"/>
              <w:right w:val="nil"/>
            </w:tcBorders>
            <w:noWrap/>
            <w:vAlign w:val="bottom"/>
          </w:tcPr>
          <w:p w:rsidR="00217743" w:rsidRPr="00BD4105" w:rsidRDefault="00217743" w:rsidP="00BD4105">
            <w:pPr>
              <w:overflowPunct/>
              <w:autoSpaceDE/>
              <w:autoSpaceDN/>
              <w:adjustRightInd/>
              <w:textAlignment w:val="auto"/>
              <w:rPr>
                <w:sz w:val="20"/>
                <w:szCs w:val="20"/>
                <w:lang w:eastAsia="lt-LT"/>
              </w:rPr>
            </w:pPr>
            <w:r w:rsidRPr="00BD4105">
              <w:rPr>
                <w:sz w:val="20"/>
                <w:szCs w:val="20"/>
                <w:lang w:eastAsia="lt-LT"/>
              </w:rPr>
              <w:t xml:space="preserve"> paslaugos perskaičiuotų ir bazinių kainų pokyčio analizė </w:t>
            </w:r>
          </w:p>
        </w:tc>
        <w:tc>
          <w:tcPr>
            <w:tcW w:w="1110" w:type="pct"/>
            <w:tcBorders>
              <w:top w:val="nil"/>
              <w:left w:val="nil"/>
              <w:bottom w:val="nil"/>
              <w:right w:val="nil"/>
            </w:tcBorders>
            <w:noWrap/>
            <w:vAlign w:val="bottom"/>
          </w:tcPr>
          <w:p w:rsidR="00217743" w:rsidRPr="00BD4105" w:rsidRDefault="00217743" w:rsidP="00BD4105">
            <w:pPr>
              <w:overflowPunct/>
              <w:autoSpaceDE/>
              <w:autoSpaceDN/>
              <w:adjustRightInd/>
              <w:jc w:val="center"/>
              <w:textAlignment w:val="auto"/>
              <w:rPr>
                <w:sz w:val="20"/>
                <w:szCs w:val="20"/>
                <w:lang w:eastAsia="lt-LT"/>
              </w:rPr>
            </w:pPr>
          </w:p>
        </w:tc>
        <w:tc>
          <w:tcPr>
            <w:tcW w:w="583" w:type="pct"/>
            <w:tcBorders>
              <w:top w:val="nil"/>
              <w:left w:val="nil"/>
              <w:bottom w:val="nil"/>
              <w:right w:val="nil"/>
            </w:tcBorders>
            <w:noWrap/>
            <w:vAlign w:val="bottom"/>
          </w:tcPr>
          <w:p w:rsidR="00217743" w:rsidRPr="00BD4105" w:rsidRDefault="00217743" w:rsidP="00BD4105">
            <w:pPr>
              <w:overflowPunct/>
              <w:autoSpaceDE/>
              <w:autoSpaceDN/>
              <w:adjustRightInd/>
              <w:jc w:val="center"/>
              <w:textAlignment w:val="auto"/>
              <w:rPr>
                <w:sz w:val="20"/>
                <w:szCs w:val="20"/>
                <w:lang w:eastAsia="lt-LT"/>
              </w:rPr>
            </w:pPr>
          </w:p>
        </w:tc>
        <w:tc>
          <w:tcPr>
            <w:tcW w:w="267" w:type="pct"/>
            <w:tcBorders>
              <w:top w:val="nil"/>
              <w:left w:val="nil"/>
              <w:bottom w:val="nil"/>
              <w:right w:val="nil"/>
            </w:tcBorders>
            <w:noWrap/>
            <w:vAlign w:val="bottom"/>
          </w:tcPr>
          <w:p w:rsidR="00217743" w:rsidRPr="00BD4105" w:rsidRDefault="00217743" w:rsidP="00BD4105">
            <w:pPr>
              <w:overflowPunct/>
              <w:autoSpaceDE/>
              <w:autoSpaceDN/>
              <w:adjustRightInd/>
              <w:jc w:val="center"/>
              <w:textAlignment w:val="auto"/>
              <w:rPr>
                <w:sz w:val="20"/>
                <w:szCs w:val="20"/>
                <w:lang w:eastAsia="lt-LT"/>
              </w:rPr>
            </w:pPr>
          </w:p>
        </w:tc>
      </w:tr>
      <w:tr w:rsidR="00217743" w:rsidRPr="00BD4105">
        <w:trPr>
          <w:trHeight w:val="765"/>
        </w:trPr>
        <w:tc>
          <w:tcPr>
            <w:tcW w:w="3040" w:type="pct"/>
            <w:tcBorders>
              <w:top w:val="single" w:sz="4" w:space="0" w:color="auto"/>
              <w:left w:val="single" w:sz="4" w:space="0" w:color="auto"/>
              <w:bottom w:val="single" w:sz="4" w:space="0" w:color="auto"/>
              <w:right w:val="single" w:sz="4" w:space="0" w:color="auto"/>
            </w:tcBorders>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Paslaugos pavadinimas</w:t>
            </w:r>
          </w:p>
        </w:tc>
        <w:tc>
          <w:tcPr>
            <w:tcW w:w="1110" w:type="pct"/>
            <w:tcBorders>
              <w:top w:val="single" w:sz="4" w:space="0" w:color="auto"/>
              <w:left w:val="nil"/>
              <w:bottom w:val="single" w:sz="4" w:space="0" w:color="auto"/>
              <w:right w:val="single" w:sz="4" w:space="0" w:color="auto"/>
            </w:tcBorders>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Perskaičiuota kaina Eur/m3 (be PVM)</w:t>
            </w:r>
          </w:p>
        </w:tc>
        <w:tc>
          <w:tcPr>
            <w:tcW w:w="583" w:type="pct"/>
            <w:tcBorders>
              <w:top w:val="single" w:sz="4" w:space="0" w:color="auto"/>
              <w:left w:val="nil"/>
              <w:bottom w:val="single" w:sz="4" w:space="0" w:color="auto"/>
              <w:right w:val="single" w:sz="4" w:space="0" w:color="auto"/>
            </w:tcBorders>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Bazinė kaina Eur/m3 (be PVM)</w:t>
            </w:r>
          </w:p>
        </w:tc>
        <w:tc>
          <w:tcPr>
            <w:tcW w:w="267" w:type="pct"/>
            <w:tcBorders>
              <w:top w:val="single" w:sz="4" w:space="0" w:color="auto"/>
              <w:left w:val="nil"/>
              <w:bottom w:val="single" w:sz="4" w:space="0" w:color="auto"/>
              <w:right w:val="single" w:sz="4" w:space="0" w:color="auto"/>
            </w:tcBorders>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Pokytis Eur/m3 (be PVM)</w:t>
            </w:r>
          </w:p>
        </w:tc>
      </w:tr>
      <w:tr w:rsidR="00217743"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 geriamojo vandens tiekimo ir nuotekų tvarkymo paslaugų bazinę kainą vartotojams, </w:t>
            </w:r>
          </w:p>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bute</w:t>
            </w:r>
            <w:r w:rsidRPr="00BD4105">
              <w:rPr>
                <w:b/>
                <w:bCs/>
                <w:i/>
                <w:iCs/>
                <w:color w:val="000000"/>
                <w:sz w:val="20"/>
                <w:szCs w:val="20"/>
                <w:lang w:eastAsia="lt-LT"/>
              </w:rPr>
              <w:t>,</w:t>
            </w:r>
            <w:r w:rsidRPr="00BD4105">
              <w:rPr>
                <w:color w:val="000000"/>
                <w:sz w:val="20"/>
                <w:szCs w:val="20"/>
                <w:lang w:eastAsia="lt-LT"/>
              </w:rPr>
              <w:t xml:space="preserve"> iš šio skaičiaus:</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2,17</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2,41</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-0,24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1.1.1. geriamojo vandens tiekimo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0,68</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0,78</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1.1.2. nuotekų tvarkymo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1,49</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1,63</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1.1.2.1. nuotekų surinkimo</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0,70</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0,74</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1.1.2.2. nuotekų valymo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0,79</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0,89</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81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 geriamojo vandens tiekimo ir nuotekų tvarkymo paslaugų bazinę kainą vartotojams, </w:t>
            </w:r>
          </w:p>
          <w:p w:rsidR="00217743" w:rsidRDefault="00217743" w:rsidP="00BD4105">
            <w:pPr>
              <w:overflowPunct/>
              <w:autoSpaceDE/>
              <w:autoSpaceDN/>
              <w:adjustRightInd/>
              <w:jc w:val="both"/>
              <w:textAlignment w:val="auto"/>
              <w:rPr>
                <w:b/>
                <w:bCs/>
                <w:color w:val="000000"/>
                <w:sz w:val="20"/>
                <w:szCs w:val="20"/>
                <w:u w:val="single"/>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individualių gyvenamųjų namų</w:t>
            </w:r>
            <w:r w:rsidRPr="00BD4105">
              <w:rPr>
                <w:b/>
                <w:bCs/>
                <w:color w:val="000000"/>
                <w:sz w:val="20"/>
                <w:szCs w:val="20"/>
                <w:u w:val="single"/>
                <w:lang w:eastAsia="lt-LT"/>
              </w:rPr>
              <w:t xml:space="preserve"> </w:t>
            </w:r>
          </w:p>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ar kitų patalpų, skirtų asmeninėms, šeimos ar namų reikmėms, įvaduose, iš šio skaičiaus:</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2,00</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2,24</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-0,24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1.2.1. geriamojo vandens tiekimo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0,62</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0,72</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 nuotekų tvarkymo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1,52</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1.2.2.1. nuotekų surinkimo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0,69</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1.2.2.2. nuotekų valymo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0,73</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0,83</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 geriamojo vandens tiekimo ir nuotekų tvarkymo paslaugų bazinę kainą </w:t>
            </w:r>
            <w:r w:rsidRPr="00BD4105">
              <w:rPr>
                <w:b/>
                <w:bCs/>
                <w:i/>
                <w:iCs/>
                <w:color w:val="000000"/>
                <w:sz w:val="20"/>
                <w:szCs w:val="20"/>
                <w:u w:val="single"/>
                <w:lang w:eastAsia="lt-LT"/>
              </w:rPr>
              <w:t>abonentams</w:t>
            </w:r>
            <w:r w:rsidRPr="00BD4105">
              <w:rPr>
                <w:color w:val="000000"/>
                <w:sz w:val="20"/>
                <w:szCs w:val="20"/>
                <w:lang w:eastAsia="lt-LT"/>
              </w:rPr>
              <w:t>,</w:t>
            </w:r>
          </w:p>
          <w:p w:rsidR="00217743" w:rsidRDefault="00217743" w:rsidP="00BD4105">
            <w:pPr>
              <w:overflowPunct/>
              <w:autoSpaceDE/>
              <w:autoSpaceDN/>
              <w:adjustRightInd/>
              <w:jc w:val="both"/>
              <w:textAlignment w:val="auto"/>
              <w:rPr>
                <w:b/>
                <w:bCs/>
                <w:i/>
                <w:iCs/>
                <w:color w:val="000000"/>
                <w:sz w:val="20"/>
                <w:szCs w:val="20"/>
                <w:u w:val="single"/>
                <w:lang w:eastAsia="lt-LT"/>
              </w:rPr>
            </w:pPr>
            <w:r w:rsidRPr="00BD4105">
              <w:rPr>
                <w:color w:val="000000"/>
                <w:sz w:val="20"/>
                <w:szCs w:val="20"/>
                <w:lang w:eastAsia="lt-LT"/>
              </w:rPr>
              <w:t xml:space="preserve"> perkantiems geriamojo vandens tiekimo ir nuotekų tvarkymo paslaugas </w:t>
            </w:r>
            <w:r w:rsidRPr="00BD4105">
              <w:rPr>
                <w:b/>
                <w:bCs/>
                <w:i/>
                <w:iCs/>
                <w:color w:val="000000"/>
                <w:sz w:val="20"/>
                <w:szCs w:val="20"/>
                <w:u w:val="single"/>
                <w:lang w:eastAsia="lt-LT"/>
              </w:rPr>
              <w:t xml:space="preserve">buities ir komerciniams poreikiams </w:t>
            </w:r>
          </w:p>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bei perkantiems geriamąjį vandenį, skirtą karštam vandeniui ruošti </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2,03</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2,27</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-0,24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1.3.1. geriamojo vandens tiekimo</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0,75</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1.3.2. nuotekų tvarkymo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1,52</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1.3.2.1. nuotekų surinkimo</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0,69</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1.3.2.2. nuotekų valymo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0,73</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0,83</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 geriamojo vandens tiekimo ir nuotekų tvarkymo paslaugų bazinę kainą </w:t>
            </w:r>
            <w:r w:rsidRPr="00BD4105">
              <w:rPr>
                <w:b/>
                <w:bCs/>
                <w:i/>
                <w:iCs/>
                <w:color w:val="000000"/>
                <w:sz w:val="20"/>
                <w:szCs w:val="20"/>
                <w:u w:val="single"/>
                <w:lang w:eastAsia="lt-LT"/>
              </w:rPr>
              <w:t>abonentams</w:t>
            </w:r>
            <w:r w:rsidRPr="00BD4105">
              <w:rPr>
                <w:color w:val="000000"/>
                <w:sz w:val="20"/>
                <w:szCs w:val="20"/>
                <w:lang w:eastAsia="lt-LT"/>
              </w:rPr>
              <w:t xml:space="preserve">, </w:t>
            </w:r>
          </w:p>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geriamąjį vandenį, skirtą </w:t>
            </w:r>
            <w:r w:rsidRPr="00BD4105">
              <w:rPr>
                <w:b/>
                <w:bCs/>
                <w:i/>
                <w:iCs/>
                <w:color w:val="000000"/>
                <w:sz w:val="20"/>
                <w:szCs w:val="20"/>
                <w:u w:val="single"/>
                <w:lang w:eastAsia="lt-LT"/>
              </w:rPr>
              <w:t>patalpoms šildyti ir tiekiamą vartotojams ir abonentams</w:t>
            </w:r>
            <w:r w:rsidRPr="00BD4105">
              <w:rPr>
                <w:color w:val="000000"/>
                <w:sz w:val="20"/>
                <w:szCs w:val="20"/>
                <w:lang w:eastAsia="lt-LT"/>
              </w:rPr>
              <w:t xml:space="preserve"> </w:t>
            </w:r>
          </w:p>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bei geriamąjį vandenį, skirtą karštam vandeniui ruošti ir tiekiamą vartotoja</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2,00</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2,24</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-0,24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1.4.1. geriamojo vandens tiekimo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0,62</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0,72</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1.4.2. nuotekų tvarkymo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1,52</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1.4.2.1. nuotekų surinkimo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0,69</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-0,04</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1.4.2.2. nuotekų valymo </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0,73</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0,83</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-0,10</w:t>
            </w:r>
          </w:p>
        </w:tc>
      </w:tr>
      <w:tr w:rsidR="00217743"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1.5</w:t>
            </w:r>
            <w:r w:rsidRPr="00BD4105">
              <w:rPr>
                <w:color w:val="000000"/>
                <w:sz w:val="20"/>
                <w:szCs w:val="20"/>
                <w:u w:val="single"/>
                <w:lang w:eastAsia="lt-LT"/>
              </w:rPr>
              <w:t xml:space="preserve">. </w:t>
            </w:r>
            <w:r w:rsidRPr="00BD4105">
              <w:rPr>
                <w:b/>
                <w:bCs/>
                <w:color w:val="000000"/>
                <w:sz w:val="20"/>
                <w:szCs w:val="20"/>
                <w:lang w:eastAsia="lt-LT"/>
              </w:rPr>
              <w:t>atsiskaitomųjų apskaitos prietaisų priežiūros ir vartotojų aptarnavimo</w:t>
            </w:r>
            <w:r w:rsidRPr="00BD4105">
              <w:rPr>
                <w:b/>
                <w:bCs/>
                <w:i/>
                <w:iCs/>
                <w:color w:val="000000"/>
                <w:sz w:val="20"/>
                <w:szCs w:val="20"/>
                <w:lang w:eastAsia="lt-LT"/>
              </w:rPr>
              <w:t xml:space="preserve"> </w:t>
            </w:r>
            <w:r w:rsidRPr="00BD4105">
              <w:rPr>
                <w:color w:val="000000"/>
                <w:sz w:val="20"/>
                <w:szCs w:val="20"/>
                <w:lang w:eastAsia="lt-LT"/>
              </w:rPr>
              <w:t>paslaugos</w:t>
            </w:r>
            <w:r w:rsidRPr="00BD4105">
              <w:rPr>
                <w:color w:val="000000"/>
                <w:sz w:val="20"/>
                <w:szCs w:val="20"/>
                <w:u w:val="single"/>
                <w:lang w:eastAsia="lt-LT"/>
              </w:rPr>
              <w:t xml:space="preserve"> </w:t>
            </w:r>
            <w:r w:rsidRPr="00BD4105">
              <w:rPr>
                <w:color w:val="000000"/>
                <w:sz w:val="20"/>
                <w:szCs w:val="20"/>
                <w:lang w:eastAsia="lt-LT"/>
              </w:rPr>
              <w:t xml:space="preserve">bazinę kainą </w:t>
            </w:r>
            <w:r w:rsidRPr="00BD4105">
              <w:rPr>
                <w:b/>
                <w:bCs/>
                <w:i/>
                <w:iCs/>
                <w:color w:val="000000"/>
                <w:sz w:val="20"/>
                <w:szCs w:val="20"/>
                <w:u w:val="single"/>
                <w:lang w:eastAsia="lt-LT"/>
              </w:rPr>
              <w:t>vartotojams</w:t>
            </w:r>
            <w:r w:rsidRPr="00BD4105">
              <w:rPr>
                <w:color w:val="000000"/>
                <w:sz w:val="20"/>
                <w:szCs w:val="20"/>
                <w:lang w:eastAsia="lt-LT"/>
              </w:rPr>
              <w:t xml:space="preserve">, </w:t>
            </w:r>
          </w:p>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bute</w:t>
            </w:r>
            <w:r w:rsidRPr="00BD4105">
              <w:rPr>
                <w:color w:val="000000"/>
                <w:sz w:val="20"/>
                <w:szCs w:val="20"/>
                <w:lang w:eastAsia="lt-LT"/>
              </w:rPr>
              <w:t>:</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 </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 </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1.5.1. kai </w:t>
            </w:r>
            <w:r w:rsidRPr="00BD4105">
              <w:rPr>
                <w:b/>
                <w:bCs/>
                <w:i/>
                <w:iCs/>
                <w:color w:val="000000"/>
                <w:sz w:val="20"/>
                <w:szCs w:val="20"/>
                <w:u w:val="single"/>
                <w:lang w:eastAsia="lt-LT"/>
              </w:rPr>
              <w:t xml:space="preserve">įrengtas atsiskaitomasis apskaitos prietaisas, </w:t>
            </w:r>
            <w:r w:rsidRPr="00BD4105">
              <w:rPr>
                <w:color w:val="000000"/>
                <w:sz w:val="20"/>
                <w:szCs w:val="20"/>
                <w:lang w:eastAsia="lt-LT"/>
              </w:rPr>
              <w:t>butui per mėnesį;</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1,37</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0,01</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1.5.2. kai dėl techninių ar kitų priežasčių </w:t>
            </w:r>
            <w:r w:rsidRPr="00BD4105">
              <w:rPr>
                <w:b/>
                <w:bCs/>
                <w:i/>
                <w:iCs/>
                <w:color w:val="000000"/>
                <w:sz w:val="20"/>
                <w:szCs w:val="20"/>
                <w:u w:val="single"/>
                <w:lang w:eastAsia="lt-LT"/>
              </w:rPr>
              <w:t>nėra galimybės įrengti atsiskaitomojo apskaitos prietaiso</w:t>
            </w:r>
            <w:r w:rsidRPr="00BD4105">
              <w:rPr>
                <w:color w:val="000000"/>
                <w:sz w:val="20"/>
                <w:szCs w:val="20"/>
                <w:lang w:eastAsia="lt-LT"/>
              </w:rPr>
              <w:t>,  butui per mėnesį;</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0,72</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0,71</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0,01</w:t>
            </w:r>
          </w:p>
        </w:tc>
      </w:tr>
      <w:tr w:rsidR="00217743" w:rsidRPr="00BD4105">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1.6. </w:t>
            </w:r>
            <w:r w:rsidRPr="00BD4105">
              <w:rPr>
                <w:b/>
                <w:bCs/>
                <w:i/>
                <w:iCs/>
                <w:color w:val="000000"/>
                <w:sz w:val="20"/>
                <w:szCs w:val="20"/>
                <w:lang w:eastAsia="lt-LT"/>
              </w:rPr>
              <w:t>atsiskaitomųjų apskaitos prietaisų priežiūros ir vartotojų aptarnavimo</w:t>
            </w:r>
            <w:r w:rsidRPr="00BD4105">
              <w:rPr>
                <w:b/>
                <w:bCs/>
                <w:i/>
                <w:iCs/>
                <w:color w:val="000000"/>
                <w:sz w:val="20"/>
                <w:szCs w:val="20"/>
                <w:u w:val="single"/>
                <w:lang w:eastAsia="lt-LT"/>
              </w:rPr>
              <w:t xml:space="preserve"> </w:t>
            </w:r>
            <w:r w:rsidRPr="00BD4105">
              <w:rPr>
                <w:color w:val="000000"/>
                <w:sz w:val="20"/>
                <w:szCs w:val="20"/>
                <w:lang w:eastAsia="lt-LT"/>
              </w:rPr>
              <w:t xml:space="preserve">paslaugos bazinę kainą </w:t>
            </w:r>
            <w:r w:rsidRPr="00BD4105">
              <w:rPr>
                <w:b/>
                <w:bCs/>
                <w:i/>
                <w:iCs/>
                <w:color w:val="000000"/>
                <w:sz w:val="20"/>
                <w:szCs w:val="20"/>
                <w:u w:val="single"/>
                <w:lang w:eastAsia="lt-LT"/>
              </w:rPr>
              <w:t>vartotojams</w:t>
            </w:r>
            <w:r w:rsidRPr="00BD4105">
              <w:rPr>
                <w:color w:val="000000"/>
                <w:sz w:val="20"/>
                <w:szCs w:val="20"/>
                <w:lang w:eastAsia="lt-LT"/>
              </w:rPr>
              <w:t>,</w:t>
            </w:r>
          </w:p>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 perkantiems geriamojo vandens tiekimo ir nuotekų tvarkymo paslaugas i</w:t>
            </w:r>
            <w:r w:rsidRPr="00BD4105">
              <w:rPr>
                <w:b/>
                <w:bCs/>
                <w:i/>
                <w:iCs/>
                <w:color w:val="000000"/>
                <w:sz w:val="20"/>
                <w:szCs w:val="20"/>
                <w:u w:val="single"/>
                <w:lang w:eastAsia="lt-LT"/>
              </w:rPr>
              <w:t>ndividualių gyvenamųjų namų ar kitų patalpų, skirtų asmeninėms</w:t>
            </w:r>
            <w:r w:rsidRPr="00BD4105">
              <w:rPr>
                <w:color w:val="000000"/>
                <w:sz w:val="20"/>
                <w:szCs w:val="20"/>
                <w:lang w:eastAsia="lt-LT"/>
              </w:rPr>
              <w:t xml:space="preserve">, šeimos ar </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 </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 </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1.6.1. kai įrengtas atsiskaitomasis apskaitos prietaisas, apskaitos prietaisui per mėnesį;</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1,30</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1,28</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0,02</w:t>
            </w:r>
          </w:p>
        </w:tc>
      </w:tr>
      <w:tr w:rsidR="00217743"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1.6.2. kai dėl techninių ar kitų priežasčių nėra galimybės įrengti atsiskaitomojo apskaitos prietaiso, namui per mėnesį;</w:t>
            </w:r>
          </w:p>
        </w:tc>
        <w:tc>
          <w:tcPr>
            <w:tcW w:w="1110"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0,67</w:t>
            </w:r>
          </w:p>
        </w:tc>
        <w:tc>
          <w:tcPr>
            <w:tcW w:w="583"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0,66</w:t>
            </w:r>
          </w:p>
        </w:tc>
        <w:tc>
          <w:tcPr>
            <w:tcW w:w="267" w:type="pct"/>
            <w:tcBorders>
              <w:top w:val="nil"/>
              <w:left w:val="nil"/>
              <w:bottom w:val="single" w:sz="4" w:space="0" w:color="auto"/>
              <w:right w:val="single" w:sz="4" w:space="0" w:color="auto"/>
            </w:tcBorders>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0,01</w:t>
            </w:r>
          </w:p>
        </w:tc>
      </w:tr>
      <w:tr w:rsidR="00217743"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1.7. </w:t>
            </w:r>
            <w:r w:rsidRPr="00BD4105">
              <w:rPr>
                <w:b/>
                <w:bCs/>
                <w:i/>
                <w:iCs/>
                <w:color w:val="000000"/>
                <w:sz w:val="20"/>
                <w:szCs w:val="20"/>
                <w:lang w:eastAsia="lt-LT"/>
              </w:rPr>
              <w:t>vidutinę atsiskaitomųjų apskaitos prietaisų priežiūros ir vartotojų aptarnavimo</w:t>
            </w:r>
            <w:r w:rsidRPr="00BD4105">
              <w:rPr>
                <w:color w:val="000000"/>
                <w:sz w:val="20"/>
                <w:szCs w:val="20"/>
                <w:lang w:eastAsia="lt-LT"/>
              </w:rPr>
              <w:t xml:space="preserve"> paslaugos kainą </w:t>
            </w:r>
            <w:r w:rsidRPr="00BD4105">
              <w:rPr>
                <w:b/>
                <w:bCs/>
                <w:i/>
                <w:iCs/>
                <w:color w:val="000000"/>
                <w:sz w:val="20"/>
                <w:szCs w:val="20"/>
                <w:u w:val="single"/>
                <w:lang w:eastAsia="lt-LT"/>
              </w:rPr>
              <w:t>abonentams</w:t>
            </w:r>
            <w:r w:rsidRPr="00BD4105">
              <w:rPr>
                <w:color w:val="000000"/>
                <w:sz w:val="20"/>
                <w:szCs w:val="20"/>
                <w:lang w:eastAsia="lt-LT"/>
              </w:rPr>
              <w:t xml:space="preserve">, </w:t>
            </w:r>
          </w:p>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perkantiems geriamojo vandens tiekimo ir nuotekų tvarkymo paslaugas apskaitos prietaisui per mėnesį;</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2,90</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2,86</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0,04</w:t>
            </w:r>
          </w:p>
        </w:tc>
      </w:tr>
      <w:tr w:rsidR="00217743"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1.8. nuotekų transportavimo </w:t>
            </w:r>
            <w:r w:rsidRPr="00BD4105">
              <w:rPr>
                <w:b/>
                <w:bCs/>
                <w:i/>
                <w:iCs/>
                <w:color w:val="000000"/>
                <w:sz w:val="20"/>
                <w:szCs w:val="20"/>
                <w:u w:val="single"/>
                <w:lang w:eastAsia="lt-LT"/>
              </w:rPr>
              <w:t>asenizacijos transporto priemonėmis</w:t>
            </w:r>
            <w:r w:rsidRPr="00BD4105">
              <w:rPr>
                <w:color w:val="000000"/>
                <w:sz w:val="20"/>
                <w:szCs w:val="20"/>
                <w:lang w:eastAsia="lt-LT"/>
              </w:rPr>
              <w:t xml:space="preserve"> paslaugos bazinę kainą</w:t>
            </w:r>
          </w:p>
        </w:tc>
        <w:tc>
          <w:tcPr>
            <w:tcW w:w="1110"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4,92</w:t>
            </w:r>
          </w:p>
        </w:tc>
        <w:tc>
          <w:tcPr>
            <w:tcW w:w="583"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4,12</w:t>
            </w:r>
          </w:p>
        </w:tc>
        <w:tc>
          <w:tcPr>
            <w:tcW w:w="267" w:type="pct"/>
            <w:tcBorders>
              <w:top w:val="nil"/>
              <w:left w:val="nil"/>
              <w:bottom w:val="single" w:sz="4" w:space="0" w:color="auto"/>
              <w:right w:val="single" w:sz="4" w:space="0" w:color="auto"/>
            </w:tcBorders>
            <w:shd w:val="clear" w:color="auto" w:fill="CCFFCC"/>
            <w:noWrap/>
            <w:vAlign w:val="bottom"/>
          </w:tcPr>
          <w:p w:rsidR="00217743" w:rsidRPr="00BD4105" w:rsidRDefault="00217743" w:rsidP="00BD4105">
            <w:pPr>
              <w:overflowPunct/>
              <w:autoSpaceDE/>
              <w:autoSpaceDN/>
              <w:adjustRightInd/>
              <w:jc w:val="center"/>
              <w:textAlignment w:val="auto"/>
              <w:rPr>
                <w:sz w:val="20"/>
                <w:szCs w:val="20"/>
                <w:lang w:eastAsia="lt-LT"/>
              </w:rPr>
            </w:pPr>
            <w:r w:rsidRPr="00BD4105">
              <w:rPr>
                <w:sz w:val="20"/>
                <w:szCs w:val="20"/>
                <w:lang w:eastAsia="lt-LT"/>
              </w:rPr>
              <w:t>0,80</w:t>
            </w:r>
          </w:p>
        </w:tc>
      </w:tr>
    </w:tbl>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sectPr w:rsidR="00217743" w:rsidSect="00BD4105">
          <w:pgSz w:w="16840" w:h="11907" w:orient="landscape"/>
          <w:pgMar w:top="567" w:right="1418" w:bottom="1701" w:left="709" w:header="567" w:footer="567" w:gutter="0"/>
          <w:cols w:space="1296"/>
          <w:titlePg/>
        </w:sectPr>
      </w:pPr>
    </w:p>
    <w:p w:rsidR="00217743" w:rsidRDefault="00217743" w:rsidP="00BD758D">
      <w:pPr>
        <w:pStyle w:val="HTMLPreformatted"/>
        <w:rPr>
          <w:rFonts w:ascii="Times New Roman" w:hAnsi="Times New Roman" w:cs="Times New Roman"/>
          <w:sz w:val="24"/>
          <w:szCs w:val="24"/>
        </w:rPr>
      </w:pPr>
    </w:p>
    <w:p w:rsidR="00217743" w:rsidRDefault="00217743" w:rsidP="00311A1E"/>
    <w:tbl>
      <w:tblPr>
        <w:tblW w:w="0" w:type="auto"/>
        <w:tblInd w:w="-106" w:type="dxa"/>
        <w:tblLayout w:type="fixed"/>
        <w:tblLook w:val="0000"/>
      </w:tblPr>
      <w:tblGrid>
        <w:gridCol w:w="9639"/>
      </w:tblGrid>
      <w:tr w:rsidR="00217743">
        <w:trPr>
          <w:trHeight w:hRule="exact" w:val="1055"/>
        </w:trPr>
        <w:tc>
          <w:tcPr>
            <w:tcW w:w="9639" w:type="dxa"/>
          </w:tcPr>
          <w:p w:rsidR="00217743" w:rsidRDefault="00217743" w:rsidP="00D2713C">
            <w:pPr>
              <w:spacing w:line="240" w:lineRule="atLeast"/>
              <w:jc w:val="center"/>
              <w:rPr>
                <w:color w:val="000000"/>
              </w:rPr>
            </w:pPr>
            <w:r>
              <w:rPr>
                <w:noProof/>
                <w:lang w:eastAsia="lt-LT"/>
              </w:rPr>
              <w:pict>
                <v:shape id="_x0000_s1027" type="#_x0000_t202" style="position:absolute;left:0;text-align:left;margin-left:408.55pt;margin-top:-18.65pt;width:63.5pt;height:35.5pt;z-index:-251657216;mso-wrap-style:none" stroked="f">
                  <v:textbox style="mso-next-textbox:#_x0000_s1027;mso-fit-shape-to-text:t">
                    <w:txbxContent>
                      <w:p w:rsidR="00217743" w:rsidRDefault="00217743" w:rsidP="00311A1E">
                        <w:pPr>
                          <w:spacing w:line="240" w:lineRule="atLeast"/>
                          <w:jc w:val="center"/>
                          <w:rPr>
                            <w:b/>
                            <w:bCs/>
                          </w:rPr>
                        </w:pPr>
                      </w:p>
                      <w:p w:rsidR="00217743" w:rsidRPr="000B7B6F" w:rsidRDefault="00217743" w:rsidP="00311A1E">
                        <w:pPr>
                          <w:spacing w:line="240" w:lineRule="atLeast"/>
                          <w:jc w:val="center"/>
                        </w:pPr>
                        <w:r>
                          <w:rPr>
                            <w:b/>
                            <w:bCs/>
                          </w:rPr>
                          <w:t>P</w:t>
                        </w:r>
                        <w:r w:rsidRPr="009D5952">
                          <w:rPr>
                            <w:b/>
                            <w:bCs/>
                          </w:rPr>
                          <w:t>rojektas</w:t>
                        </w:r>
                      </w:p>
                    </w:txbxContent>
                  </v:textbox>
                </v:shape>
              </w:pict>
            </w:r>
            <w:r w:rsidRPr="007E4B16">
              <w:rPr>
                <w:sz w:val="28"/>
                <w:szCs w:val="28"/>
              </w:rPr>
              <w:pict>
                <v:shape id="_x0000_i1026" type="#_x0000_t75" style="width:33pt;height:42pt">
                  <v:imagedata r:id="rId7" o:title=""/>
                </v:shape>
              </w:pict>
            </w:r>
          </w:p>
        </w:tc>
      </w:tr>
      <w:tr w:rsidR="00217743">
        <w:trPr>
          <w:trHeight w:hRule="exact" w:val="2197"/>
        </w:trPr>
        <w:tc>
          <w:tcPr>
            <w:tcW w:w="9639" w:type="dxa"/>
          </w:tcPr>
          <w:p w:rsidR="00217743" w:rsidRDefault="00217743" w:rsidP="00D2713C">
            <w:pPr>
              <w:pStyle w:val="Heading2"/>
            </w:pPr>
            <w:r>
              <w:t>Pagėgių savivaldybės taryba</w:t>
            </w:r>
          </w:p>
          <w:p w:rsidR="00217743" w:rsidRDefault="00217743" w:rsidP="00D2713C">
            <w:pPr>
              <w:spacing w:before="120"/>
              <w:jc w:val="center"/>
              <w:rPr>
                <w:b/>
                <w:bCs/>
                <w:caps/>
                <w:color w:val="000000"/>
              </w:rPr>
            </w:pPr>
          </w:p>
          <w:p w:rsidR="00217743" w:rsidRDefault="00217743" w:rsidP="00D2713C">
            <w:pPr>
              <w:spacing w:before="120"/>
              <w:jc w:val="center"/>
              <w:rPr>
                <w:b/>
                <w:bCs/>
                <w:caps/>
                <w:color w:val="000000"/>
              </w:rPr>
            </w:pPr>
            <w:r>
              <w:rPr>
                <w:b/>
                <w:bCs/>
                <w:caps/>
                <w:color w:val="000000"/>
              </w:rPr>
              <w:t>sprendimas</w:t>
            </w:r>
          </w:p>
          <w:p w:rsidR="00217743" w:rsidRPr="00660A0A" w:rsidRDefault="00217743" w:rsidP="00D2713C">
            <w:pPr>
              <w:ind w:left="360"/>
              <w:jc w:val="center"/>
              <w:rPr>
                <w:b/>
                <w:bCs/>
              </w:rPr>
            </w:pPr>
            <w:r w:rsidRPr="00660A0A">
              <w:rPr>
                <w:b/>
                <w:bCs/>
                <w:caps/>
                <w:color w:val="000000"/>
                <w:sz w:val="22"/>
                <w:szCs w:val="22"/>
              </w:rPr>
              <w:t>DĖL UŽDAROSIOS AKCINĖS BENDROVĖS „</w:t>
            </w:r>
            <w:r>
              <w:rPr>
                <w:b/>
                <w:bCs/>
                <w:caps/>
                <w:color w:val="000000"/>
                <w:sz w:val="22"/>
                <w:szCs w:val="22"/>
              </w:rPr>
              <w:t>PAGĖGIŲ KOMUNALINIS ŪKIS</w:t>
            </w:r>
            <w:r w:rsidRPr="00660A0A">
              <w:rPr>
                <w:b/>
                <w:bCs/>
                <w:caps/>
                <w:color w:val="000000"/>
                <w:sz w:val="22"/>
                <w:szCs w:val="22"/>
              </w:rPr>
              <w:t>“</w:t>
            </w:r>
            <w:r w:rsidRPr="00660A0A">
              <w:rPr>
                <w:rStyle w:val="apple-converted-space"/>
                <w:b/>
                <w:bCs/>
                <w:caps/>
                <w:color w:val="000000"/>
                <w:sz w:val="22"/>
                <w:szCs w:val="22"/>
              </w:rPr>
              <w:t> </w:t>
            </w:r>
            <w:r w:rsidRPr="00660A0A">
              <w:rPr>
                <w:b/>
                <w:bCs/>
                <w:caps/>
                <w:color w:val="000000"/>
                <w:sz w:val="22"/>
                <w:szCs w:val="22"/>
              </w:rPr>
              <w:t xml:space="preserve">GERIAMOJO VANDENS TIEKIMO IR NUOTEKŲ TVARKYMO PASLAUGŲ BAZINIŲ KAINŲ </w:t>
            </w:r>
            <w:r w:rsidRPr="00660A0A">
              <w:rPr>
                <w:b/>
                <w:bCs/>
                <w:sz w:val="22"/>
                <w:szCs w:val="22"/>
              </w:rPr>
              <w:t>NUSTATYMO</w:t>
            </w:r>
          </w:p>
          <w:p w:rsidR="00217743" w:rsidRDefault="00217743" w:rsidP="00D2713C">
            <w:pPr>
              <w:spacing w:before="120"/>
              <w:jc w:val="center"/>
              <w:rPr>
                <w:b/>
                <w:bCs/>
                <w:caps/>
                <w:color w:val="000000"/>
              </w:rPr>
            </w:pPr>
          </w:p>
        </w:tc>
      </w:tr>
      <w:tr w:rsidR="00217743">
        <w:trPr>
          <w:trHeight w:hRule="exact" w:val="703"/>
        </w:trPr>
        <w:tc>
          <w:tcPr>
            <w:tcW w:w="9639" w:type="dxa"/>
          </w:tcPr>
          <w:p w:rsidR="00217743" w:rsidRDefault="00217743" w:rsidP="00D2713C">
            <w:pPr>
              <w:pStyle w:val="Heading2"/>
              <w:rPr>
                <w:b w:val="0"/>
                <w:bCs w:val="0"/>
                <w:caps w:val="0"/>
              </w:rPr>
            </w:pPr>
            <w:r>
              <w:rPr>
                <w:b w:val="0"/>
                <w:bCs w:val="0"/>
                <w:caps w:val="0"/>
              </w:rPr>
              <w:t>2017 m. balandžio 13 Nr. T1-65</w:t>
            </w:r>
          </w:p>
          <w:p w:rsidR="00217743" w:rsidRDefault="00217743" w:rsidP="00D2713C">
            <w:pPr>
              <w:jc w:val="center"/>
            </w:pPr>
            <w:r>
              <w:t>Pagėgiai</w:t>
            </w:r>
          </w:p>
        </w:tc>
      </w:tr>
    </w:tbl>
    <w:p w:rsidR="00217743" w:rsidRDefault="00217743" w:rsidP="00311A1E">
      <w:pPr>
        <w:ind w:firstLine="720"/>
        <w:jc w:val="both"/>
        <w:rPr>
          <w:sz w:val="22"/>
          <w:szCs w:val="22"/>
        </w:rPr>
      </w:pPr>
    </w:p>
    <w:p w:rsidR="00217743" w:rsidRPr="004857D2" w:rsidRDefault="00217743" w:rsidP="00311A1E">
      <w:pPr>
        <w:ind w:firstLine="720"/>
        <w:jc w:val="both"/>
      </w:pPr>
      <w:r w:rsidRPr="004857D2">
        <w:t>Vadovaudamasi Lietuvos Respublikos vietos savivaldos įstatymo 16 straipsnio 2 dalies 37 punktu, 18 straipsnio 1 dalimi, Lietuvos Respublikos geriamojo vandens tiekimo ir nuotekų tvarkymo įstatymo 10 straipsnio 6 punktu,</w:t>
      </w:r>
      <w:r>
        <w:t xml:space="preserve"> 34 straipsnio 2 ir 12 punktais,</w:t>
      </w:r>
      <w:r w:rsidRPr="004857D2">
        <w:t xml:space="preserve"> Geriamojo vandens tiekimo ir nuotekų tvarkymo paslaugų kainų nustatymo metodika</w:t>
      </w:r>
      <w:r>
        <w:t>,</w:t>
      </w:r>
      <w:r w:rsidRPr="004857D2">
        <w:t xml:space="preserve"> patvirtinta Valstybinės kainų ir energetikos kontrolės komisijos 2006 m. gruodžio 21 d. nutarimu Nr. O3-92</w:t>
      </w:r>
      <w:r>
        <w:t xml:space="preserve"> „Dėl geriamojo vandens tiekimo ir nuotekų tvarkymo paslaugų kainų nustatymo metodikos“</w:t>
      </w:r>
      <w:r w:rsidRPr="004857D2">
        <w:t>, Valstybinės kainų ir energetikos kontrolės komisijos 2017 m. kovo 23 d. nutarimu Nr. O3-92 „Dėl uždarosios akcinės bendrovės „Pagėgių komunalinis ūkis“ geriamojo vandens tiekimo ir nuotekų tvarkymo paslaugų bazinių kainų derinimo“, Pagėgių savivaldybės taryba  n u s p r e n d ž i a:</w:t>
      </w:r>
    </w:p>
    <w:p w:rsidR="00217743" w:rsidRPr="004857D2" w:rsidRDefault="00217743" w:rsidP="00311A1E">
      <w:pPr>
        <w:ind w:right="-1" w:firstLine="567"/>
        <w:jc w:val="both"/>
        <w:rPr>
          <w:color w:val="000000"/>
          <w:lang w:eastAsia="lt-LT"/>
        </w:rPr>
      </w:pPr>
      <w:r w:rsidRPr="004857D2">
        <w:t xml:space="preserve">1. Nustatyti </w:t>
      </w:r>
      <w:r w:rsidRPr="004857D2">
        <w:rPr>
          <w:color w:val="000000"/>
        </w:rPr>
        <w:t>UAB „Pagėgių komunalinis ūkis“ geriamojo vandens tiekimo ir nuotekų tvarkymo paslaugų bei atsiskaitomųjų apskaitos prietaisų priežiūros ir vartotojų aptarnavimo paslaugos bazines kainas (be pridėtinės vertės mokesčio):</w:t>
      </w:r>
    </w:p>
    <w:p w:rsidR="00217743" w:rsidRPr="004857D2" w:rsidRDefault="00217743" w:rsidP="00311A1E">
      <w:pPr>
        <w:ind w:right="-1" w:firstLine="567"/>
        <w:jc w:val="both"/>
        <w:rPr>
          <w:color w:val="000000"/>
        </w:rPr>
      </w:pPr>
      <w:r w:rsidRPr="004857D2">
        <w:rPr>
          <w:color w:val="000000"/>
        </w:rPr>
        <w:t>1.1. geriamojo vandens tiekimo ir nuotekų tvarkymo paslaugų bazinę kainą vartotojams, perkantiems geriamojo vandens tiekimo ir nuotekų tvarkymo paslaugas bute – 2,41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1.1.1. geriamojo vandens tiekimo – 0,78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1.1.2. nuotekų tvarkymo – 1,63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1.1.2.1. nuotekų surinkimo – 0,74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1.1.2.2. nuotekų valymo – 0,89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1.2. geriamojo vandens tiekimo ir nuotekų tvarkymo paslaugų bazinę kainą vartotojams, perkantiems geriamojo vandens tiekimo ir nuotekų tvarkymo paslaugas individualių gyvenamųjų namų ar kitų patalpų, skirtų asmeninėms, šeimos ar namų reikmėms, įvaduose – 2,24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1.2.1. geriamojo vandens tiekimo – 0,72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1.2.2. nuotekų tvarkymo – 1,52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1.2.2.1. nuotekų surinkimo – 0,69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1.2.2.2. nuotekų valymo – 0,83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1.3. geriamojo vandens tiekimo ir nuotekų tvarkymo paslaugų bazinę kainą abonentams, perkantiems geriamojo vandens tiekimo ir nuotekų tvarkymo paslaugas buities ir komerciniams poreikiams bei perkantiems geriamąjį vandenį, skirtą karštam vandeniui ruošti ir tiekiamą</w:t>
      </w:r>
      <w:r w:rsidRPr="004857D2">
        <w:rPr>
          <w:rStyle w:val="apple-converted-space"/>
          <w:color w:val="000000"/>
        </w:rPr>
        <w:t> </w:t>
      </w:r>
      <w:r w:rsidRPr="004857D2">
        <w:rPr>
          <w:color w:val="000000"/>
        </w:rPr>
        <w:br/>
        <w:t>abonentams – 2,27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1.3.1. geriamojo vandens tiekimo – 0,75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1.3.2. nuotekų tvarkymo – 1,52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1.3.2.1. nuotekų surinkimo – 0,69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1.3.2.2. nuotekų valymo – 0,83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1.4.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2,24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1.4.1. geriamojo vandens tiekimo – 0,72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1.4.2. nuotekų tvarkymo – 1,52 Eur/m</w:t>
      </w:r>
      <w:r w:rsidRPr="004857D2">
        <w:rPr>
          <w:color w:val="000000"/>
          <w:vertAlign w:val="superscript"/>
        </w:rPr>
        <w:t>3</w:t>
      </w:r>
      <w:r w:rsidRPr="004857D2">
        <w:rPr>
          <w:color w:val="000000"/>
        </w:rPr>
        <w:t>, iš šio skaičiaus:</w:t>
      </w:r>
    </w:p>
    <w:p w:rsidR="00217743" w:rsidRPr="004857D2" w:rsidRDefault="00217743" w:rsidP="00311A1E">
      <w:pPr>
        <w:ind w:right="-1" w:firstLine="567"/>
        <w:jc w:val="both"/>
        <w:rPr>
          <w:color w:val="000000"/>
        </w:rPr>
      </w:pPr>
      <w:r w:rsidRPr="004857D2">
        <w:rPr>
          <w:color w:val="000000"/>
        </w:rPr>
        <w:t>1.4.2.1. nuotekų surinkimo – 0,69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rPr>
      </w:pPr>
      <w:r w:rsidRPr="004857D2">
        <w:rPr>
          <w:color w:val="000000"/>
        </w:rPr>
        <w:t>1.4.2.2. nuotekų valymo – 0,83 Eur/m</w:t>
      </w:r>
      <w:r w:rsidRPr="004857D2">
        <w:rPr>
          <w:color w:val="000000"/>
          <w:vertAlign w:val="superscript"/>
        </w:rPr>
        <w:t>3</w:t>
      </w:r>
      <w:r w:rsidRPr="004857D2">
        <w:rPr>
          <w:color w:val="000000"/>
        </w:rPr>
        <w:t>;</w:t>
      </w:r>
    </w:p>
    <w:p w:rsidR="00217743" w:rsidRPr="004857D2" w:rsidRDefault="00217743" w:rsidP="00311A1E">
      <w:pPr>
        <w:ind w:firstLine="567"/>
        <w:jc w:val="both"/>
        <w:rPr>
          <w:color w:val="000000"/>
        </w:rPr>
      </w:pPr>
      <w:r w:rsidRPr="004857D2">
        <w:rPr>
          <w:color w:val="000000"/>
        </w:rPr>
        <w:t>1.5. atsiskaitomųjų apskaitos prietaisų priežiūros ir vartotojų aptarnavimo paslaugos bazinę kainą vartotojams, perkantiems geriamojo vandens tiekimo ir nuotekų tvarkymo paslaugas bute:</w:t>
      </w:r>
    </w:p>
    <w:p w:rsidR="00217743" w:rsidRPr="004857D2" w:rsidRDefault="00217743" w:rsidP="00311A1E">
      <w:pPr>
        <w:ind w:right="-1" w:firstLine="567"/>
        <w:jc w:val="both"/>
        <w:rPr>
          <w:color w:val="000000"/>
        </w:rPr>
      </w:pPr>
      <w:r w:rsidRPr="004857D2">
        <w:rPr>
          <w:color w:val="000000"/>
        </w:rPr>
        <w:t>1.5.1. kai įrengtas atsiskaitomasis apskaitos prietaisas – 1,37 Eur butui per mėnesį;</w:t>
      </w:r>
    </w:p>
    <w:p w:rsidR="00217743" w:rsidRPr="004857D2" w:rsidRDefault="00217743" w:rsidP="00311A1E">
      <w:pPr>
        <w:ind w:right="-1" w:firstLine="567"/>
        <w:jc w:val="both"/>
        <w:rPr>
          <w:color w:val="000000"/>
        </w:rPr>
      </w:pPr>
      <w:r w:rsidRPr="004857D2">
        <w:rPr>
          <w:color w:val="000000"/>
        </w:rPr>
        <w:t>1.5.2. kai dėl techninių ar kitų priežasčių nėra galimybės įrengti atsiskaitomojo apskaitos prietaiso – 0,71 Eur butui per mėnesį;</w:t>
      </w:r>
    </w:p>
    <w:p w:rsidR="00217743" w:rsidRPr="004857D2" w:rsidRDefault="00217743" w:rsidP="00311A1E">
      <w:pPr>
        <w:ind w:right="-1" w:firstLine="567"/>
        <w:jc w:val="both"/>
        <w:rPr>
          <w:color w:val="000000"/>
        </w:rPr>
      </w:pPr>
      <w:r w:rsidRPr="004857D2">
        <w:rPr>
          <w:color w:val="000000"/>
        </w:rPr>
        <w:t>1.6.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217743" w:rsidRPr="004857D2" w:rsidRDefault="00217743" w:rsidP="00311A1E">
      <w:pPr>
        <w:ind w:right="-1" w:firstLine="567"/>
        <w:jc w:val="both"/>
        <w:rPr>
          <w:color w:val="000000"/>
        </w:rPr>
      </w:pPr>
      <w:r w:rsidRPr="004857D2">
        <w:rPr>
          <w:color w:val="000000"/>
        </w:rPr>
        <w:t>1.6.1. kai įrengtas atsiskaitomasis apskaitos prietaisas – 1,28 Eur apskaitos prietaisui per mėnesį;</w:t>
      </w:r>
    </w:p>
    <w:p w:rsidR="00217743" w:rsidRPr="004857D2" w:rsidRDefault="00217743" w:rsidP="00311A1E">
      <w:pPr>
        <w:ind w:right="-1" w:firstLine="567"/>
        <w:jc w:val="both"/>
        <w:rPr>
          <w:color w:val="000000"/>
        </w:rPr>
      </w:pPr>
      <w:r w:rsidRPr="004857D2">
        <w:rPr>
          <w:color w:val="000000"/>
        </w:rPr>
        <w:t>1.6.2. kai dėl techninių ar kitų priežasčių nėra galimybės įrengti atsiskaitomojo apskaitos prietaiso – 0,66 Eur namui per mėnesį;</w:t>
      </w:r>
    </w:p>
    <w:p w:rsidR="00217743" w:rsidRPr="004857D2" w:rsidRDefault="00217743" w:rsidP="00311A1E">
      <w:pPr>
        <w:ind w:right="-1" w:firstLine="567"/>
        <w:jc w:val="both"/>
        <w:rPr>
          <w:color w:val="000000"/>
        </w:rPr>
      </w:pPr>
      <w:r w:rsidRPr="004857D2">
        <w:rPr>
          <w:color w:val="000000"/>
        </w:rPr>
        <w:t>1.7. vidutinę atsiskaitomųjų apskaitos prietaisų priežiūros ir vartotojų aptarnavimo paslaugos kainą abonentams, perkantiems geriamojo vandens tiekimo ir nuotekų tvarkymo</w:t>
      </w:r>
      <w:r w:rsidRPr="004857D2">
        <w:rPr>
          <w:rStyle w:val="apple-converted-space"/>
          <w:color w:val="000000"/>
        </w:rPr>
        <w:t> </w:t>
      </w:r>
      <w:r w:rsidRPr="004857D2">
        <w:rPr>
          <w:color w:val="000000"/>
        </w:rPr>
        <w:br/>
        <w:t>paslaugas – 2,86 Eur apskaitos prietaisui per mėnesį;</w:t>
      </w:r>
    </w:p>
    <w:p w:rsidR="00217743" w:rsidRPr="004857D2" w:rsidRDefault="00217743" w:rsidP="00311A1E">
      <w:pPr>
        <w:ind w:right="-1" w:firstLine="567"/>
        <w:jc w:val="both"/>
        <w:rPr>
          <w:color w:val="000000"/>
        </w:rPr>
      </w:pPr>
      <w:r w:rsidRPr="004857D2">
        <w:rPr>
          <w:color w:val="000000"/>
        </w:rPr>
        <w:t>1.8. nuotekų transportavimo asenizacijos transporto priemonėmis paslaugos bazinę</w:t>
      </w:r>
      <w:r w:rsidRPr="004857D2">
        <w:rPr>
          <w:rStyle w:val="apple-converted-space"/>
          <w:color w:val="000000"/>
        </w:rPr>
        <w:t> </w:t>
      </w:r>
      <w:r w:rsidRPr="004857D2">
        <w:rPr>
          <w:color w:val="000000"/>
        </w:rPr>
        <w:br/>
        <w:t>kainą – 4,12 Eur/m</w:t>
      </w:r>
      <w:r w:rsidRPr="004857D2">
        <w:rPr>
          <w:color w:val="000000"/>
          <w:vertAlign w:val="superscript"/>
        </w:rPr>
        <w:t>3</w:t>
      </w:r>
      <w:r w:rsidRPr="004857D2">
        <w:rPr>
          <w:color w:val="000000"/>
        </w:rPr>
        <w:t>;</w:t>
      </w:r>
    </w:p>
    <w:p w:rsidR="00217743" w:rsidRPr="004857D2" w:rsidRDefault="00217743" w:rsidP="00311A1E">
      <w:pPr>
        <w:ind w:right="-1" w:firstLine="567"/>
        <w:jc w:val="both"/>
        <w:rPr>
          <w:color w:val="000000"/>
          <w:lang w:eastAsia="lt-LT"/>
        </w:rPr>
      </w:pPr>
      <w:r w:rsidRPr="004857D2">
        <w:rPr>
          <w:color w:val="000000"/>
        </w:rPr>
        <w:t>2. Nustatyti, kad šio sprendimo 1 punkte nurodytos geriamojo vandens tiekimo ir nuotekų tvarkymo paslaugų bazinės kainos galioja trejus metus nuo šių kainų įsigaliojimo dienos.</w:t>
      </w:r>
    </w:p>
    <w:p w:rsidR="00217743" w:rsidRDefault="00217743" w:rsidP="00311A1E">
      <w:pPr>
        <w:ind w:firstLine="567"/>
        <w:jc w:val="both"/>
        <w:rPr>
          <w:color w:val="000000"/>
        </w:rPr>
      </w:pPr>
      <w:r w:rsidRPr="004857D2">
        <w:rPr>
          <w:color w:val="000000"/>
        </w:rPr>
        <w:t>3. Nustatyti, kad pirmaisiais bazinių kainų galiojimo metais taikomos geriamojo vandens tiekimo ir nuotekų tvarkymo paslaugų kainos lygios geriamojo vandens tiekimo ir nuotekų tvarkymo paslaugų bazinėms kainoms.</w:t>
      </w:r>
    </w:p>
    <w:p w:rsidR="00217743" w:rsidRDefault="00217743" w:rsidP="00311A1E">
      <w:pPr>
        <w:ind w:firstLine="567"/>
        <w:jc w:val="both"/>
        <w:rPr>
          <w:color w:val="000000"/>
        </w:rPr>
      </w:pPr>
      <w:r>
        <w:rPr>
          <w:color w:val="000000"/>
        </w:rPr>
        <w:t>4. Pripažinti netekusiu galios Pagėgių savivaldybės tarybos 2008 m. kovo 6 d. sprendimą Nr. T-298 ,,Dėl uždarosios akcinės bendrovės ,,Pagėgių komunalinis ūkis“ geriamojo vandens pardavimo, tiekimo ir nuotekų tvarkymo kainų nustatymo“ su visais pakeitimais ir papildymais.</w:t>
      </w:r>
    </w:p>
    <w:p w:rsidR="00217743" w:rsidRPr="004857D2" w:rsidRDefault="00217743" w:rsidP="00311A1E">
      <w:pPr>
        <w:ind w:firstLine="567"/>
        <w:jc w:val="both"/>
      </w:pPr>
      <w:r>
        <w:t>5</w:t>
      </w:r>
      <w:r w:rsidRPr="004857D2">
        <w:t xml:space="preserve">. </w:t>
      </w:r>
      <w:r>
        <w:t>Paskelbti informaciją apie šį s</w:t>
      </w:r>
      <w:r w:rsidRPr="004857D2">
        <w:t xml:space="preserve">prendimą </w:t>
      </w:r>
      <w:r>
        <w:t xml:space="preserve">laikraščiuose ,,Pamarys“ ir ,,Šilokarčema“, o visą sprendimą - </w:t>
      </w:r>
      <w:r w:rsidRPr="004857D2">
        <w:t xml:space="preserve">Teisės aktų registre ir Pagėgių savivaldybės interneto svetainėje  </w:t>
      </w:r>
      <w:hyperlink r:id="rId10" w:history="1">
        <w:r w:rsidRPr="004857D2">
          <w:rPr>
            <w:rStyle w:val="Hyperlink"/>
            <w:color w:val="auto"/>
            <w:u w:val="none"/>
          </w:rPr>
          <w:t>www.pagegiai.lt</w:t>
        </w:r>
      </w:hyperlink>
      <w:r w:rsidRPr="004857D2">
        <w:t>.</w:t>
      </w:r>
    </w:p>
    <w:p w:rsidR="00217743" w:rsidRPr="004857D2" w:rsidRDefault="00217743" w:rsidP="00311A1E">
      <w:pPr>
        <w:ind w:firstLine="567"/>
        <w:jc w:val="both"/>
      </w:pPr>
      <w:r w:rsidRPr="004857D2">
        <w:t>Šis sprendimas gali būti skundžiamas Lietuvos Respublikos administracinių bylų teisenos įstatymo nustatyta tvarka.</w:t>
      </w:r>
    </w:p>
    <w:p w:rsidR="00217743" w:rsidRDefault="00217743" w:rsidP="00311A1E">
      <w:pPr>
        <w:spacing w:line="360" w:lineRule="auto"/>
        <w:jc w:val="both"/>
      </w:pPr>
    </w:p>
    <w:p w:rsidR="00217743" w:rsidRDefault="00217743" w:rsidP="00311A1E">
      <w:pPr>
        <w:spacing w:line="360" w:lineRule="auto"/>
        <w:jc w:val="both"/>
      </w:pPr>
      <w:r>
        <w:t>SUDERINTA:</w:t>
      </w:r>
    </w:p>
    <w:p w:rsidR="00217743" w:rsidRDefault="00217743" w:rsidP="00311A1E">
      <w:pPr>
        <w:rPr>
          <w:lang w:val="pt-BR"/>
        </w:rPr>
      </w:pPr>
      <w:r>
        <w:rPr>
          <w:lang w:val="pt-BR"/>
        </w:rPr>
        <w:t xml:space="preserve">Administracijos direktorė                                          </w:t>
      </w:r>
      <w:r>
        <w:rPr>
          <w:lang w:val="pt-BR"/>
        </w:rPr>
        <w:tab/>
      </w:r>
      <w:r>
        <w:rPr>
          <w:lang w:val="pt-BR"/>
        </w:rPr>
        <w:tab/>
        <w:t>Dainora Butvydienė</w:t>
      </w:r>
    </w:p>
    <w:p w:rsidR="00217743" w:rsidRDefault="00217743" w:rsidP="00311A1E">
      <w:pPr>
        <w:rPr>
          <w:lang w:val="pt-BR"/>
        </w:rPr>
      </w:pPr>
    </w:p>
    <w:p w:rsidR="00217743" w:rsidRDefault="00217743" w:rsidP="00311A1E">
      <w:pPr>
        <w:rPr>
          <w:lang w:val="pt-BR"/>
        </w:rPr>
      </w:pPr>
      <w:r>
        <w:rPr>
          <w:lang w:val="pt-BR"/>
        </w:rPr>
        <w:t>Bendrojo ir juridinio skyriaus</w:t>
      </w:r>
    </w:p>
    <w:p w:rsidR="00217743" w:rsidRDefault="00217743" w:rsidP="00311A1E">
      <w:pPr>
        <w:rPr>
          <w:lang w:val="pt-BR"/>
        </w:rPr>
      </w:pPr>
      <w:r>
        <w:rPr>
          <w:lang w:val="pt-BR"/>
        </w:rPr>
        <w:t xml:space="preserve">Vyriausiasis specialistas                          </w:t>
      </w:r>
      <w:r>
        <w:rPr>
          <w:lang w:val="pt-BR"/>
        </w:rPr>
        <w:tab/>
      </w:r>
      <w:r>
        <w:rPr>
          <w:lang w:val="pt-BR"/>
        </w:rPr>
        <w:tab/>
      </w:r>
      <w:r>
        <w:rPr>
          <w:lang w:val="pt-BR"/>
        </w:rPr>
        <w:tab/>
        <w:t>Valdas Vytuvis</w:t>
      </w:r>
    </w:p>
    <w:p w:rsidR="00217743" w:rsidRDefault="00217743" w:rsidP="00311A1E">
      <w:pPr>
        <w:rPr>
          <w:lang w:val="pt-BR"/>
        </w:rPr>
      </w:pPr>
    </w:p>
    <w:p w:rsidR="00217743" w:rsidRDefault="00217743" w:rsidP="00311A1E">
      <w:pPr>
        <w:rPr>
          <w:lang w:val="pt-BR"/>
        </w:rPr>
      </w:pPr>
      <w:r w:rsidRPr="005D6393">
        <w:rPr>
          <w:lang w:val="pt-BR"/>
        </w:rPr>
        <w:t xml:space="preserve">Parengė </w:t>
      </w:r>
    </w:p>
    <w:p w:rsidR="00217743" w:rsidRDefault="00217743" w:rsidP="00311A1E">
      <w:pPr>
        <w:spacing w:line="360" w:lineRule="auto"/>
        <w:ind w:right="-108"/>
        <w:jc w:val="both"/>
        <w:rPr>
          <w:lang w:val="pt-BR"/>
        </w:rPr>
      </w:pPr>
      <w:r w:rsidRPr="005D6393">
        <w:rPr>
          <w:lang w:val="pt-BR"/>
        </w:rPr>
        <w:t xml:space="preserve">Administracijos vyriausioji ekonomistė  </w:t>
      </w:r>
    </w:p>
    <w:p w:rsidR="00217743" w:rsidRDefault="00217743" w:rsidP="00311A1E">
      <w:pPr>
        <w:spacing w:line="276" w:lineRule="auto"/>
        <w:ind w:right="-108"/>
        <w:jc w:val="both"/>
        <w:rPr>
          <w:lang w:val="pt-BR"/>
        </w:rPr>
      </w:pPr>
      <w:r w:rsidRPr="005D6393">
        <w:rPr>
          <w:lang w:val="pt-BR"/>
        </w:rPr>
        <w:t>Dalija Irena Einikienė</w:t>
      </w:r>
    </w:p>
    <w:p w:rsidR="00217743" w:rsidRDefault="00217743" w:rsidP="00311A1E">
      <w:pPr>
        <w:spacing w:line="276" w:lineRule="auto"/>
        <w:ind w:right="-108"/>
        <w:jc w:val="both"/>
        <w:rPr>
          <w:lang w:val="pt-BR"/>
        </w:rPr>
      </w:pPr>
      <w:r>
        <w:rPr>
          <w:lang w:val="pt-BR"/>
        </w:rPr>
        <w:t xml:space="preserve">2017-03- </w:t>
      </w:r>
      <w:r w:rsidRPr="005D6393">
        <w:rPr>
          <w:lang w:val="pt-BR"/>
        </w:rPr>
        <w:t xml:space="preserve"> </w:t>
      </w:r>
    </w:p>
    <w:p w:rsidR="00217743" w:rsidRDefault="00217743" w:rsidP="00311A1E">
      <w:pPr>
        <w:ind w:left="6406" w:firstLine="114"/>
        <w:jc w:val="both"/>
        <w:rPr>
          <w:color w:val="000000"/>
        </w:rPr>
      </w:pPr>
    </w:p>
    <w:p w:rsidR="00217743" w:rsidRPr="00EB38FF" w:rsidRDefault="00217743" w:rsidP="00311A1E">
      <w:pPr>
        <w:ind w:left="6406" w:firstLine="114"/>
        <w:jc w:val="both"/>
        <w:rPr>
          <w:color w:val="000000"/>
          <w:sz w:val="22"/>
          <w:szCs w:val="22"/>
        </w:rPr>
      </w:pPr>
      <w:r w:rsidRPr="00EB38FF">
        <w:rPr>
          <w:color w:val="000000"/>
          <w:sz w:val="22"/>
          <w:szCs w:val="22"/>
        </w:rPr>
        <w:t>Pagėgių savivaldybės tarybos</w:t>
      </w:r>
    </w:p>
    <w:p w:rsidR="00217743" w:rsidRPr="00EB38FF" w:rsidRDefault="00217743" w:rsidP="00311A1E">
      <w:pPr>
        <w:ind w:left="6292" w:firstLine="114"/>
        <w:jc w:val="both"/>
        <w:rPr>
          <w:color w:val="000000"/>
          <w:sz w:val="22"/>
          <w:szCs w:val="22"/>
        </w:rPr>
      </w:pPr>
      <w:r w:rsidRPr="00EB38FF">
        <w:rPr>
          <w:color w:val="000000"/>
          <w:sz w:val="22"/>
          <w:szCs w:val="22"/>
        </w:rPr>
        <w:t xml:space="preserve">  veiklos reglamento</w:t>
      </w:r>
    </w:p>
    <w:p w:rsidR="00217743" w:rsidRPr="00EB38FF" w:rsidRDefault="00217743" w:rsidP="00311A1E">
      <w:pPr>
        <w:ind w:left="6178" w:firstLine="114"/>
        <w:jc w:val="both"/>
        <w:rPr>
          <w:color w:val="000000"/>
          <w:sz w:val="22"/>
          <w:szCs w:val="22"/>
        </w:rPr>
      </w:pPr>
      <w:r w:rsidRPr="00EB38FF">
        <w:rPr>
          <w:color w:val="000000"/>
          <w:sz w:val="22"/>
          <w:szCs w:val="22"/>
        </w:rPr>
        <w:t xml:space="preserve">    2 priedas</w:t>
      </w:r>
    </w:p>
    <w:p w:rsidR="00217743" w:rsidRPr="00EB38FF" w:rsidRDefault="00217743" w:rsidP="00311A1E">
      <w:pPr>
        <w:ind w:left="5102"/>
        <w:jc w:val="both"/>
        <w:rPr>
          <w:color w:val="000000"/>
          <w:sz w:val="22"/>
          <w:szCs w:val="22"/>
        </w:rPr>
      </w:pPr>
      <w:r w:rsidRPr="00EB38FF">
        <w:rPr>
          <w:color w:val="000000"/>
          <w:sz w:val="22"/>
          <w:szCs w:val="22"/>
        </w:rPr>
        <w:t xml:space="preserve"> </w:t>
      </w:r>
    </w:p>
    <w:p w:rsidR="00217743" w:rsidRPr="00EB38FF" w:rsidRDefault="00217743" w:rsidP="00311A1E">
      <w:pPr>
        <w:ind w:left="360"/>
        <w:jc w:val="center"/>
        <w:rPr>
          <w:b/>
          <w:bCs/>
          <w:sz w:val="22"/>
          <w:szCs w:val="22"/>
        </w:rPr>
      </w:pPr>
      <w:r w:rsidRPr="00EB38FF">
        <w:rPr>
          <w:b/>
          <w:bCs/>
          <w:caps/>
          <w:color w:val="000000"/>
          <w:sz w:val="22"/>
          <w:szCs w:val="22"/>
        </w:rPr>
        <w:t>DĖL UŽDAROSIOS AKCINĖS BENDROVĖS „PAGĖGIŲ KOMUNALINIS ŪKIS“</w:t>
      </w:r>
      <w:r w:rsidRPr="00EB38FF">
        <w:rPr>
          <w:rStyle w:val="apple-converted-space"/>
          <w:b/>
          <w:bCs/>
          <w:caps/>
          <w:color w:val="000000"/>
          <w:sz w:val="22"/>
          <w:szCs w:val="22"/>
        </w:rPr>
        <w:t> </w:t>
      </w:r>
      <w:r w:rsidRPr="00EB38FF">
        <w:rPr>
          <w:b/>
          <w:bCs/>
          <w:caps/>
          <w:color w:val="000000"/>
          <w:sz w:val="22"/>
          <w:szCs w:val="22"/>
        </w:rPr>
        <w:t xml:space="preserve">GERIAMOJO VANDENS TIEKIMO IR NUOTEKŲ TVARKYMO PASLAUGŲ BAZINIŲ KAINŲ </w:t>
      </w:r>
      <w:r w:rsidRPr="00EB38FF">
        <w:rPr>
          <w:b/>
          <w:bCs/>
          <w:sz w:val="22"/>
          <w:szCs w:val="22"/>
        </w:rPr>
        <w:t>NUSTATYMO</w:t>
      </w:r>
    </w:p>
    <w:p w:rsidR="00217743" w:rsidRPr="00EB38FF" w:rsidRDefault="00217743" w:rsidP="00311A1E">
      <w:pPr>
        <w:ind w:firstLine="720"/>
        <w:jc w:val="center"/>
        <w:rPr>
          <w:color w:val="000000"/>
          <w:sz w:val="22"/>
          <w:szCs w:val="22"/>
        </w:rPr>
      </w:pPr>
      <w:r w:rsidRPr="00EB38FF">
        <w:rPr>
          <w:b/>
          <w:bCs/>
          <w:sz w:val="22"/>
          <w:szCs w:val="22"/>
        </w:rPr>
        <w:t xml:space="preserve"> </w:t>
      </w:r>
      <w:r w:rsidRPr="00EB38FF">
        <w:rPr>
          <w:color w:val="000000"/>
          <w:sz w:val="22"/>
          <w:szCs w:val="22"/>
        </w:rPr>
        <w:t>__________________________________________________________                                       (Tarybos sprendimo projekto pavadinimas)</w:t>
      </w:r>
    </w:p>
    <w:p w:rsidR="00217743" w:rsidRPr="00EB38FF" w:rsidRDefault="00217743" w:rsidP="00311A1E">
      <w:pPr>
        <w:ind w:firstLine="720"/>
        <w:jc w:val="center"/>
        <w:rPr>
          <w:b/>
          <w:bCs/>
          <w:color w:val="000000"/>
          <w:sz w:val="22"/>
          <w:szCs w:val="22"/>
        </w:rPr>
      </w:pPr>
      <w:r w:rsidRPr="00EB38FF">
        <w:rPr>
          <w:b/>
          <w:bCs/>
          <w:color w:val="000000"/>
          <w:sz w:val="22"/>
          <w:szCs w:val="22"/>
        </w:rPr>
        <w:t>AIŠKINAMASIS RAŠTAS</w:t>
      </w:r>
    </w:p>
    <w:p w:rsidR="00217743" w:rsidRPr="00EB38FF" w:rsidRDefault="00217743" w:rsidP="00311A1E">
      <w:pPr>
        <w:ind w:firstLine="720"/>
        <w:jc w:val="center"/>
        <w:rPr>
          <w:b/>
          <w:bCs/>
          <w:color w:val="000000"/>
          <w:sz w:val="22"/>
          <w:szCs w:val="22"/>
        </w:rPr>
      </w:pPr>
      <w:r w:rsidRPr="00EB38FF">
        <w:rPr>
          <w:b/>
          <w:bCs/>
          <w:color w:val="000000"/>
          <w:sz w:val="22"/>
          <w:szCs w:val="22"/>
        </w:rPr>
        <w:t>________2017 03 24______________</w:t>
      </w:r>
    </w:p>
    <w:p w:rsidR="00217743" w:rsidRPr="00EB38FF" w:rsidRDefault="00217743" w:rsidP="00311A1E">
      <w:pPr>
        <w:ind w:firstLine="720"/>
        <w:jc w:val="center"/>
        <w:rPr>
          <w:color w:val="000000"/>
          <w:sz w:val="22"/>
          <w:szCs w:val="22"/>
        </w:rPr>
      </w:pPr>
      <w:r w:rsidRPr="00EB38FF">
        <w:rPr>
          <w:color w:val="000000"/>
          <w:sz w:val="22"/>
          <w:szCs w:val="22"/>
        </w:rPr>
        <w:t>(Data)</w:t>
      </w:r>
    </w:p>
    <w:p w:rsidR="00217743" w:rsidRPr="00EB38FF" w:rsidRDefault="00217743" w:rsidP="00311A1E">
      <w:pPr>
        <w:widowControl w:val="0"/>
        <w:ind w:left="720"/>
        <w:jc w:val="both"/>
        <w:rPr>
          <w:b/>
          <w:bCs/>
          <w:i/>
          <w:iCs/>
          <w:color w:val="000000"/>
          <w:sz w:val="22"/>
          <w:szCs w:val="22"/>
        </w:rPr>
      </w:pPr>
      <w:r w:rsidRPr="00EB38FF">
        <w:rPr>
          <w:b/>
          <w:bCs/>
          <w:i/>
          <w:iCs/>
          <w:color w:val="000000"/>
          <w:sz w:val="22"/>
          <w:szCs w:val="22"/>
        </w:rPr>
        <w:t>1. Parengto projekto tikslai ir uždaviniai</w:t>
      </w:r>
    </w:p>
    <w:p w:rsidR="00217743" w:rsidRPr="00EB38FF" w:rsidRDefault="00217743" w:rsidP="00311A1E">
      <w:pPr>
        <w:widowControl w:val="0"/>
        <w:ind w:firstLine="720"/>
        <w:jc w:val="both"/>
        <w:rPr>
          <w:sz w:val="22"/>
          <w:szCs w:val="22"/>
        </w:rPr>
      </w:pPr>
      <w:r w:rsidRPr="00EB38FF">
        <w:rPr>
          <w:sz w:val="22"/>
          <w:szCs w:val="22"/>
        </w:rPr>
        <w:t>Bazinės kainos nustatomos 3 metų laikotarpiui ir perskaičiuojamos kasmet. Šiuo metu centralizuota geriamojo vandens tiekimo paslauga UAB „Pagėgių komunalinis ūkis" aptarnaujamoje teritorijoje naudojasi apie 62 proc. vartotojų, nuotekų tvarkymo paslauga – apie 38 proc. Visas vartotojams centralizuotai patiekiamas geriamasis vanduo atitinka Higienos normų reikalavimus, 100 proc. nuotekų išvaloma iki nustatytų rodiklių.</w:t>
      </w:r>
    </w:p>
    <w:p w:rsidR="00217743" w:rsidRPr="00EB38FF" w:rsidRDefault="00217743" w:rsidP="00311A1E">
      <w:pPr>
        <w:tabs>
          <w:tab w:val="left" w:pos="900"/>
        </w:tabs>
        <w:rPr>
          <w:b/>
          <w:bCs/>
          <w:i/>
          <w:iCs/>
          <w:sz w:val="22"/>
          <w:szCs w:val="22"/>
        </w:rPr>
      </w:pPr>
      <w:r w:rsidRPr="00EB38FF">
        <w:rPr>
          <w:b/>
          <w:bCs/>
          <w:i/>
          <w:iCs/>
          <w:sz w:val="22"/>
          <w:szCs w:val="22"/>
        </w:rPr>
        <w:tab/>
        <w:t>2. Kaip šiuo metu yra sureguliuoti projekte aptarti klausimai</w:t>
      </w:r>
    </w:p>
    <w:p w:rsidR="00217743" w:rsidRPr="00EB38FF" w:rsidRDefault="00217743" w:rsidP="00EB38FF">
      <w:pPr>
        <w:tabs>
          <w:tab w:val="left" w:pos="900"/>
        </w:tabs>
        <w:rPr>
          <w:sz w:val="22"/>
          <w:szCs w:val="22"/>
        </w:rPr>
      </w:pPr>
      <w:r w:rsidRPr="00EB38FF">
        <w:rPr>
          <w:b/>
          <w:bCs/>
          <w:i/>
          <w:iCs/>
          <w:sz w:val="22"/>
          <w:szCs w:val="22"/>
        </w:rPr>
        <w:tab/>
      </w:r>
      <w:r w:rsidRPr="00EB38FF">
        <w:rPr>
          <w:sz w:val="22"/>
          <w:szCs w:val="22"/>
        </w:rPr>
        <w:t>Naujos UAB „Pagėgių komunalinis ūkis" geriamojo vandens tiekimo ir nuotekų tvarkymo paslaugų bazinės kainos įsigalios jas patvirtinus Pagėgių savivaldybės tarybai. Šiuo metu galioja Pagėgių savivaldybės tarybos 2008 m. kovo 6 d. sprendimu Nr.T-298 (2014 m. rugsėjo 18 d. sprendimo Nr. T-154 redakcija) nustatyta kaina. Atsižvelgus į Pagėgių savivaldybės patvirtintą infrastruktūros plėtros ir ilgalaikio turto nusidėvėjimo atstatymo lėšų panaudojimo planą, kainos buvo suderintos ir galėjo būti taikomos iki 2011 m. gruodžio 31 d.</w:t>
      </w:r>
    </w:p>
    <w:p w:rsidR="00217743" w:rsidRPr="00EB38FF" w:rsidRDefault="00217743" w:rsidP="00311A1E">
      <w:pPr>
        <w:widowControl w:val="0"/>
        <w:ind w:firstLine="720"/>
        <w:jc w:val="both"/>
        <w:rPr>
          <w:b/>
          <w:bCs/>
          <w:i/>
          <w:iCs/>
          <w:color w:val="000000"/>
          <w:sz w:val="22"/>
          <w:szCs w:val="22"/>
        </w:rPr>
      </w:pPr>
      <w:r w:rsidRPr="00EB38FF">
        <w:rPr>
          <w:b/>
          <w:bCs/>
          <w:i/>
          <w:iCs/>
          <w:color w:val="000000"/>
          <w:sz w:val="22"/>
          <w:szCs w:val="22"/>
        </w:rPr>
        <w:t>3. Kokių teigiamų rezultatų laukiama</w:t>
      </w:r>
    </w:p>
    <w:p w:rsidR="00217743" w:rsidRPr="00EB38FF" w:rsidRDefault="00217743" w:rsidP="00311A1E">
      <w:pPr>
        <w:widowControl w:val="0"/>
        <w:ind w:firstLine="720"/>
        <w:jc w:val="both"/>
        <w:rPr>
          <w:sz w:val="22"/>
          <w:szCs w:val="22"/>
        </w:rPr>
      </w:pPr>
      <w:r w:rsidRPr="00EB38FF">
        <w:rPr>
          <w:sz w:val="22"/>
          <w:szCs w:val="22"/>
        </w:rPr>
        <w:t>Bendrovė, vykdydama geriamojo vandens tiekimo ir nuotekų tvarkymo veiklą, patyrė  tūkst. Eur nuostolio. Patvirtinus naujas kainas, bendrovės vandentvarkos veiklos pajamos padengs išlaidas.</w:t>
      </w:r>
    </w:p>
    <w:p w:rsidR="00217743" w:rsidRPr="00EB38FF" w:rsidRDefault="00217743" w:rsidP="00EB38FF">
      <w:pPr>
        <w:widowControl w:val="0"/>
        <w:ind w:firstLine="720"/>
        <w:jc w:val="both"/>
        <w:rPr>
          <w:sz w:val="22"/>
          <w:szCs w:val="22"/>
        </w:rPr>
      </w:pPr>
      <w:r w:rsidRPr="00EB38FF">
        <w:rPr>
          <w:sz w:val="22"/>
          <w:szCs w:val="22"/>
        </w:rPr>
        <w:t>UAB „Pagėgių komunalinis ūkis" aptarnaujamoje licencijuojamoje teritorijoje vartotojų, perkančių geriamojo vandens tiekimo ir nuotekų tvarkymo paslaugas, mokama suma už paslaugas sudarys 2,35 proc. vidutinių šeimos pajamų, t. y. neviršys 4,0 proc. vidutinių šeimos pajamų</w:t>
      </w:r>
    </w:p>
    <w:p w:rsidR="00217743" w:rsidRPr="00EB38FF" w:rsidRDefault="00217743" w:rsidP="00311A1E">
      <w:pPr>
        <w:widowControl w:val="0"/>
        <w:tabs>
          <w:tab w:val="left" w:pos="0"/>
        </w:tabs>
        <w:ind w:right="360" w:firstLine="720"/>
        <w:jc w:val="both"/>
        <w:rPr>
          <w:b/>
          <w:bCs/>
          <w:i/>
          <w:iCs/>
          <w:color w:val="000000"/>
          <w:sz w:val="22"/>
          <w:szCs w:val="22"/>
        </w:rPr>
      </w:pPr>
      <w:r w:rsidRPr="00EB38FF">
        <w:rPr>
          <w:b/>
          <w:bCs/>
          <w:i/>
          <w:iCs/>
          <w:color w:val="000000"/>
          <w:sz w:val="22"/>
          <w:szCs w:val="22"/>
        </w:rPr>
        <w:t>4. Galimos neigiamos priimto projekto pasekmės ir kokių priemonių reikėtų imtis, kad tokių pasekmių būtų išvengta</w:t>
      </w:r>
    </w:p>
    <w:p w:rsidR="00217743" w:rsidRPr="00EB38FF" w:rsidRDefault="00217743" w:rsidP="00EB38FF">
      <w:pPr>
        <w:ind w:firstLine="720"/>
        <w:jc w:val="both"/>
        <w:rPr>
          <w:color w:val="000000"/>
          <w:sz w:val="22"/>
          <w:szCs w:val="22"/>
        </w:rPr>
      </w:pPr>
      <w:r w:rsidRPr="00EB38FF">
        <w:rPr>
          <w:sz w:val="22"/>
          <w:szCs w:val="22"/>
        </w:rPr>
        <w:t>Neigiamų pasekmių nenustatyta.</w:t>
      </w:r>
      <w:r w:rsidRPr="00EB38FF">
        <w:rPr>
          <w:b/>
          <w:bCs/>
          <w:i/>
          <w:iCs/>
          <w:color w:val="000000"/>
          <w:sz w:val="22"/>
          <w:szCs w:val="22"/>
        </w:rPr>
        <w:t xml:space="preserve">     </w:t>
      </w:r>
    </w:p>
    <w:p w:rsidR="00217743" w:rsidRPr="00EB38FF" w:rsidRDefault="00217743" w:rsidP="00311A1E">
      <w:pPr>
        <w:tabs>
          <w:tab w:val="left" w:pos="0"/>
          <w:tab w:val="left" w:pos="540"/>
          <w:tab w:val="left" w:pos="900"/>
        </w:tabs>
        <w:ind w:right="360" w:firstLine="720"/>
        <w:jc w:val="both"/>
        <w:rPr>
          <w:b/>
          <w:bCs/>
          <w:i/>
          <w:iCs/>
          <w:color w:val="000000"/>
          <w:sz w:val="22"/>
          <w:szCs w:val="22"/>
        </w:rPr>
      </w:pPr>
      <w:r w:rsidRPr="00EB38FF">
        <w:rPr>
          <w:b/>
          <w:bCs/>
          <w:i/>
          <w:iCs/>
          <w:color w:val="000000"/>
          <w:sz w:val="22"/>
          <w:szCs w:val="22"/>
        </w:rPr>
        <w:t>5. Kokius galiojančius aktus (tarybos, mero, savivaldybės administracijos direktoriaus) reikėtų pakeisti ir panaikinti, priėmus sprendimą pagal teikiamą projektą</w:t>
      </w:r>
    </w:p>
    <w:p w:rsidR="00217743" w:rsidRPr="00EB38FF" w:rsidRDefault="00217743" w:rsidP="00EB38FF">
      <w:pPr>
        <w:tabs>
          <w:tab w:val="left" w:pos="0"/>
        </w:tabs>
        <w:ind w:right="360" w:firstLine="720"/>
        <w:jc w:val="both"/>
        <w:rPr>
          <w:b/>
          <w:bCs/>
          <w:i/>
          <w:iCs/>
          <w:color w:val="000000"/>
          <w:sz w:val="22"/>
          <w:szCs w:val="22"/>
        </w:rPr>
      </w:pPr>
      <w:r w:rsidRPr="00EB38FF">
        <w:rPr>
          <w:b/>
          <w:bCs/>
          <w:i/>
          <w:iCs/>
          <w:color w:val="000000"/>
          <w:sz w:val="22"/>
          <w:szCs w:val="22"/>
        </w:rPr>
        <w:tab/>
        <w:t>-</w:t>
      </w:r>
    </w:p>
    <w:p w:rsidR="00217743" w:rsidRPr="00EB38FF" w:rsidRDefault="00217743" w:rsidP="00EB38FF">
      <w:pPr>
        <w:widowControl w:val="0"/>
        <w:ind w:firstLine="720"/>
        <w:jc w:val="both"/>
        <w:rPr>
          <w:b/>
          <w:bCs/>
          <w:i/>
          <w:iCs/>
          <w:color w:val="000000"/>
          <w:sz w:val="22"/>
          <w:szCs w:val="22"/>
        </w:rPr>
      </w:pPr>
      <w:r w:rsidRPr="00EB38FF">
        <w:rPr>
          <w:b/>
          <w:bCs/>
          <w:i/>
          <w:iCs/>
          <w:color w:val="000000"/>
          <w:sz w:val="22"/>
          <w:szCs w:val="22"/>
        </w:rPr>
        <w:t>6. Jeigu priimtam sprendimui reikės kito tarybos sprendimo, mero potvarkio ar administracijos direktoriaus įsakymo, kas ir kada juos turėtų parengti</w:t>
      </w:r>
    </w:p>
    <w:p w:rsidR="00217743" w:rsidRPr="00EB38FF" w:rsidRDefault="00217743" w:rsidP="00311A1E">
      <w:pPr>
        <w:widowControl w:val="0"/>
        <w:tabs>
          <w:tab w:val="left" w:pos="0"/>
        </w:tabs>
        <w:ind w:right="360" w:firstLine="720"/>
        <w:jc w:val="both"/>
        <w:rPr>
          <w:b/>
          <w:bCs/>
          <w:i/>
          <w:iCs/>
          <w:color w:val="000000"/>
          <w:sz w:val="22"/>
          <w:szCs w:val="22"/>
        </w:rPr>
      </w:pPr>
      <w:r w:rsidRPr="00EB38FF">
        <w:rPr>
          <w:b/>
          <w:bCs/>
          <w:i/>
          <w:iCs/>
          <w:color w:val="000000"/>
          <w:sz w:val="22"/>
          <w:szCs w:val="22"/>
        </w:rPr>
        <w:t>7.  Ar reikalinga atlikti sprendimo projekto antikorupcinį vertinimą</w:t>
      </w:r>
    </w:p>
    <w:p w:rsidR="00217743" w:rsidRPr="00EB38FF" w:rsidRDefault="00217743" w:rsidP="00EB38FF">
      <w:pPr>
        <w:pStyle w:val="ListParagraph"/>
        <w:ind w:left="0" w:firstLine="720"/>
        <w:rPr>
          <w:color w:val="000000"/>
          <w:sz w:val="22"/>
          <w:szCs w:val="22"/>
          <w:lang w:val="lt-LT"/>
        </w:rPr>
      </w:pPr>
      <w:r w:rsidRPr="00BD4105">
        <w:rPr>
          <w:sz w:val="22"/>
          <w:szCs w:val="22"/>
          <w:lang w:val="lt-LT"/>
        </w:rPr>
        <w:t>Reikalinga</w:t>
      </w:r>
    </w:p>
    <w:p w:rsidR="00217743" w:rsidRPr="00EB38FF" w:rsidRDefault="00217743" w:rsidP="00311A1E">
      <w:pPr>
        <w:widowControl w:val="0"/>
        <w:tabs>
          <w:tab w:val="left" w:pos="0"/>
        </w:tabs>
        <w:ind w:right="360" w:firstLine="720"/>
        <w:jc w:val="both"/>
        <w:rPr>
          <w:b/>
          <w:bCs/>
          <w:i/>
          <w:iCs/>
          <w:sz w:val="22"/>
          <w:szCs w:val="22"/>
        </w:rPr>
      </w:pPr>
      <w:r w:rsidRPr="00EB38FF">
        <w:rPr>
          <w:b/>
          <w:bCs/>
          <w:i/>
          <w:iCs/>
          <w:sz w:val="22"/>
          <w:szCs w:val="22"/>
        </w:rPr>
        <w:t>8. Sprendimo vykdytojai ir įvykdymo terminai, lėšų, reikalingų sprendimui įgyvendinti, poreikis (jeigu tai numatoma – derinti su Finansų skyriumi)</w:t>
      </w:r>
    </w:p>
    <w:p w:rsidR="00217743" w:rsidRPr="00EB38FF" w:rsidRDefault="00217743" w:rsidP="00311A1E">
      <w:pPr>
        <w:ind w:firstLine="720"/>
        <w:rPr>
          <w:sz w:val="22"/>
          <w:szCs w:val="22"/>
        </w:rPr>
      </w:pPr>
      <w:r w:rsidRPr="00EB38FF">
        <w:rPr>
          <w:sz w:val="22"/>
          <w:szCs w:val="22"/>
        </w:rPr>
        <w:t>Sprendimą įgyvendina uždaroji akcinė bendrovė ,,Pagėgių komunalinis ūkis“</w:t>
      </w:r>
    </w:p>
    <w:p w:rsidR="00217743" w:rsidRPr="00EB38FF" w:rsidRDefault="00217743" w:rsidP="00311A1E">
      <w:pPr>
        <w:widowControl w:val="0"/>
        <w:tabs>
          <w:tab w:val="left" w:pos="0"/>
        </w:tabs>
        <w:ind w:right="360"/>
        <w:jc w:val="both"/>
        <w:rPr>
          <w:b/>
          <w:bCs/>
          <w:i/>
          <w:iCs/>
          <w:color w:val="000000"/>
          <w:sz w:val="22"/>
          <w:szCs w:val="22"/>
        </w:rPr>
      </w:pPr>
      <w:r w:rsidRPr="00EB38FF">
        <w:rPr>
          <w:b/>
          <w:bCs/>
          <w:i/>
          <w:iCs/>
          <w:color w:val="000000"/>
          <w:sz w:val="22"/>
          <w:szCs w:val="22"/>
        </w:rPr>
        <w:t xml:space="preserve">           9. Projekto rengimo metu gauti specialistų vertinimai ir išvados, ekonominiai apskaičiavimai (sąmatos)  ir konkretūs finansavimo šaltiniai</w:t>
      </w:r>
    </w:p>
    <w:p w:rsidR="00217743" w:rsidRPr="00EB38FF" w:rsidRDefault="00217743" w:rsidP="00EB38FF">
      <w:pPr>
        <w:widowControl w:val="0"/>
        <w:tabs>
          <w:tab w:val="left" w:pos="0"/>
        </w:tabs>
        <w:ind w:right="360" w:firstLine="720"/>
        <w:jc w:val="both"/>
        <w:rPr>
          <w:b/>
          <w:bCs/>
          <w:i/>
          <w:iCs/>
          <w:color w:val="000000"/>
          <w:sz w:val="22"/>
          <w:szCs w:val="22"/>
        </w:rPr>
      </w:pPr>
      <w:r w:rsidRPr="00EB38FF">
        <w:rPr>
          <w:b/>
          <w:bCs/>
          <w:i/>
          <w:iCs/>
          <w:color w:val="000000"/>
          <w:sz w:val="22"/>
          <w:szCs w:val="22"/>
        </w:rPr>
        <w:t>-</w:t>
      </w:r>
    </w:p>
    <w:p w:rsidR="00217743" w:rsidRPr="00EB38FF" w:rsidRDefault="00217743" w:rsidP="00311A1E">
      <w:pPr>
        <w:widowControl w:val="0"/>
        <w:tabs>
          <w:tab w:val="left" w:pos="0"/>
        </w:tabs>
        <w:ind w:right="360" w:firstLine="720"/>
        <w:jc w:val="both"/>
        <w:rPr>
          <w:b/>
          <w:bCs/>
          <w:i/>
          <w:iCs/>
          <w:color w:val="000000"/>
          <w:sz w:val="22"/>
          <w:szCs w:val="22"/>
        </w:rPr>
      </w:pPr>
      <w:r w:rsidRPr="00EB38FF">
        <w:rPr>
          <w:b/>
          <w:bCs/>
          <w:i/>
          <w:iCs/>
          <w:color w:val="000000"/>
          <w:sz w:val="22"/>
          <w:szCs w:val="22"/>
        </w:rPr>
        <w:t>10.  Projekto rengėjas ar rengėjų grupė.</w:t>
      </w:r>
    </w:p>
    <w:p w:rsidR="00217743" w:rsidRPr="00EB38FF" w:rsidRDefault="00217743" w:rsidP="00EB38FF">
      <w:pPr>
        <w:widowControl w:val="0"/>
        <w:tabs>
          <w:tab w:val="left" w:pos="0"/>
        </w:tabs>
        <w:ind w:right="360" w:firstLine="720"/>
        <w:jc w:val="both"/>
        <w:rPr>
          <w:color w:val="000000"/>
          <w:sz w:val="22"/>
          <w:szCs w:val="22"/>
        </w:rPr>
      </w:pPr>
      <w:r w:rsidRPr="00EB38FF">
        <w:rPr>
          <w:color w:val="000000"/>
          <w:sz w:val="22"/>
          <w:szCs w:val="22"/>
        </w:rPr>
        <w:t>Administracijos vyr. ekonomistė Dalija Irena Einikienė</w:t>
      </w:r>
    </w:p>
    <w:p w:rsidR="00217743" w:rsidRPr="00EB38FF" w:rsidRDefault="00217743" w:rsidP="00311A1E">
      <w:pPr>
        <w:widowControl w:val="0"/>
        <w:tabs>
          <w:tab w:val="left" w:pos="0"/>
        </w:tabs>
        <w:ind w:left="360" w:right="360" w:firstLine="360"/>
        <w:rPr>
          <w:b/>
          <w:bCs/>
          <w:i/>
          <w:iCs/>
          <w:color w:val="000000"/>
          <w:sz w:val="22"/>
          <w:szCs w:val="22"/>
        </w:rPr>
      </w:pPr>
      <w:r w:rsidRPr="00EB38FF">
        <w:rPr>
          <w:b/>
          <w:bCs/>
          <w:i/>
          <w:iCs/>
          <w:color w:val="000000"/>
          <w:sz w:val="22"/>
          <w:szCs w:val="22"/>
        </w:rPr>
        <w:t>11. Kiti, rengėjo nuomone,  reikalingi pagrindimai ir paaiškinimai.</w:t>
      </w:r>
    </w:p>
    <w:p w:rsidR="00217743" w:rsidRPr="00EB38FF" w:rsidRDefault="00217743" w:rsidP="00311A1E">
      <w:pPr>
        <w:ind w:left="1080"/>
        <w:jc w:val="both"/>
        <w:rPr>
          <w:color w:val="000000"/>
          <w:sz w:val="22"/>
          <w:szCs w:val="22"/>
        </w:rPr>
      </w:pPr>
      <w:r w:rsidRPr="00EB38FF">
        <w:rPr>
          <w:color w:val="000000"/>
          <w:sz w:val="22"/>
          <w:szCs w:val="22"/>
        </w:rPr>
        <w:t>-</w:t>
      </w:r>
    </w:p>
    <w:p w:rsidR="00217743" w:rsidRPr="00EB38FF" w:rsidRDefault="00217743" w:rsidP="00311A1E">
      <w:pPr>
        <w:jc w:val="both"/>
        <w:rPr>
          <w:color w:val="000000"/>
          <w:sz w:val="22"/>
          <w:szCs w:val="22"/>
          <w:u w:val="single"/>
        </w:rPr>
      </w:pPr>
    </w:p>
    <w:p w:rsidR="00217743" w:rsidRPr="00EB38FF" w:rsidRDefault="00217743" w:rsidP="00311A1E">
      <w:pPr>
        <w:jc w:val="both"/>
        <w:rPr>
          <w:color w:val="000000"/>
          <w:sz w:val="22"/>
          <w:szCs w:val="22"/>
        </w:rPr>
      </w:pPr>
      <w:r w:rsidRPr="00EB38FF">
        <w:rPr>
          <w:color w:val="000000"/>
          <w:sz w:val="22"/>
          <w:szCs w:val="22"/>
          <w:u w:val="single"/>
        </w:rPr>
        <w:t>Administracijos vyr. ekonomistė</w:t>
      </w:r>
      <w:r w:rsidRPr="00EB38FF">
        <w:rPr>
          <w:color w:val="000000"/>
          <w:sz w:val="22"/>
          <w:szCs w:val="22"/>
        </w:rPr>
        <w:tab/>
      </w:r>
      <w:r w:rsidRPr="00EB38FF">
        <w:rPr>
          <w:color w:val="000000"/>
          <w:sz w:val="22"/>
          <w:szCs w:val="22"/>
        </w:rPr>
        <w:tab/>
      </w:r>
      <w:r w:rsidRPr="00EB38FF">
        <w:rPr>
          <w:color w:val="000000"/>
          <w:sz w:val="22"/>
          <w:szCs w:val="22"/>
        </w:rPr>
        <w:tab/>
      </w:r>
      <w:r w:rsidRPr="00EB38FF">
        <w:rPr>
          <w:color w:val="000000"/>
          <w:sz w:val="22"/>
          <w:szCs w:val="22"/>
          <w:u w:val="single"/>
        </w:rPr>
        <w:t>Dalija Irena Einikienė</w:t>
      </w:r>
      <w:r w:rsidRPr="00EB38FF">
        <w:rPr>
          <w:color w:val="000000"/>
          <w:sz w:val="22"/>
          <w:szCs w:val="22"/>
        </w:rPr>
        <w:tab/>
      </w:r>
    </w:p>
    <w:p w:rsidR="00217743" w:rsidRPr="00EB38FF" w:rsidRDefault="00217743" w:rsidP="00311A1E">
      <w:pPr>
        <w:ind w:left="1080"/>
        <w:jc w:val="both"/>
        <w:rPr>
          <w:color w:val="000000"/>
          <w:sz w:val="22"/>
          <w:szCs w:val="22"/>
        </w:rPr>
      </w:pPr>
      <w:r w:rsidRPr="00EB38FF">
        <w:rPr>
          <w:color w:val="000000"/>
          <w:sz w:val="22"/>
          <w:szCs w:val="22"/>
        </w:rPr>
        <w:t>(Rengėjo pareigos)</w:t>
      </w:r>
      <w:r w:rsidRPr="00EB38FF">
        <w:rPr>
          <w:color w:val="000000"/>
          <w:sz w:val="22"/>
          <w:szCs w:val="22"/>
        </w:rPr>
        <w:tab/>
        <w:t>(Parašas)</w:t>
      </w:r>
      <w:r w:rsidRPr="00EB38FF">
        <w:rPr>
          <w:color w:val="000000"/>
          <w:sz w:val="22"/>
          <w:szCs w:val="22"/>
        </w:rPr>
        <w:tab/>
      </w:r>
      <w:r w:rsidRPr="00EB38FF">
        <w:rPr>
          <w:color w:val="000000"/>
          <w:sz w:val="22"/>
          <w:szCs w:val="22"/>
        </w:rPr>
        <w:tab/>
        <w:t>(Rengėjo varas, pavardė)</w:t>
      </w: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p w:rsidR="00217743" w:rsidRDefault="00217743" w:rsidP="00BD758D">
      <w:pPr>
        <w:pStyle w:val="HTMLPreformatted"/>
        <w:rPr>
          <w:rFonts w:ascii="Times New Roman" w:hAnsi="Times New Roman" w:cs="Times New Roman"/>
          <w:sz w:val="24"/>
          <w:szCs w:val="24"/>
        </w:rPr>
      </w:pPr>
    </w:p>
    <w:tbl>
      <w:tblPr>
        <w:tblW w:w="0" w:type="auto"/>
        <w:tblInd w:w="-106" w:type="dxa"/>
        <w:tblLayout w:type="fixed"/>
        <w:tblLook w:val="0000"/>
      </w:tblPr>
      <w:tblGrid>
        <w:gridCol w:w="9639"/>
      </w:tblGrid>
      <w:tr w:rsidR="00217743">
        <w:trPr>
          <w:trHeight w:val="908"/>
        </w:trPr>
        <w:tc>
          <w:tcPr>
            <w:tcW w:w="9639" w:type="dxa"/>
          </w:tcPr>
          <w:p w:rsidR="00217743" w:rsidRDefault="00217743" w:rsidP="008A4429">
            <w:pPr>
              <w:spacing w:line="360" w:lineRule="auto"/>
              <w:ind w:left="-108" w:right="-9"/>
              <w:jc w:val="center"/>
              <w:rPr>
                <w:color w:val="000000"/>
              </w:rPr>
            </w:pPr>
            <w:r w:rsidRPr="00A73978">
              <w:object w:dxaOrig="1004" w:dyaOrig="1352">
                <v:shape id="_x0000_i1027" type="#_x0000_t75" style="width:36pt;height:48pt" o:ole="" fillcolor="window">
                  <v:imagedata r:id="rId11" o:title=""/>
                </v:shape>
                <o:OLEObject Type="Embed" ProgID="Word.Picture.8" ShapeID="_x0000_i1027" DrawAspect="Content" ObjectID="_1601463015" r:id="rId12"/>
              </w:object>
            </w:r>
          </w:p>
        </w:tc>
      </w:tr>
      <w:tr w:rsidR="00217743">
        <w:trPr>
          <w:trHeight w:val="2154"/>
        </w:trPr>
        <w:tc>
          <w:tcPr>
            <w:tcW w:w="9639" w:type="dxa"/>
          </w:tcPr>
          <w:p w:rsidR="00217743" w:rsidRDefault="00217743" w:rsidP="008A4429">
            <w:pPr>
              <w:pStyle w:val="Heading2"/>
            </w:pPr>
            <w:r>
              <w:t>Pagėgių savivaldybės taryba</w:t>
            </w:r>
          </w:p>
          <w:p w:rsidR="00217743" w:rsidRDefault="00217743" w:rsidP="008A4429">
            <w:pPr>
              <w:spacing w:before="120"/>
              <w:jc w:val="center"/>
              <w:rPr>
                <w:b/>
                <w:bCs/>
                <w:caps/>
                <w:color w:val="000000"/>
              </w:rPr>
            </w:pPr>
            <w:r>
              <w:rPr>
                <w:b/>
                <w:bCs/>
                <w:caps/>
                <w:color w:val="000000"/>
              </w:rPr>
              <w:t>sprendimas</w:t>
            </w:r>
          </w:p>
          <w:p w:rsidR="00217743" w:rsidRDefault="00217743" w:rsidP="008A4429">
            <w:pPr>
              <w:spacing w:before="120"/>
              <w:jc w:val="center"/>
              <w:rPr>
                <w:b/>
                <w:bCs/>
                <w:caps/>
                <w:color w:val="000000"/>
              </w:rPr>
            </w:pPr>
            <w:r>
              <w:rPr>
                <w:b/>
                <w:bCs/>
                <w:caps/>
                <w:color w:val="000000"/>
              </w:rPr>
              <w:t xml:space="preserve">dėl pagėgių savivaldybės tarybos 2008 m. kovo 6 d. sprendimo Nr. T-298 ,,dėl </w:t>
            </w:r>
            <w:r>
              <w:rPr>
                <w:b/>
                <w:bCs/>
                <w:noProof/>
              </w:rPr>
              <w:t>UŽDAROSIOS AKCINĖS BENDROVĖS „PAGĖGIŲ KOMUNALINIS ŪKIS“ GERIAMOJO VANDENS PARDAVIMO, TIEKIMO IR NUOTEKŲ TVARKYMO KAINŲ NUSTATYMO“ PAKEITIMO</w:t>
            </w:r>
          </w:p>
        </w:tc>
      </w:tr>
      <w:tr w:rsidR="00217743">
        <w:trPr>
          <w:trHeight w:val="505"/>
        </w:trPr>
        <w:tc>
          <w:tcPr>
            <w:tcW w:w="9639" w:type="dxa"/>
          </w:tcPr>
          <w:p w:rsidR="00217743" w:rsidRDefault="00217743" w:rsidP="008A4429">
            <w:pPr>
              <w:pStyle w:val="Heading2"/>
              <w:rPr>
                <w:b w:val="0"/>
                <w:bCs w:val="0"/>
                <w:caps w:val="0"/>
              </w:rPr>
            </w:pPr>
            <w:r>
              <w:rPr>
                <w:b w:val="0"/>
                <w:bCs w:val="0"/>
                <w:caps w:val="0"/>
              </w:rPr>
              <w:t xml:space="preserve">2014 m. rugsėjo 18 d. Nr. T-154 </w:t>
            </w:r>
          </w:p>
          <w:p w:rsidR="00217743" w:rsidRDefault="00217743" w:rsidP="008A4429">
            <w:pPr>
              <w:jc w:val="center"/>
            </w:pPr>
            <w:r>
              <w:t>Pagėgiai</w:t>
            </w:r>
          </w:p>
        </w:tc>
      </w:tr>
    </w:tbl>
    <w:p w:rsidR="00217743" w:rsidRDefault="00217743" w:rsidP="00F04DA5">
      <w:pPr>
        <w:jc w:val="both"/>
        <w:rPr>
          <w:sz w:val="22"/>
          <w:szCs w:val="22"/>
        </w:rPr>
      </w:pPr>
      <w:r>
        <w:rPr>
          <w:sz w:val="22"/>
          <w:szCs w:val="22"/>
        </w:rPr>
        <w:t xml:space="preserve">       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t xml:space="preserve"> IV skyriumi</w:t>
      </w:r>
      <w:r>
        <w:rPr>
          <w:sz w:val="22"/>
          <w:szCs w:val="22"/>
        </w:rPr>
        <w:t>, atsižvelgdama į Valstybinės kainų ir energetikos kontrolės komisijos 2014 m. liepos 28 d. nutarimą Nr. O3-687 ,,Dėl Valstybinės kainų ir energetikos kontrolės komisijos 2008 m. kovo 6 d. nutarimo Nr. O3-34 ,,Dėl uždarosios akcinės bendrovės ,,Pagėgių komunalinis ūkis“ geriamojo vandens tiekimo ir nuotekų tvarkymo paslaugų kainų“ pakeitimo“, Pagėgių savivaldybės taryba n u s p r e n d ž i a:</w:t>
      </w:r>
    </w:p>
    <w:p w:rsidR="00217743" w:rsidRDefault="00217743" w:rsidP="00F04DA5">
      <w:pPr>
        <w:ind w:firstLine="425"/>
        <w:jc w:val="both"/>
        <w:rPr>
          <w:sz w:val="22"/>
          <w:szCs w:val="22"/>
        </w:rPr>
      </w:pPr>
      <w:r>
        <w:rPr>
          <w:sz w:val="22"/>
          <w:szCs w:val="22"/>
        </w:rPr>
        <w:t xml:space="preserve">1. Pakeisti </w:t>
      </w:r>
      <w:r>
        <w:rPr>
          <w:color w:val="000000"/>
          <w:sz w:val="22"/>
          <w:szCs w:val="22"/>
        </w:rPr>
        <w:t xml:space="preserve">Pagėgių savivaldybės tarybos 2008 m. kovo 6 d. sprendimo Nr. T-298 ,,Dėl </w:t>
      </w:r>
      <w:r>
        <w:rPr>
          <w:noProof/>
          <w:sz w:val="22"/>
          <w:szCs w:val="22"/>
        </w:rPr>
        <w:t>uždarosios akcinės bendrovės „Pagėgių komunalinis ūkis“ geriamojo vandens pardavimo, tiekimo ir nuotekų tvarkymo kainų nustatymo“ 1 punktą ir išdėstyti jį taip:</w:t>
      </w:r>
    </w:p>
    <w:p w:rsidR="00217743" w:rsidRDefault="00217743" w:rsidP="00F04DA5">
      <w:pPr>
        <w:ind w:firstLine="425"/>
        <w:jc w:val="both"/>
        <w:rPr>
          <w:sz w:val="22"/>
          <w:szCs w:val="22"/>
        </w:rPr>
      </w:pPr>
      <w:r>
        <w:rPr>
          <w:sz w:val="22"/>
          <w:szCs w:val="22"/>
        </w:rPr>
        <w:t>,,1. Nustatyti uždarosios akcinės bendrovės „Pagėgių komunalinis ūkis“ geriamojo vandens pardavimo, tiekimo ir nuotekų tvarkymo kainas be pridėtinės vertės mokesčio:</w:t>
      </w:r>
    </w:p>
    <w:p w:rsidR="00217743" w:rsidRDefault="00217743" w:rsidP="00F04DA5">
      <w:pPr>
        <w:ind w:firstLine="425"/>
        <w:jc w:val="both"/>
        <w:rPr>
          <w:position w:val="-6"/>
          <w:sz w:val="22"/>
          <w:szCs w:val="22"/>
        </w:rPr>
      </w:pPr>
      <w:r>
        <w:rPr>
          <w:position w:val="-6"/>
          <w:sz w:val="22"/>
          <w:szCs w:val="22"/>
        </w:rPr>
        <w:t>1.1. geriamojo vandens tiekimo ir nuotekų tvarkymo vartotojams – 2,11 Eur/m</w:t>
      </w:r>
      <w:r>
        <w:rPr>
          <w:position w:val="-6"/>
          <w:sz w:val="22"/>
          <w:szCs w:val="22"/>
          <w:vertAlign w:val="superscript"/>
        </w:rPr>
        <w:t>3</w:t>
      </w:r>
      <w:r>
        <w:rPr>
          <w:position w:val="-6"/>
          <w:sz w:val="22"/>
          <w:szCs w:val="22"/>
        </w:rPr>
        <w:t>, iš to skaičiaus:</w:t>
      </w:r>
    </w:p>
    <w:p w:rsidR="00217743" w:rsidRDefault="00217743" w:rsidP="00F04DA5">
      <w:pPr>
        <w:tabs>
          <w:tab w:val="num" w:pos="1848"/>
        </w:tabs>
        <w:ind w:right="-142" w:firstLine="425"/>
        <w:jc w:val="both"/>
        <w:rPr>
          <w:position w:val="-6"/>
          <w:sz w:val="22"/>
          <w:szCs w:val="22"/>
        </w:rPr>
      </w:pPr>
      <w:r>
        <w:rPr>
          <w:position w:val="-6"/>
          <w:sz w:val="22"/>
          <w:szCs w:val="22"/>
        </w:rPr>
        <w:t>1.1.1. geriamojo vandens tiekimo – 0,88 Eur/m³;</w:t>
      </w:r>
    </w:p>
    <w:p w:rsidR="00217743" w:rsidRDefault="00217743" w:rsidP="00F04DA5">
      <w:pPr>
        <w:tabs>
          <w:tab w:val="num" w:pos="1848"/>
        </w:tabs>
        <w:ind w:right="-142" w:firstLine="425"/>
        <w:jc w:val="both"/>
        <w:rPr>
          <w:position w:val="-6"/>
          <w:sz w:val="22"/>
          <w:szCs w:val="22"/>
        </w:rPr>
      </w:pPr>
      <w:r>
        <w:rPr>
          <w:position w:val="-6"/>
          <w:sz w:val="22"/>
          <w:szCs w:val="22"/>
        </w:rPr>
        <w:t>1.1.2. nuotekų tvarkymo – 1,23 Eur/m</w:t>
      </w:r>
      <w:r>
        <w:rPr>
          <w:position w:val="-6"/>
          <w:sz w:val="22"/>
          <w:szCs w:val="22"/>
          <w:vertAlign w:val="superscript"/>
        </w:rPr>
        <w:t>3</w:t>
      </w:r>
      <w:r>
        <w:rPr>
          <w:position w:val="-6"/>
          <w:sz w:val="22"/>
          <w:szCs w:val="22"/>
        </w:rPr>
        <w:t xml:space="preserve">; </w:t>
      </w:r>
    </w:p>
    <w:p w:rsidR="00217743" w:rsidRDefault="00217743" w:rsidP="00F04DA5">
      <w:pPr>
        <w:tabs>
          <w:tab w:val="num" w:pos="1848"/>
        </w:tabs>
        <w:ind w:right="-142" w:firstLine="425"/>
        <w:jc w:val="both"/>
        <w:rPr>
          <w:position w:val="-6"/>
          <w:sz w:val="22"/>
          <w:szCs w:val="22"/>
        </w:rPr>
      </w:pPr>
      <w:r>
        <w:rPr>
          <w:position w:val="-6"/>
          <w:sz w:val="22"/>
          <w:szCs w:val="22"/>
        </w:rPr>
        <w:t>1.2. geriamojo vandens tiekimo ir nuotekų tvarkymo abonentams – 2,55 Eur/m</w:t>
      </w:r>
      <w:r>
        <w:rPr>
          <w:position w:val="-6"/>
          <w:sz w:val="22"/>
          <w:szCs w:val="22"/>
          <w:vertAlign w:val="superscript"/>
        </w:rPr>
        <w:t>3</w:t>
      </w:r>
      <w:r>
        <w:rPr>
          <w:position w:val="-6"/>
          <w:sz w:val="22"/>
          <w:szCs w:val="22"/>
        </w:rPr>
        <w:t>, iš to skaičiaus:</w:t>
      </w:r>
    </w:p>
    <w:p w:rsidR="00217743" w:rsidRDefault="00217743" w:rsidP="00F04DA5">
      <w:pPr>
        <w:tabs>
          <w:tab w:val="num" w:pos="1848"/>
        </w:tabs>
        <w:ind w:right="-142" w:firstLine="425"/>
        <w:jc w:val="both"/>
        <w:rPr>
          <w:position w:val="-6"/>
          <w:sz w:val="22"/>
          <w:szCs w:val="22"/>
        </w:rPr>
      </w:pPr>
      <w:r>
        <w:rPr>
          <w:position w:val="-6"/>
          <w:sz w:val="22"/>
          <w:szCs w:val="22"/>
        </w:rPr>
        <w:t>1.2.1. geriamojo vandens tiekimo – 0,99 Eur/m</w:t>
      </w:r>
      <w:r>
        <w:rPr>
          <w:position w:val="-6"/>
          <w:sz w:val="22"/>
          <w:szCs w:val="22"/>
          <w:vertAlign w:val="superscript"/>
        </w:rPr>
        <w:t>3</w:t>
      </w:r>
      <w:r>
        <w:rPr>
          <w:position w:val="-6"/>
          <w:sz w:val="22"/>
          <w:szCs w:val="22"/>
        </w:rPr>
        <w:t>;</w:t>
      </w:r>
    </w:p>
    <w:p w:rsidR="00217743" w:rsidRDefault="00217743" w:rsidP="00F04DA5">
      <w:pPr>
        <w:tabs>
          <w:tab w:val="num" w:pos="1848"/>
        </w:tabs>
        <w:ind w:right="-142" w:firstLine="425"/>
        <w:jc w:val="both"/>
        <w:rPr>
          <w:position w:val="-6"/>
          <w:sz w:val="22"/>
          <w:szCs w:val="22"/>
        </w:rPr>
      </w:pPr>
      <w:r>
        <w:rPr>
          <w:position w:val="-6"/>
          <w:sz w:val="22"/>
          <w:szCs w:val="22"/>
        </w:rPr>
        <w:t xml:space="preserve">1.2.2. nuotekų tvarkymo, kai teršalų kiekis nuotekose neviršija leistinų koncentracijų – </w:t>
      </w:r>
      <w:r>
        <w:rPr>
          <w:position w:val="-6"/>
          <w:sz w:val="22"/>
          <w:szCs w:val="22"/>
        </w:rPr>
        <w:br/>
        <w:t>1,56 Eur/m</w:t>
      </w:r>
      <w:r>
        <w:rPr>
          <w:position w:val="-6"/>
          <w:sz w:val="22"/>
          <w:szCs w:val="22"/>
          <w:vertAlign w:val="superscript"/>
        </w:rPr>
        <w:t>3</w:t>
      </w:r>
      <w:r>
        <w:rPr>
          <w:position w:val="-6"/>
          <w:sz w:val="22"/>
          <w:szCs w:val="22"/>
        </w:rPr>
        <w:t>;</w:t>
      </w:r>
    </w:p>
    <w:p w:rsidR="00217743" w:rsidRDefault="00217743" w:rsidP="00F04DA5">
      <w:pPr>
        <w:tabs>
          <w:tab w:val="num" w:pos="1848"/>
        </w:tabs>
        <w:ind w:right="-142" w:firstLine="425"/>
        <w:jc w:val="both"/>
        <w:rPr>
          <w:position w:val="-6"/>
          <w:sz w:val="22"/>
          <w:szCs w:val="22"/>
        </w:rPr>
      </w:pPr>
      <w:r>
        <w:rPr>
          <w:position w:val="-6"/>
          <w:sz w:val="22"/>
          <w:szCs w:val="22"/>
        </w:rPr>
        <w:t xml:space="preserve">1.3. pardavimo kainą vartotojams, kuriems vanduo apskaitomas daugiabučio namo bute – </w:t>
      </w:r>
      <w:r>
        <w:rPr>
          <w:position w:val="-6"/>
          <w:sz w:val="22"/>
          <w:szCs w:val="22"/>
        </w:rPr>
        <w:br/>
        <w:t>0,90 Eur butui per mėn.;</w:t>
      </w:r>
    </w:p>
    <w:p w:rsidR="00217743" w:rsidRDefault="00217743" w:rsidP="00F04DA5">
      <w:pPr>
        <w:tabs>
          <w:tab w:val="num" w:pos="1848"/>
        </w:tabs>
        <w:ind w:right="-142" w:firstLine="425"/>
        <w:jc w:val="both"/>
        <w:rPr>
          <w:position w:val="-6"/>
          <w:sz w:val="22"/>
          <w:szCs w:val="22"/>
        </w:rPr>
      </w:pPr>
      <w:r>
        <w:rPr>
          <w:position w:val="-6"/>
          <w:sz w:val="22"/>
          <w:szCs w:val="22"/>
        </w:rPr>
        <w:t>1.4. pardavimo kainą vartotojams, kuriems vanduo apskaitomas daugiabučio namo įvade − 0,14 Eur butui per mėn.;</w:t>
      </w:r>
    </w:p>
    <w:p w:rsidR="00217743" w:rsidRDefault="00217743" w:rsidP="00F04DA5">
      <w:pPr>
        <w:tabs>
          <w:tab w:val="left" w:pos="851"/>
          <w:tab w:val="num" w:pos="1848"/>
        </w:tabs>
        <w:ind w:right="-142" w:firstLine="425"/>
        <w:jc w:val="both"/>
        <w:rPr>
          <w:position w:val="-6"/>
          <w:sz w:val="22"/>
          <w:szCs w:val="22"/>
        </w:rPr>
      </w:pPr>
      <w:r>
        <w:rPr>
          <w:position w:val="-6"/>
          <w:sz w:val="22"/>
          <w:szCs w:val="22"/>
        </w:rPr>
        <w:t>1.5. pardavimo kainą vartotojams, kuriems vanduo apskaitomas individualaus namo įvade – 0,90 Eur namui per mėn.;</w:t>
      </w:r>
    </w:p>
    <w:p w:rsidR="00217743" w:rsidRDefault="00217743" w:rsidP="00F04DA5">
      <w:pPr>
        <w:tabs>
          <w:tab w:val="num" w:pos="709"/>
          <w:tab w:val="left" w:pos="851"/>
          <w:tab w:val="num" w:pos="1848"/>
        </w:tabs>
        <w:ind w:right="-142" w:firstLine="425"/>
        <w:jc w:val="both"/>
        <w:rPr>
          <w:position w:val="-6"/>
          <w:sz w:val="22"/>
          <w:szCs w:val="22"/>
        </w:rPr>
      </w:pPr>
      <w:r>
        <w:rPr>
          <w:position w:val="-6"/>
          <w:sz w:val="22"/>
          <w:szCs w:val="22"/>
        </w:rPr>
        <w:t>1.6. vidutinę pardavimo kainą abonentams – 1,40 Eur apskaitos prietaisui per mėnesį.“</w:t>
      </w:r>
    </w:p>
    <w:p w:rsidR="00217743" w:rsidRDefault="00217743" w:rsidP="00F04DA5">
      <w:pPr>
        <w:ind w:firstLine="425"/>
        <w:jc w:val="both"/>
        <w:rPr>
          <w:sz w:val="22"/>
          <w:szCs w:val="22"/>
        </w:rPr>
      </w:pPr>
      <w:r>
        <w:rPr>
          <w:sz w:val="22"/>
          <w:szCs w:val="22"/>
        </w:rPr>
        <w:t>2. Nustatyti, kad šis sprendimas įsigalioja euro įvedimo Lietuvos Respublikoje dieną.</w:t>
      </w:r>
    </w:p>
    <w:p w:rsidR="00217743" w:rsidRDefault="00217743" w:rsidP="00F04DA5">
      <w:pPr>
        <w:ind w:firstLine="425"/>
        <w:jc w:val="both"/>
        <w:rPr>
          <w:sz w:val="22"/>
          <w:szCs w:val="22"/>
        </w:rPr>
      </w:pPr>
      <w:r>
        <w:rPr>
          <w:sz w:val="22"/>
          <w:szCs w:val="22"/>
        </w:rPr>
        <w:t xml:space="preserve">3. </w:t>
      </w:r>
      <w:r>
        <w:t>Apie sprendimo priėmimą paskelbti laikraštyje „Šilokarčema“, o visą sprendimą - Teisės aktų registre ir Pagėgių savivaldybės interneto svetainėje  www.pagegiai.lt</w:t>
      </w:r>
      <w:r>
        <w:rPr>
          <w:sz w:val="22"/>
          <w:szCs w:val="22"/>
        </w:rPr>
        <w:t>.</w:t>
      </w:r>
    </w:p>
    <w:p w:rsidR="00217743" w:rsidRDefault="00217743" w:rsidP="00F04DA5">
      <w:pPr>
        <w:ind w:firstLine="425"/>
        <w:jc w:val="both"/>
        <w:rPr>
          <w:sz w:val="22"/>
          <w:szCs w:val="22"/>
        </w:rPr>
      </w:pPr>
      <w:r>
        <w:rPr>
          <w:sz w:val="22"/>
          <w:szCs w:val="22"/>
        </w:rPr>
        <w:t>Šis sprendimas gali būti skundžiamas Lietuvos Respublikos administracinių bylų teisenos įstatymo nustatyta tvarka.</w:t>
      </w:r>
    </w:p>
    <w:p w:rsidR="00217743" w:rsidRDefault="00217743" w:rsidP="00F04DA5">
      <w:pPr>
        <w:jc w:val="both"/>
      </w:pPr>
    </w:p>
    <w:p w:rsidR="00217743" w:rsidRDefault="00217743" w:rsidP="00F04DA5">
      <w:pPr>
        <w:jc w:val="both"/>
      </w:pPr>
      <w:r>
        <w:t>Savivaldybės meras</w:t>
      </w:r>
      <w:r>
        <w:tab/>
      </w:r>
      <w:r>
        <w:tab/>
      </w:r>
      <w:r>
        <w:tab/>
      </w:r>
      <w:r>
        <w:tab/>
        <w:t xml:space="preserve">                  Virginijus Komskis</w:t>
      </w:r>
    </w:p>
    <w:p w:rsidR="00217743" w:rsidRDefault="00217743" w:rsidP="00F04DA5"/>
    <w:p w:rsidR="00217743" w:rsidRDefault="00217743" w:rsidP="00F04DA5">
      <w:pPr>
        <w:spacing w:line="276" w:lineRule="auto"/>
        <w:ind w:right="-108"/>
        <w:jc w:val="both"/>
        <w:rPr>
          <w:color w:val="000000"/>
        </w:rPr>
      </w:pPr>
    </w:p>
    <w:p w:rsidR="00217743" w:rsidRPr="00BD758D" w:rsidRDefault="00217743" w:rsidP="00BD758D">
      <w:pPr>
        <w:pStyle w:val="HTMLPreformatted"/>
        <w:rPr>
          <w:rFonts w:ascii="Times New Roman" w:hAnsi="Times New Roman" w:cs="Times New Roman"/>
          <w:sz w:val="24"/>
          <w:szCs w:val="24"/>
        </w:rPr>
      </w:pPr>
    </w:p>
    <w:sectPr w:rsidR="00217743" w:rsidRPr="00BD758D" w:rsidSect="00BD4105">
      <w:pgSz w:w="11907" w:h="16840"/>
      <w:pgMar w:top="709" w:right="567" w:bottom="1418"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743" w:rsidRDefault="00217743">
      <w:r>
        <w:separator/>
      </w:r>
    </w:p>
  </w:endnote>
  <w:endnote w:type="continuationSeparator" w:id="1">
    <w:p w:rsidR="00217743" w:rsidRDefault="0021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743" w:rsidRDefault="00217743">
      <w:r>
        <w:separator/>
      </w:r>
    </w:p>
  </w:footnote>
  <w:footnote w:type="continuationSeparator" w:id="1">
    <w:p w:rsidR="00217743" w:rsidRDefault="0021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43" w:rsidRDefault="00217743">
    <w:pPr>
      <w:pStyle w:val="Header"/>
      <w:framePr w:wrap="auto" w:vAnchor="text" w:hAnchor="margin" w:xAlign="center" w:y="1"/>
      <w:rPr>
        <w:rStyle w:val="PageNumber"/>
      </w:rPr>
    </w:pPr>
  </w:p>
  <w:p w:rsidR="00217743" w:rsidRDefault="00217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F53"/>
    <w:multiLevelType w:val="hybridMultilevel"/>
    <w:tmpl w:val="45DC9B38"/>
    <w:lvl w:ilvl="0" w:tplc="34C2754C">
      <w:start w:val="1"/>
      <w:numFmt w:val="decimal"/>
      <w:lvlText w:val="%1."/>
      <w:lvlJc w:val="left"/>
      <w:pPr>
        <w:tabs>
          <w:tab w:val="num" w:pos="1512"/>
        </w:tabs>
        <w:ind w:left="1512" w:hanging="945"/>
      </w:pPr>
      <w:rPr>
        <w:rFonts w:hint="default"/>
        <w:color w:val="auto"/>
      </w:rPr>
    </w:lvl>
    <w:lvl w:ilvl="1" w:tplc="419EA0F6">
      <w:numFmt w:val="none"/>
      <w:lvlText w:val=""/>
      <w:lvlJc w:val="left"/>
      <w:pPr>
        <w:tabs>
          <w:tab w:val="num" w:pos="360"/>
        </w:tabs>
      </w:pPr>
    </w:lvl>
    <w:lvl w:ilvl="2" w:tplc="97448392">
      <w:numFmt w:val="none"/>
      <w:lvlText w:val=""/>
      <w:lvlJc w:val="left"/>
      <w:pPr>
        <w:tabs>
          <w:tab w:val="num" w:pos="360"/>
        </w:tabs>
      </w:pPr>
    </w:lvl>
    <w:lvl w:ilvl="3" w:tplc="F2BCB71E">
      <w:numFmt w:val="none"/>
      <w:lvlText w:val=""/>
      <w:lvlJc w:val="left"/>
      <w:pPr>
        <w:tabs>
          <w:tab w:val="num" w:pos="360"/>
        </w:tabs>
      </w:pPr>
    </w:lvl>
    <w:lvl w:ilvl="4" w:tplc="976EC206">
      <w:numFmt w:val="none"/>
      <w:lvlText w:val=""/>
      <w:lvlJc w:val="left"/>
      <w:pPr>
        <w:tabs>
          <w:tab w:val="num" w:pos="360"/>
        </w:tabs>
      </w:pPr>
    </w:lvl>
    <w:lvl w:ilvl="5" w:tplc="E0A6C664">
      <w:numFmt w:val="none"/>
      <w:lvlText w:val=""/>
      <w:lvlJc w:val="left"/>
      <w:pPr>
        <w:tabs>
          <w:tab w:val="num" w:pos="360"/>
        </w:tabs>
      </w:pPr>
    </w:lvl>
    <w:lvl w:ilvl="6" w:tplc="5EE27ADC">
      <w:numFmt w:val="none"/>
      <w:lvlText w:val=""/>
      <w:lvlJc w:val="left"/>
      <w:pPr>
        <w:tabs>
          <w:tab w:val="num" w:pos="360"/>
        </w:tabs>
      </w:pPr>
    </w:lvl>
    <w:lvl w:ilvl="7" w:tplc="D0B43922">
      <w:numFmt w:val="none"/>
      <w:lvlText w:val=""/>
      <w:lvlJc w:val="left"/>
      <w:pPr>
        <w:tabs>
          <w:tab w:val="num" w:pos="360"/>
        </w:tabs>
      </w:pPr>
    </w:lvl>
    <w:lvl w:ilvl="8" w:tplc="3EBE545A">
      <w:numFmt w:val="none"/>
      <w:lvlText w:val=""/>
      <w:lvlJc w:val="left"/>
      <w:pPr>
        <w:tabs>
          <w:tab w:val="num" w:pos="360"/>
        </w:tabs>
      </w:pPr>
    </w:lvl>
  </w:abstractNum>
  <w:abstractNum w:abstractNumId="1">
    <w:nsid w:val="51BC6E0B"/>
    <w:multiLevelType w:val="hybridMultilevel"/>
    <w:tmpl w:val="5B0C6002"/>
    <w:lvl w:ilvl="0" w:tplc="157239F8">
      <w:start w:val="1"/>
      <w:numFmt w:val="decimal"/>
      <w:lvlText w:val="%1."/>
      <w:lvlJc w:val="left"/>
      <w:pPr>
        <w:tabs>
          <w:tab w:val="num" w:pos="1665"/>
        </w:tabs>
        <w:ind w:left="1665" w:hanging="360"/>
      </w:pPr>
      <w:rPr>
        <w:rFonts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0663A"/>
    <w:rsid w:val="0001017F"/>
    <w:rsid w:val="00027C8D"/>
    <w:rsid w:val="00030443"/>
    <w:rsid w:val="00033AD3"/>
    <w:rsid w:val="00034BB0"/>
    <w:rsid w:val="00065F25"/>
    <w:rsid w:val="000862A7"/>
    <w:rsid w:val="000A0044"/>
    <w:rsid w:val="000A1D42"/>
    <w:rsid w:val="000A4886"/>
    <w:rsid w:val="000B7B6F"/>
    <w:rsid w:val="000D0AD3"/>
    <w:rsid w:val="00120308"/>
    <w:rsid w:val="00134F6B"/>
    <w:rsid w:val="00180D8E"/>
    <w:rsid w:val="00185CF1"/>
    <w:rsid w:val="00187DA5"/>
    <w:rsid w:val="00192C0A"/>
    <w:rsid w:val="001930F8"/>
    <w:rsid w:val="00196340"/>
    <w:rsid w:val="001A14B6"/>
    <w:rsid w:val="001A166F"/>
    <w:rsid w:val="001B7FD7"/>
    <w:rsid w:val="001C0DD1"/>
    <w:rsid w:val="001D0DC7"/>
    <w:rsid w:val="001D5DC2"/>
    <w:rsid w:val="001E73E6"/>
    <w:rsid w:val="001F40C5"/>
    <w:rsid w:val="00213618"/>
    <w:rsid w:val="00217743"/>
    <w:rsid w:val="0022489B"/>
    <w:rsid w:val="002332D2"/>
    <w:rsid w:val="00235A22"/>
    <w:rsid w:val="00237F0F"/>
    <w:rsid w:val="002521C5"/>
    <w:rsid w:val="00271431"/>
    <w:rsid w:val="0027205C"/>
    <w:rsid w:val="0029143B"/>
    <w:rsid w:val="00295496"/>
    <w:rsid w:val="002A46F7"/>
    <w:rsid w:val="002A73C7"/>
    <w:rsid w:val="002B1ED8"/>
    <w:rsid w:val="002B30E1"/>
    <w:rsid w:val="002B4334"/>
    <w:rsid w:val="002E54B5"/>
    <w:rsid w:val="002E5AF6"/>
    <w:rsid w:val="002F0B48"/>
    <w:rsid w:val="0030574B"/>
    <w:rsid w:val="00307E4F"/>
    <w:rsid w:val="00311A1E"/>
    <w:rsid w:val="00311DB6"/>
    <w:rsid w:val="00326B1A"/>
    <w:rsid w:val="00337400"/>
    <w:rsid w:val="0034285C"/>
    <w:rsid w:val="00343477"/>
    <w:rsid w:val="003458B2"/>
    <w:rsid w:val="003857E4"/>
    <w:rsid w:val="003B63F7"/>
    <w:rsid w:val="003F5463"/>
    <w:rsid w:val="0044167E"/>
    <w:rsid w:val="00442096"/>
    <w:rsid w:val="00456F7C"/>
    <w:rsid w:val="00464838"/>
    <w:rsid w:val="004656A3"/>
    <w:rsid w:val="00467716"/>
    <w:rsid w:val="004857D2"/>
    <w:rsid w:val="004B27DE"/>
    <w:rsid w:val="004B37DC"/>
    <w:rsid w:val="004B5388"/>
    <w:rsid w:val="004C1868"/>
    <w:rsid w:val="004C6C77"/>
    <w:rsid w:val="004C6D15"/>
    <w:rsid w:val="004D65CE"/>
    <w:rsid w:val="004E4ABF"/>
    <w:rsid w:val="004F1D86"/>
    <w:rsid w:val="00507A01"/>
    <w:rsid w:val="00521E5D"/>
    <w:rsid w:val="005309AD"/>
    <w:rsid w:val="00536BE1"/>
    <w:rsid w:val="00576375"/>
    <w:rsid w:val="00582682"/>
    <w:rsid w:val="00586736"/>
    <w:rsid w:val="005A66D4"/>
    <w:rsid w:val="005C1E8D"/>
    <w:rsid w:val="005D6393"/>
    <w:rsid w:val="005D7386"/>
    <w:rsid w:val="005E2244"/>
    <w:rsid w:val="00602787"/>
    <w:rsid w:val="0060729C"/>
    <w:rsid w:val="00617B46"/>
    <w:rsid w:val="00625F66"/>
    <w:rsid w:val="00634E82"/>
    <w:rsid w:val="00635620"/>
    <w:rsid w:val="006419A6"/>
    <w:rsid w:val="00660A0A"/>
    <w:rsid w:val="00661B78"/>
    <w:rsid w:val="00671D34"/>
    <w:rsid w:val="00674917"/>
    <w:rsid w:val="00690A20"/>
    <w:rsid w:val="006B2334"/>
    <w:rsid w:val="006C1F5E"/>
    <w:rsid w:val="006E2993"/>
    <w:rsid w:val="0074016E"/>
    <w:rsid w:val="00743A48"/>
    <w:rsid w:val="007446DA"/>
    <w:rsid w:val="00761F6F"/>
    <w:rsid w:val="00771A45"/>
    <w:rsid w:val="007A0BE8"/>
    <w:rsid w:val="007C6AC5"/>
    <w:rsid w:val="007D38FE"/>
    <w:rsid w:val="007D5AD7"/>
    <w:rsid w:val="007E288A"/>
    <w:rsid w:val="007E4B16"/>
    <w:rsid w:val="00813342"/>
    <w:rsid w:val="00852B99"/>
    <w:rsid w:val="00854060"/>
    <w:rsid w:val="008805D8"/>
    <w:rsid w:val="00885547"/>
    <w:rsid w:val="008A4429"/>
    <w:rsid w:val="008C67FA"/>
    <w:rsid w:val="008F1266"/>
    <w:rsid w:val="008F3E2D"/>
    <w:rsid w:val="0091423D"/>
    <w:rsid w:val="00944EC4"/>
    <w:rsid w:val="00955E8B"/>
    <w:rsid w:val="009A4F1D"/>
    <w:rsid w:val="009C4651"/>
    <w:rsid w:val="009C5764"/>
    <w:rsid w:val="009C7EC5"/>
    <w:rsid w:val="009D5952"/>
    <w:rsid w:val="009D5AE4"/>
    <w:rsid w:val="009E2F1E"/>
    <w:rsid w:val="009E5DBA"/>
    <w:rsid w:val="009F5F3D"/>
    <w:rsid w:val="00A01114"/>
    <w:rsid w:val="00A045C6"/>
    <w:rsid w:val="00A63FD9"/>
    <w:rsid w:val="00A66463"/>
    <w:rsid w:val="00A66FC0"/>
    <w:rsid w:val="00A72A1F"/>
    <w:rsid w:val="00A73978"/>
    <w:rsid w:val="00A75319"/>
    <w:rsid w:val="00A94434"/>
    <w:rsid w:val="00A9597A"/>
    <w:rsid w:val="00AB020E"/>
    <w:rsid w:val="00AC144B"/>
    <w:rsid w:val="00AC699B"/>
    <w:rsid w:val="00AD36A9"/>
    <w:rsid w:val="00AE1DDF"/>
    <w:rsid w:val="00AF772F"/>
    <w:rsid w:val="00B17FF7"/>
    <w:rsid w:val="00B420E3"/>
    <w:rsid w:val="00B44457"/>
    <w:rsid w:val="00B50EA4"/>
    <w:rsid w:val="00B52078"/>
    <w:rsid w:val="00B90F7B"/>
    <w:rsid w:val="00B955FF"/>
    <w:rsid w:val="00B97F60"/>
    <w:rsid w:val="00BA0D01"/>
    <w:rsid w:val="00BA1930"/>
    <w:rsid w:val="00BB404A"/>
    <w:rsid w:val="00BC5A02"/>
    <w:rsid w:val="00BD4105"/>
    <w:rsid w:val="00BD758D"/>
    <w:rsid w:val="00BE2409"/>
    <w:rsid w:val="00BE69AA"/>
    <w:rsid w:val="00BF0AE4"/>
    <w:rsid w:val="00BF655B"/>
    <w:rsid w:val="00BF7145"/>
    <w:rsid w:val="00C03058"/>
    <w:rsid w:val="00C104EC"/>
    <w:rsid w:val="00C3138E"/>
    <w:rsid w:val="00C373D7"/>
    <w:rsid w:val="00C560EC"/>
    <w:rsid w:val="00C9034F"/>
    <w:rsid w:val="00CB6000"/>
    <w:rsid w:val="00CD4258"/>
    <w:rsid w:val="00CE2A40"/>
    <w:rsid w:val="00CE5DC8"/>
    <w:rsid w:val="00CE6FE0"/>
    <w:rsid w:val="00CF65F6"/>
    <w:rsid w:val="00D13B73"/>
    <w:rsid w:val="00D14B74"/>
    <w:rsid w:val="00D16B42"/>
    <w:rsid w:val="00D17132"/>
    <w:rsid w:val="00D2713C"/>
    <w:rsid w:val="00D3101D"/>
    <w:rsid w:val="00D60B26"/>
    <w:rsid w:val="00D70F16"/>
    <w:rsid w:val="00D745D0"/>
    <w:rsid w:val="00D81237"/>
    <w:rsid w:val="00D84654"/>
    <w:rsid w:val="00DA1DF0"/>
    <w:rsid w:val="00DB15EC"/>
    <w:rsid w:val="00DC5524"/>
    <w:rsid w:val="00DC5ABB"/>
    <w:rsid w:val="00DD3ACD"/>
    <w:rsid w:val="00DD7FDE"/>
    <w:rsid w:val="00DE29D0"/>
    <w:rsid w:val="00E00690"/>
    <w:rsid w:val="00E014F9"/>
    <w:rsid w:val="00E04042"/>
    <w:rsid w:val="00E06BFF"/>
    <w:rsid w:val="00E12567"/>
    <w:rsid w:val="00E136DD"/>
    <w:rsid w:val="00E14068"/>
    <w:rsid w:val="00E26968"/>
    <w:rsid w:val="00E515CF"/>
    <w:rsid w:val="00E51940"/>
    <w:rsid w:val="00E51ECC"/>
    <w:rsid w:val="00E61053"/>
    <w:rsid w:val="00E62559"/>
    <w:rsid w:val="00E66BF8"/>
    <w:rsid w:val="00E7769A"/>
    <w:rsid w:val="00EB1B0E"/>
    <w:rsid w:val="00EB38FF"/>
    <w:rsid w:val="00EC4C9F"/>
    <w:rsid w:val="00EC78BC"/>
    <w:rsid w:val="00EE5D23"/>
    <w:rsid w:val="00EE76D5"/>
    <w:rsid w:val="00EF6355"/>
    <w:rsid w:val="00F03889"/>
    <w:rsid w:val="00F04DA5"/>
    <w:rsid w:val="00F20184"/>
    <w:rsid w:val="00F26ADF"/>
    <w:rsid w:val="00F309FD"/>
    <w:rsid w:val="00F415A9"/>
    <w:rsid w:val="00F508CC"/>
    <w:rsid w:val="00F73730"/>
    <w:rsid w:val="00F8505E"/>
    <w:rsid w:val="00FA3056"/>
    <w:rsid w:val="00FB445F"/>
    <w:rsid w:val="00FC41E8"/>
    <w:rsid w:val="00FD16D8"/>
    <w:rsid w:val="00FD2D49"/>
    <w:rsid w:val="00FF394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CD"/>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DD3ACD"/>
    <w:pPr>
      <w:keepNext/>
      <w:outlineLvl w:val="0"/>
    </w:pPr>
    <w:rPr>
      <w:b/>
      <w:bCs/>
      <w:color w:val="000000"/>
    </w:rPr>
  </w:style>
  <w:style w:type="paragraph" w:styleId="Heading2">
    <w:name w:val="heading 2"/>
    <w:basedOn w:val="Normal"/>
    <w:next w:val="Normal"/>
    <w:link w:val="Heading2Char"/>
    <w:uiPriority w:val="99"/>
    <w:qFormat/>
    <w:rsid w:val="00DD3ACD"/>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DD3ACD"/>
    <w:pPr>
      <w:keepNext/>
      <w:overflowPunct/>
      <w:autoSpaceDE/>
      <w:autoSpaceDN/>
      <w:adjustRightInd/>
      <w:ind w:firstLine="720"/>
      <w:jc w:val="center"/>
      <w:textAlignment w:val="auto"/>
      <w:outlineLvl w:val="2"/>
    </w:pPr>
    <w:rPr>
      <w:u w:val="single"/>
    </w:rPr>
  </w:style>
  <w:style w:type="paragraph" w:styleId="Heading4">
    <w:name w:val="heading 4"/>
    <w:basedOn w:val="Normal"/>
    <w:next w:val="Normal"/>
    <w:link w:val="Heading4Char"/>
    <w:uiPriority w:val="99"/>
    <w:qFormat/>
    <w:rsid w:val="00DD3ACD"/>
    <w:pPr>
      <w:keepNext/>
      <w:overflowPunct/>
      <w:autoSpaceDE/>
      <w:autoSpaceDN/>
      <w:adjustRightInd/>
      <w:jc w:val="center"/>
      <w:textAlignment w:val="auto"/>
      <w:outlineLvl w:val="3"/>
    </w:pPr>
  </w:style>
  <w:style w:type="paragraph" w:styleId="Heading5">
    <w:name w:val="heading 5"/>
    <w:basedOn w:val="Normal"/>
    <w:next w:val="Normal"/>
    <w:link w:val="Heading5Char"/>
    <w:uiPriority w:val="99"/>
    <w:qFormat/>
    <w:rsid w:val="00DD3ACD"/>
    <w:pPr>
      <w:keepNext/>
      <w:overflowPunct/>
      <w:autoSpaceDE/>
      <w:autoSpaceDN/>
      <w:adjustRightInd/>
      <w:ind w:firstLine="720"/>
      <w:jc w:val="center"/>
      <w:textAlignment w:val="auto"/>
      <w:outlineLvl w:val="4"/>
    </w:pPr>
  </w:style>
  <w:style w:type="paragraph" w:styleId="Heading6">
    <w:name w:val="heading 6"/>
    <w:basedOn w:val="Normal"/>
    <w:next w:val="Normal"/>
    <w:link w:val="Heading6Char"/>
    <w:uiPriority w:val="99"/>
    <w:qFormat/>
    <w:rsid w:val="00DD3ACD"/>
    <w:pPr>
      <w:keepNext/>
      <w:overflowPunct/>
      <w:autoSpaceDE/>
      <w:autoSpaceDN/>
      <w:adjustRightInd/>
      <w:jc w:val="both"/>
      <w:textAlignment w:val="auto"/>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1ECC"/>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E51EC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51ECC"/>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E51ECC"/>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E51ECC"/>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E51ECC"/>
    <w:rPr>
      <w:rFonts w:ascii="Calibri" w:hAnsi="Calibri" w:cs="Calibri"/>
      <w:b/>
      <w:bCs/>
      <w:lang w:eastAsia="en-US"/>
    </w:rPr>
  </w:style>
  <w:style w:type="paragraph" w:styleId="BodyText">
    <w:name w:val="Body Text"/>
    <w:basedOn w:val="Normal"/>
    <w:link w:val="BodyTextChar"/>
    <w:uiPriority w:val="99"/>
    <w:rsid w:val="00DD3AC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E51ECC"/>
    <w:rPr>
      <w:sz w:val="20"/>
      <w:szCs w:val="20"/>
      <w:lang w:eastAsia="en-US"/>
    </w:rPr>
  </w:style>
  <w:style w:type="paragraph" w:styleId="BodyText2">
    <w:name w:val="Body Text 2"/>
    <w:basedOn w:val="Normal"/>
    <w:link w:val="BodyText2Char"/>
    <w:uiPriority w:val="99"/>
    <w:rsid w:val="00DD3ACD"/>
    <w:pPr>
      <w:overflowPunct/>
      <w:autoSpaceDE/>
      <w:autoSpaceDN/>
      <w:adjustRightInd/>
      <w:jc w:val="center"/>
      <w:textAlignment w:val="auto"/>
    </w:pPr>
  </w:style>
  <w:style w:type="character" w:customStyle="1" w:styleId="BodyText2Char">
    <w:name w:val="Body Text 2 Char"/>
    <w:basedOn w:val="DefaultParagraphFont"/>
    <w:link w:val="BodyText2"/>
    <w:uiPriority w:val="99"/>
    <w:semiHidden/>
    <w:locked/>
    <w:rsid w:val="00E51ECC"/>
    <w:rPr>
      <w:sz w:val="20"/>
      <w:szCs w:val="20"/>
      <w:lang w:eastAsia="en-US"/>
    </w:rPr>
  </w:style>
  <w:style w:type="paragraph" w:styleId="BodyTextIndent2">
    <w:name w:val="Body Text Indent 2"/>
    <w:basedOn w:val="Normal"/>
    <w:link w:val="BodyTextIndent2Char"/>
    <w:uiPriority w:val="99"/>
    <w:rsid w:val="00DD3ACD"/>
    <w:pPr>
      <w:overflowPunct/>
      <w:autoSpaceDE/>
      <w:autoSpaceDN/>
      <w:adjustRightInd/>
      <w:ind w:firstLine="720"/>
      <w:jc w:val="both"/>
      <w:textAlignment w:val="auto"/>
    </w:pPr>
    <w:rPr>
      <w:b/>
      <w:bCs/>
    </w:rPr>
  </w:style>
  <w:style w:type="character" w:customStyle="1" w:styleId="BodyTextIndent2Char">
    <w:name w:val="Body Text Indent 2 Char"/>
    <w:basedOn w:val="DefaultParagraphFont"/>
    <w:link w:val="BodyTextIndent2"/>
    <w:uiPriority w:val="99"/>
    <w:semiHidden/>
    <w:locked/>
    <w:rsid w:val="00E51ECC"/>
    <w:rPr>
      <w:sz w:val="20"/>
      <w:szCs w:val="20"/>
      <w:lang w:eastAsia="en-US"/>
    </w:rPr>
  </w:style>
  <w:style w:type="paragraph" w:styleId="BodyTextIndent3">
    <w:name w:val="Body Text Indent 3"/>
    <w:basedOn w:val="Normal"/>
    <w:link w:val="BodyTextIndent3Char"/>
    <w:uiPriority w:val="99"/>
    <w:rsid w:val="00DD3ACD"/>
    <w:pPr>
      <w:overflowPunct/>
      <w:autoSpaceDE/>
      <w:autoSpaceDN/>
      <w:adjustRightInd/>
      <w:ind w:firstLine="720"/>
      <w:jc w:val="both"/>
      <w:textAlignment w:val="auto"/>
    </w:pPr>
  </w:style>
  <w:style w:type="character" w:customStyle="1" w:styleId="BodyTextIndent3Char">
    <w:name w:val="Body Text Indent 3 Char"/>
    <w:basedOn w:val="DefaultParagraphFont"/>
    <w:link w:val="BodyTextIndent3"/>
    <w:uiPriority w:val="99"/>
    <w:semiHidden/>
    <w:locked/>
    <w:rsid w:val="00E51ECC"/>
    <w:rPr>
      <w:sz w:val="16"/>
      <w:szCs w:val="16"/>
      <w:lang w:eastAsia="en-US"/>
    </w:rPr>
  </w:style>
  <w:style w:type="paragraph" w:styleId="Header">
    <w:name w:val="header"/>
    <w:basedOn w:val="Normal"/>
    <w:link w:val="HeaderChar"/>
    <w:uiPriority w:val="99"/>
    <w:rsid w:val="00DD3ACD"/>
    <w:pPr>
      <w:tabs>
        <w:tab w:val="center" w:pos="4153"/>
        <w:tab w:val="right" w:pos="8306"/>
      </w:tabs>
    </w:pPr>
  </w:style>
  <w:style w:type="character" w:customStyle="1" w:styleId="HeaderChar">
    <w:name w:val="Header Char"/>
    <w:basedOn w:val="DefaultParagraphFont"/>
    <w:link w:val="Header"/>
    <w:uiPriority w:val="99"/>
    <w:semiHidden/>
    <w:locked/>
    <w:rsid w:val="00E51ECC"/>
    <w:rPr>
      <w:sz w:val="20"/>
      <w:szCs w:val="20"/>
      <w:lang w:eastAsia="en-US"/>
    </w:rPr>
  </w:style>
  <w:style w:type="character" w:styleId="PageNumber">
    <w:name w:val="page number"/>
    <w:basedOn w:val="DefaultParagraphFont"/>
    <w:uiPriority w:val="99"/>
    <w:rsid w:val="00DD3ACD"/>
  </w:style>
  <w:style w:type="paragraph" w:styleId="Footer">
    <w:name w:val="footer"/>
    <w:basedOn w:val="Normal"/>
    <w:link w:val="FooterChar"/>
    <w:uiPriority w:val="99"/>
    <w:rsid w:val="00DD3ACD"/>
    <w:pPr>
      <w:tabs>
        <w:tab w:val="center" w:pos="4153"/>
        <w:tab w:val="right" w:pos="8306"/>
      </w:tabs>
    </w:pPr>
  </w:style>
  <w:style w:type="character" w:customStyle="1" w:styleId="FooterChar">
    <w:name w:val="Footer Char"/>
    <w:basedOn w:val="DefaultParagraphFont"/>
    <w:link w:val="Footer"/>
    <w:uiPriority w:val="99"/>
    <w:semiHidden/>
    <w:locked/>
    <w:rsid w:val="00E51ECC"/>
    <w:rPr>
      <w:sz w:val="20"/>
      <w:szCs w:val="20"/>
      <w:lang w:eastAsia="en-US"/>
    </w:rPr>
  </w:style>
  <w:style w:type="paragraph" w:customStyle="1" w:styleId="Char1CharChar">
    <w:name w:val="Char1 Char Char"/>
    <w:basedOn w:val="Normal"/>
    <w:uiPriority w:val="99"/>
    <w:rsid w:val="004B5388"/>
    <w:pPr>
      <w:overflowPunct/>
      <w:autoSpaceDE/>
      <w:autoSpaceDN/>
      <w:adjustRightInd/>
      <w:spacing w:after="160" w:line="240" w:lineRule="exact"/>
      <w:textAlignment w:val="auto"/>
    </w:pPr>
    <w:rPr>
      <w:rFonts w:ascii="Verdana" w:hAnsi="Verdana" w:cs="Verdana"/>
      <w:sz w:val="20"/>
      <w:szCs w:val="20"/>
      <w:lang w:val="en-US"/>
    </w:rPr>
  </w:style>
  <w:style w:type="character" w:styleId="Hyperlink">
    <w:name w:val="Hyperlink"/>
    <w:basedOn w:val="DefaultParagraphFont"/>
    <w:uiPriority w:val="99"/>
    <w:rsid w:val="004B5388"/>
    <w:rPr>
      <w:color w:val="0000FF"/>
      <w:u w:val="single"/>
    </w:rPr>
  </w:style>
  <w:style w:type="paragraph" w:styleId="NormalWeb">
    <w:name w:val="Normal (Web)"/>
    <w:basedOn w:val="Normal"/>
    <w:uiPriority w:val="99"/>
    <w:rsid w:val="00EB1B0E"/>
    <w:pPr>
      <w:overflowPunct/>
      <w:autoSpaceDE/>
      <w:autoSpaceDN/>
      <w:adjustRightInd/>
      <w:spacing w:before="100" w:beforeAutospacing="1" w:after="100" w:afterAutospacing="1"/>
      <w:textAlignment w:val="auto"/>
    </w:pPr>
    <w:rPr>
      <w:lang w:val="en-GB"/>
    </w:rPr>
  </w:style>
  <w:style w:type="paragraph" w:styleId="BodyText3">
    <w:name w:val="Body Text 3"/>
    <w:basedOn w:val="Normal"/>
    <w:link w:val="BodyText3Char"/>
    <w:uiPriority w:val="99"/>
    <w:rsid w:val="00EB1B0E"/>
    <w:pPr>
      <w:spacing w:after="120"/>
    </w:pPr>
    <w:rPr>
      <w:sz w:val="16"/>
      <w:szCs w:val="16"/>
    </w:rPr>
  </w:style>
  <w:style w:type="character" w:customStyle="1" w:styleId="BodyText3Char">
    <w:name w:val="Body Text 3 Char"/>
    <w:basedOn w:val="DefaultParagraphFont"/>
    <w:link w:val="BodyText3"/>
    <w:uiPriority w:val="99"/>
    <w:semiHidden/>
    <w:locked/>
    <w:rsid w:val="00E51ECC"/>
    <w:rPr>
      <w:sz w:val="16"/>
      <w:szCs w:val="16"/>
      <w:lang w:eastAsia="en-US"/>
    </w:rPr>
  </w:style>
  <w:style w:type="paragraph" w:customStyle="1" w:styleId="Char1CharChar1">
    <w:name w:val="Char1 Char Char1"/>
    <w:basedOn w:val="Normal"/>
    <w:uiPriority w:val="99"/>
    <w:rsid w:val="00C3138E"/>
    <w:pPr>
      <w:overflowPunct/>
      <w:autoSpaceDE/>
      <w:autoSpaceDN/>
      <w:adjustRightInd/>
      <w:spacing w:after="160" w:line="240" w:lineRule="exact"/>
      <w:textAlignment w:val="auto"/>
    </w:pPr>
    <w:rPr>
      <w:rFonts w:ascii="Verdana" w:hAnsi="Verdana" w:cs="Verdana"/>
      <w:sz w:val="20"/>
      <w:szCs w:val="20"/>
      <w:lang w:val="en-US"/>
    </w:rPr>
  </w:style>
  <w:style w:type="paragraph" w:styleId="ListParagraph">
    <w:name w:val="List Paragraph"/>
    <w:basedOn w:val="Normal"/>
    <w:uiPriority w:val="99"/>
    <w:qFormat/>
    <w:rsid w:val="00C3138E"/>
    <w:pPr>
      <w:overflowPunct/>
      <w:autoSpaceDE/>
      <w:autoSpaceDN/>
      <w:adjustRightInd/>
      <w:ind w:left="1296"/>
      <w:textAlignment w:val="auto"/>
    </w:pPr>
    <w:rPr>
      <w:rFonts w:eastAsia="SimSun"/>
      <w:lang w:val="en-US" w:eastAsia="zh-CN"/>
    </w:rPr>
  </w:style>
  <w:style w:type="paragraph" w:customStyle="1" w:styleId="LLPTekstas">
    <w:name w:val="LLPTekstas"/>
    <w:basedOn w:val="Normal"/>
    <w:uiPriority w:val="99"/>
    <w:rsid w:val="001D5DC2"/>
    <w:pPr>
      <w:overflowPunct/>
      <w:autoSpaceDE/>
      <w:autoSpaceDN/>
      <w:adjustRightInd/>
      <w:ind w:firstLine="567"/>
      <w:jc w:val="both"/>
      <w:textAlignment w:val="auto"/>
    </w:pPr>
  </w:style>
  <w:style w:type="character" w:customStyle="1" w:styleId="LLCTekstas">
    <w:name w:val="LLCTekstas"/>
    <w:basedOn w:val="DefaultParagraphFont"/>
    <w:uiPriority w:val="99"/>
    <w:rsid w:val="001D5DC2"/>
  </w:style>
  <w:style w:type="character" w:customStyle="1" w:styleId="apple-converted-space">
    <w:name w:val="apple-converted-space"/>
    <w:basedOn w:val="DefaultParagraphFont"/>
    <w:uiPriority w:val="99"/>
    <w:rsid w:val="004B37DC"/>
  </w:style>
  <w:style w:type="paragraph" w:styleId="HTMLPreformatted">
    <w:name w:val="HTML Preformatted"/>
    <w:basedOn w:val="Normal"/>
    <w:link w:val="HTMLPreformattedChar1"/>
    <w:uiPriority w:val="99"/>
    <w:rsid w:val="0034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sid w:val="00E51ECC"/>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34285C"/>
    <w:rPr>
      <w:rFonts w:ascii="Courier New" w:hAnsi="Courier New" w:cs="Courier New"/>
      <w:lang w:val="lt-LT" w:eastAsia="lt-LT"/>
    </w:rPr>
  </w:style>
  <w:style w:type="paragraph" w:customStyle="1" w:styleId="Default">
    <w:name w:val="Default"/>
    <w:uiPriority w:val="99"/>
    <w:rsid w:val="0034285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34932199">
      <w:marLeft w:val="0"/>
      <w:marRight w:val="0"/>
      <w:marTop w:val="0"/>
      <w:marBottom w:val="0"/>
      <w:divBdr>
        <w:top w:val="none" w:sz="0" w:space="0" w:color="auto"/>
        <w:left w:val="none" w:sz="0" w:space="0" w:color="auto"/>
        <w:bottom w:val="none" w:sz="0" w:space="0" w:color="auto"/>
        <w:right w:val="none" w:sz="0" w:space="0" w:color="auto"/>
      </w:divBdr>
    </w:div>
    <w:div w:id="1434932205">
      <w:marLeft w:val="0"/>
      <w:marRight w:val="0"/>
      <w:marTop w:val="0"/>
      <w:marBottom w:val="0"/>
      <w:divBdr>
        <w:top w:val="none" w:sz="0" w:space="0" w:color="auto"/>
        <w:left w:val="none" w:sz="0" w:space="0" w:color="auto"/>
        <w:bottom w:val="none" w:sz="0" w:space="0" w:color="auto"/>
        <w:right w:val="none" w:sz="0" w:space="0" w:color="auto"/>
      </w:divBdr>
    </w:div>
    <w:div w:id="1434932213">
      <w:marLeft w:val="0"/>
      <w:marRight w:val="0"/>
      <w:marTop w:val="0"/>
      <w:marBottom w:val="0"/>
      <w:divBdr>
        <w:top w:val="none" w:sz="0" w:space="0" w:color="auto"/>
        <w:left w:val="none" w:sz="0" w:space="0" w:color="auto"/>
        <w:bottom w:val="none" w:sz="0" w:space="0" w:color="auto"/>
        <w:right w:val="none" w:sz="0" w:space="0" w:color="auto"/>
      </w:divBdr>
    </w:div>
    <w:div w:id="1434932218">
      <w:marLeft w:val="0"/>
      <w:marRight w:val="0"/>
      <w:marTop w:val="0"/>
      <w:marBottom w:val="0"/>
      <w:divBdr>
        <w:top w:val="none" w:sz="0" w:space="0" w:color="auto"/>
        <w:left w:val="none" w:sz="0" w:space="0" w:color="auto"/>
        <w:bottom w:val="none" w:sz="0" w:space="0" w:color="auto"/>
        <w:right w:val="none" w:sz="0" w:space="0" w:color="auto"/>
      </w:divBdr>
      <w:divsChild>
        <w:div w:id="1434932203">
          <w:marLeft w:val="0"/>
          <w:marRight w:val="0"/>
          <w:marTop w:val="0"/>
          <w:marBottom w:val="0"/>
          <w:divBdr>
            <w:top w:val="none" w:sz="0" w:space="0" w:color="auto"/>
            <w:left w:val="none" w:sz="0" w:space="0" w:color="auto"/>
            <w:bottom w:val="none" w:sz="0" w:space="0" w:color="auto"/>
            <w:right w:val="none" w:sz="0" w:space="0" w:color="auto"/>
          </w:divBdr>
          <w:divsChild>
            <w:div w:id="1434932219">
              <w:marLeft w:val="0"/>
              <w:marRight w:val="0"/>
              <w:marTop w:val="0"/>
              <w:marBottom w:val="0"/>
              <w:divBdr>
                <w:top w:val="none" w:sz="0" w:space="0" w:color="auto"/>
                <w:left w:val="none" w:sz="0" w:space="0" w:color="auto"/>
                <w:bottom w:val="none" w:sz="0" w:space="0" w:color="auto"/>
                <w:right w:val="none" w:sz="0" w:space="0" w:color="auto"/>
              </w:divBdr>
            </w:div>
            <w:div w:id="1434932227">
              <w:marLeft w:val="0"/>
              <w:marRight w:val="0"/>
              <w:marTop w:val="0"/>
              <w:marBottom w:val="0"/>
              <w:divBdr>
                <w:top w:val="none" w:sz="0" w:space="0" w:color="auto"/>
                <w:left w:val="none" w:sz="0" w:space="0" w:color="auto"/>
                <w:bottom w:val="none" w:sz="0" w:space="0" w:color="auto"/>
                <w:right w:val="none" w:sz="0" w:space="0" w:color="auto"/>
              </w:divBdr>
            </w:div>
          </w:divsChild>
        </w:div>
        <w:div w:id="1434932208">
          <w:marLeft w:val="0"/>
          <w:marRight w:val="0"/>
          <w:marTop w:val="0"/>
          <w:marBottom w:val="0"/>
          <w:divBdr>
            <w:top w:val="none" w:sz="0" w:space="0" w:color="auto"/>
            <w:left w:val="none" w:sz="0" w:space="0" w:color="auto"/>
            <w:bottom w:val="none" w:sz="0" w:space="0" w:color="auto"/>
            <w:right w:val="none" w:sz="0" w:space="0" w:color="auto"/>
          </w:divBdr>
          <w:divsChild>
            <w:div w:id="1434932200">
              <w:marLeft w:val="0"/>
              <w:marRight w:val="0"/>
              <w:marTop w:val="0"/>
              <w:marBottom w:val="0"/>
              <w:divBdr>
                <w:top w:val="none" w:sz="0" w:space="0" w:color="auto"/>
                <w:left w:val="none" w:sz="0" w:space="0" w:color="auto"/>
                <w:bottom w:val="none" w:sz="0" w:space="0" w:color="auto"/>
                <w:right w:val="none" w:sz="0" w:space="0" w:color="auto"/>
              </w:divBdr>
            </w:div>
            <w:div w:id="1434932214">
              <w:marLeft w:val="0"/>
              <w:marRight w:val="0"/>
              <w:marTop w:val="0"/>
              <w:marBottom w:val="0"/>
              <w:divBdr>
                <w:top w:val="none" w:sz="0" w:space="0" w:color="auto"/>
                <w:left w:val="none" w:sz="0" w:space="0" w:color="auto"/>
                <w:bottom w:val="none" w:sz="0" w:space="0" w:color="auto"/>
                <w:right w:val="none" w:sz="0" w:space="0" w:color="auto"/>
              </w:divBdr>
              <w:divsChild>
                <w:div w:id="1434932210">
                  <w:marLeft w:val="0"/>
                  <w:marRight w:val="0"/>
                  <w:marTop w:val="0"/>
                  <w:marBottom w:val="0"/>
                  <w:divBdr>
                    <w:top w:val="none" w:sz="0" w:space="0" w:color="auto"/>
                    <w:left w:val="none" w:sz="0" w:space="0" w:color="auto"/>
                    <w:bottom w:val="none" w:sz="0" w:space="0" w:color="auto"/>
                    <w:right w:val="none" w:sz="0" w:space="0" w:color="auto"/>
                  </w:divBdr>
                </w:div>
                <w:div w:id="14349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215">
          <w:marLeft w:val="0"/>
          <w:marRight w:val="0"/>
          <w:marTop w:val="0"/>
          <w:marBottom w:val="0"/>
          <w:divBdr>
            <w:top w:val="none" w:sz="0" w:space="0" w:color="auto"/>
            <w:left w:val="none" w:sz="0" w:space="0" w:color="auto"/>
            <w:bottom w:val="none" w:sz="0" w:space="0" w:color="auto"/>
            <w:right w:val="none" w:sz="0" w:space="0" w:color="auto"/>
          </w:divBdr>
          <w:divsChild>
            <w:div w:id="1434932207">
              <w:marLeft w:val="0"/>
              <w:marRight w:val="0"/>
              <w:marTop w:val="0"/>
              <w:marBottom w:val="0"/>
              <w:divBdr>
                <w:top w:val="none" w:sz="0" w:space="0" w:color="auto"/>
                <w:left w:val="none" w:sz="0" w:space="0" w:color="auto"/>
                <w:bottom w:val="none" w:sz="0" w:space="0" w:color="auto"/>
                <w:right w:val="none" w:sz="0" w:space="0" w:color="auto"/>
              </w:divBdr>
              <w:divsChild>
                <w:div w:id="1434932201">
                  <w:marLeft w:val="0"/>
                  <w:marRight w:val="0"/>
                  <w:marTop w:val="0"/>
                  <w:marBottom w:val="0"/>
                  <w:divBdr>
                    <w:top w:val="none" w:sz="0" w:space="0" w:color="auto"/>
                    <w:left w:val="none" w:sz="0" w:space="0" w:color="auto"/>
                    <w:bottom w:val="none" w:sz="0" w:space="0" w:color="auto"/>
                    <w:right w:val="none" w:sz="0" w:space="0" w:color="auto"/>
                  </w:divBdr>
                </w:div>
                <w:div w:id="1434932202">
                  <w:marLeft w:val="0"/>
                  <w:marRight w:val="0"/>
                  <w:marTop w:val="0"/>
                  <w:marBottom w:val="0"/>
                  <w:divBdr>
                    <w:top w:val="none" w:sz="0" w:space="0" w:color="auto"/>
                    <w:left w:val="none" w:sz="0" w:space="0" w:color="auto"/>
                    <w:bottom w:val="none" w:sz="0" w:space="0" w:color="auto"/>
                    <w:right w:val="none" w:sz="0" w:space="0" w:color="auto"/>
                  </w:divBdr>
                </w:div>
                <w:div w:id="1434932209">
                  <w:marLeft w:val="0"/>
                  <w:marRight w:val="0"/>
                  <w:marTop w:val="0"/>
                  <w:marBottom w:val="0"/>
                  <w:divBdr>
                    <w:top w:val="none" w:sz="0" w:space="0" w:color="auto"/>
                    <w:left w:val="none" w:sz="0" w:space="0" w:color="auto"/>
                    <w:bottom w:val="none" w:sz="0" w:space="0" w:color="auto"/>
                    <w:right w:val="none" w:sz="0" w:space="0" w:color="auto"/>
                  </w:divBdr>
                </w:div>
                <w:div w:id="1434932212">
                  <w:marLeft w:val="0"/>
                  <w:marRight w:val="0"/>
                  <w:marTop w:val="0"/>
                  <w:marBottom w:val="0"/>
                  <w:divBdr>
                    <w:top w:val="none" w:sz="0" w:space="0" w:color="auto"/>
                    <w:left w:val="none" w:sz="0" w:space="0" w:color="auto"/>
                    <w:bottom w:val="none" w:sz="0" w:space="0" w:color="auto"/>
                    <w:right w:val="none" w:sz="0" w:space="0" w:color="auto"/>
                  </w:divBdr>
                </w:div>
                <w:div w:id="14349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220">
          <w:marLeft w:val="0"/>
          <w:marRight w:val="0"/>
          <w:marTop w:val="0"/>
          <w:marBottom w:val="0"/>
          <w:divBdr>
            <w:top w:val="none" w:sz="0" w:space="0" w:color="auto"/>
            <w:left w:val="none" w:sz="0" w:space="0" w:color="auto"/>
            <w:bottom w:val="none" w:sz="0" w:space="0" w:color="auto"/>
            <w:right w:val="none" w:sz="0" w:space="0" w:color="auto"/>
          </w:divBdr>
          <w:divsChild>
            <w:div w:id="1434932204">
              <w:marLeft w:val="0"/>
              <w:marRight w:val="0"/>
              <w:marTop w:val="0"/>
              <w:marBottom w:val="0"/>
              <w:divBdr>
                <w:top w:val="none" w:sz="0" w:space="0" w:color="auto"/>
                <w:left w:val="none" w:sz="0" w:space="0" w:color="auto"/>
                <w:bottom w:val="none" w:sz="0" w:space="0" w:color="auto"/>
                <w:right w:val="none" w:sz="0" w:space="0" w:color="auto"/>
              </w:divBdr>
            </w:div>
            <w:div w:id="1434932221">
              <w:marLeft w:val="0"/>
              <w:marRight w:val="0"/>
              <w:marTop w:val="0"/>
              <w:marBottom w:val="0"/>
              <w:divBdr>
                <w:top w:val="none" w:sz="0" w:space="0" w:color="auto"/>
                <w:left w:val="none" w:sz="0" w:space="0" w:color="auto"/>
                <w:bottom w:val="none" w:sz="0" w:space="0" w:color="auto"/>
                <w:right w:val="none" w:sz="0" w:space="0" w:color="auto"/>
              </w:divBdr>
            </w:div>
            <w:div w:id="1434932223">
              <w:marLeft w:val="0"/>
              <w:marRight w:val="0"/>
              <w:marTop w:val="0"/>
              <w:marBottom w:val="0"/>
              <w:divBdr>
                <w:top w:val="none" w:sz="0" w:space="0" w:color="auto"/>
                <w:left w:val="none" w:sz="0" w:space="0" w:color="auto"/>
                <w:bottom w:val="none" w:sz="0" w:space="0" w:color="auto"/>
                <w:right w:val="none" w:sz="0" w:space="0" w:color="auto"/>
              </w:divBdr>
            </w:div>
            <w:div w:id="1434932224">
              <w:marLeft w:val="0"/>
              <w:marRight w:val="0"/>
              <w:marTop w:val="0"/>
              <w:marBottom w:val="0"/>
              <w:divBdr>
                <w:top w:val="none" w:sz="0" w:space="0" w:color="auto"/>
                <w:left w:val="none" w:sz="0" w:space="0" w:color="auto"/>
                <w:bottom w:val="none" w:sz="0" w:space="0" w:color="auto"/>
                <w:right w:val="none" w:sz="0" w:space="0" w:color="auto"/>
              </w:divBdr>
            </w:div>
            <w:div w:id="1434932228">
              <w:marLeft w:val="0"/>
              <w:marRight w:val="0"/>
              <w:marTop w:val="0"/>
              <w:marBottom w:val="0"/>
              <w:divBdr>
                <w:top w:val="none" w:sz="0" w:space="0" w:color="auto"/>
                <w:left w:val="none" w:sz="0" w:space="0" w:color="auto"/>
                <w:bottom w:val="none" w:sz="0" w:space="0" w:color="auto"/>
                <w:right w:val="none" w:sz="0" w:space="0" w:color="auto"/>
              </w:divBdr>
            </w:div>
          </w:divsChild>
        </w:div>
        <w:div w:id="1434932222">
          <w:marLeft w:val="0"/>
          <w:marRight w:val="0"/>
          <w:marTop w:val="0"/>
          <w:marBottom w:val="0"/>
          <w:divBdr>
            <w:top w:val="none" w:sz="0" w:space="0" w:color="auto"/>
            <w:left w:val="none" w:sz="0" w:space="0" w:color="auto"/>
            <w:bottom w:val="none" w:sz="0" w:space="0" w:color="auto"/>
            <w:right w:val="none" w:sz="0" w:space="0" w:color="auto"/>
          </w:divBdr>
          <w:divsChild>
            <w:div w:id="1434932226">
              <w:marLeft w:val="0"/>
              <w:marRight w:val="0"/>
              <w:marTop w:val="0"/>
              <w:marBottom w:val="0"/>
              <w:divBdr>
                <w:top w:val="none" w:sz="0" w:space="0" w:color="auto"/>
                <w:left w:val="none" w:sz="0" w:space="0" w:color="auto"/>
                <w:bottom w:val="none" w:sz="0" w:space="0" w:color="auto"/>
                <w:right w:val="none" w:sz="0" w:space="0" w:color="auto"/>
              </w:divBdr>
              <w:divsChild>
                <w:div w:id="1434932211">
                  <w:marLeft w:val="0"/>
                  <w:marRight w:val="0"/>
                  <w:marTop w:val="0"/>
                  <w:marBottom w:val="0"/>
                  <w:divBdr>
                    <w:top w:val="none" w:sz="0" w:space="0" w:color="auto"/>
                    <w:left w:val="none" w:sz="0" w:space="0" w:color="auto"/>
                    <w:bottom w:val="none" w:sz="0" w:space="0" w:color="auto"/>
                    <w:right w:val="none" w:sz="0" w:space="0" w:color="auto"/>
                  </w:divBdr>
                </w:div>
                <w:div w:id="14349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229">
          <w:marLeft w:val="0"/>
          <w:marRight w:val="0"/>
          <w:marTop w:val="0"/>
          <w:marBottom w:val="0"/>
          <w:divBdr>
            <w:top w:val="none" w:sz="0" w:space="0" w:color="auto"/>
            <w:left w:val="none" w:sz="0" w:space="0" w:color="auto"/>
            <w:bottom w:val="none" w:sz="0" w:space="0" w:color="auto"/>
            <w:right w:val="none" w:sz="0" w:space="0" w:color="auto"/>
          </w:divBdr>
          <w:divsChild>
            <w:div w:id="14349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230">
      <w:marLeft w:val="0"/>
      <w:marRight w:val="0"/>
      <w:marTop w:val="0"/>
      <w:marBottom w:val="0"/>
      <w:divBdr>
        <w:top w:val="none" w:sz="0" w:space="0" w:color="auto"/>
        <w:left w:val="none" w:sz="0" w:space="0" w:color="auto"/>
        <w:bottom w:val="none" w:sz="0" w:space="0" w:color="auto"/>
        <w:right w:val="none" w:sz="0" w:space="0" w:color="auto"/>
      </w:divBdr>
    </w:div>
    <w:div w:id="1434932231">
      <w:marLeft w:val="0"/>
      <w:marRight w:val="0"/>
      <w:marTop w:val="0"/>
      <w:marBottom w:val="0"/>
      <w:divBdr>
        <w:top w:val="none" w:sz="0" w:space="0" w:color="auto"/>
        <w:left w:val="none" w:sz="0" w:space="0" w:color="auto"/>
        <w:bottom w:val="none" w:sz="0" w:space="0" w:color="auto"/>
        <w:right w:val="none" w:sz="0" w:space="0" w:color="auto"/>
      </w:divBdr>
    </w:div>
    <w:div w:id="1434932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15528</Words>
  <Characters>8851</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12</cp:revision>
  <cp:lastPrinted>2017-03-28T10:28:00Z</cp:lastPrinted>
  <dcterms:created xsi:type="dcterms:W3CDTF">2018-10-17T11:44:00Z</dcterms:created>
  <dcterms:modified xsi:type="dcterms:W3CDTF">2018-10-19T11:04:00Z</dcterms:modified>
</cp:coreProperties>
</file>