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7" w:rsidRDefault="00F0227A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05pt;margin-top:-23.5pt;width:120pt;height:24pt;z-index:1;mso-position-horizontal-relative:margin" filled="f" stroked="f">
            <v:textbox>
              <w:txbxContent>
                <w:p w:rsidR="00955387" w:rsidRPr="008509EB" w:rsidRDefault="00955387" w:rsidP="00581922">
                  <w:pPr>
                    <w:pStyle w:val="prastasis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509EB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Projektas</w:t>
                  </w:r>
                </w:p>
                <w:p w:rsidR="00955387" w:rsidRDefault="00955387" w:rsidP="00581922">
                  <w:pPr>
                    <w:pStyle w:val="prastasis1"/>
                  </w:pPr>
                </w:p>
              </w:txbxContent>
            </v:textbox>
            <w10:wrap anchorx="margin"/>
          </v:shape>
        </w:pict>
      </w: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955387" w:rsidTr="008033EC">
        <w:trPr>
          <w:trHeight w:val="1058"/>
        </w:trPr>
        <w:tc>
          <w:tcPr>
            <w:tcW w:w="9589" w:type="dxa"/>
          </w:tcPr>
          <w:p w:rsidR="00955387" w:rsidRPr="008033EC" w:rsidRDefault="00F0227A" w:rsidP="008033EC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65pt;height:49.4pt;visibility:visible">
                  <v:imagedata r:id="rId6" o:title=""/>
                </v:shape>
              </w:pict>
            </w:r>
          </w:p>
        </w:tc>
      </w:tr>
      <w:tr w:rsidR="00955387" w:rsidTr="008033EC">
        <w:trPr>
          <w:trHeight w:val="1877"/>
        </w:trPr>
        <w:tc>
          <w:tcPr>
            <w:tcW w:w="9589" w:type="dxa"/>
          </w:tcPr>
          <w:p w:rsidR="00955387" w:rsidRPr="008033EC" w:rsidRDefault="00955387" w:rsidP="008D0946">
            <w:pPr>
              <w:pStyle w:val="Heading2"/>
              <w:rPr>
                <w:rFonts w:ascii="Times New Roman" w:hAnsi="Times New Roman" w:cs="Times New Roman"/>
                <w:smallCaps w:val="0"/>
              </w:rPr>
            </w:pPr>
            <w:r>
              <w:rPr>
                <w:rFonts w:ascii="Times New Roman" w:hAnsi="Times New Roman" w:cs="Times New Roman"/>
                <w:smallCaps w:val="0"/>
              </w:rPr>
              <w:t xml:space="preserve">PAGĖGIŲ SAVIVALDYBĖS </w:t>
            </w:r>
            <w:r w:rsidRPr="008033EC">
              <w:rPr>
                <w:rFonts w:ascii="Times New Roman" w:hAnsi="Times New Roman" w:cs="Times New Roman"/>
                <w:smallCaps w:val="0"/>
              </w:rPr>
              <w:t>TARYBA</w:t>
            </w:r>
          </w:p>
          <w:p w:rsidR="00955387" w:rsidRPr="008033EC" w:rsidRDefault="00955387" w:rsidP="008D0946">
            <w:pPr>
              <w:pStyle w:val="prastasis1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8033EC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955387" w:rsidRPr="008033EC" w:rsidRDefault="00955387" w:rsidP="008D0946">
            <w:pPr>
              <w:pStyle w:val="prastasis1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8033EC">
              <w:rPr>
                <w:rFonts w:ascii="Times New Roman" w:hAnsi="Times New Roman" w:cs="Times New Roman"/>
                <w:b/>
                <w:sz w:val="24"/>
                <w:szCs w:val="24"/>
              </w:rPr>
              <w:t>DĖL PAGĖGIŲ SAVIVALDYBĖS NUOSAVYBĖS TEISĖS Į INŽINERINIUS STATINIUS ĮREGISTRAVIMO VALSTYBĖS ĮMONĖS REGISTRŲ CENTRO NEKILNOJAMOJO TURTO REGISTRE</w:t>
            </w:r>
            <w:bookmarkEnd w:id="0"/>
          </w:p>
        </w:tc>
      </w:tr>
      <w:tr w:rsidR="00955387" w:rsidRPr="00B90D80" w:rsidTr="008033EC">
        <w:trPr>
          <w:trHeight w:val="705"/>
        </w:trPr>
        <w:tc>
          <w:tcPr>
            <w:tcW w:w="9589" w:type="dxa"/>
          </w:tcPr>
          <w:p w:rsidR="00955387" w:rsidRPr="00B90D80" w:rsidRDefault="00955387" w:rsidP="008D0946">
            <w:pPr>
              <w:pStyle w:val="Heading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2022 m. rugpjūčio 11 </w:t>
            </w:r>
            <w:r w:rsidRPr="00B90D80">
              <w:rPr>
                <w:rFonts w:ascii="Times New Roman" w:hAnsi="Times New Roman" w:cs="Times New Roman"/>
                <w:b w:val="0"/>
                <w:smallCaps w:val="0"/>
              </w:rPr>
              <w:t>d. Nr. T1-</w:t>
            </w:r>
            <w:r w:rsidR="00F0227A">
              <w:rPr>
                <w:rFonts w:ascii="Times New Roman" w:hAnsi="Times New Roman" w:cs="Times New Roman"/>
                <w:b w:val="0"/>
                <w:smallCaps w:val="0"/>
              </w:rPr>
              <w:t>155</w:t>
            </w:r>
          </w:p>
          <w:p w:rsidR="00955387" w:rsidRPr="00B90D80" w:rsidRDefault="00955387" w:rsidP="008D094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8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955387" w:rsidRPr="00B90D80" w:rsidRDefault="00955387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Vadovaudamasi Lietuvos Respublikos vietos savivaldos įstatymo 6 straipsnio 32 punktu, 16 straipsnio 2 dalies 26 punktu, Lietuvos Respublikos kelių įstatymo 3 straipsnio 3 dalimi, 4 straipsnio 3 dalimi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C2">
        <w:rPr>
          <w:rFonts w:ascii="Times New Roman" w:hAnsi="Times New Roman" w:cs="Times New Roman"/>
          <w:sz w:val="24"/>
          <w:szCs w:val="24"/>
        </w:rPr>
        <w:t xml:space="preserve">ir atsižvelgdama į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016C2">
        <w:rPr>
          <w:rFonts w:ascii="Times New Roman" w:hAnsi="Times New Roman" w:cs="Times New Roman"/>
          <w:sz w:val="24"/>
          <w:szCs w:val="24"/>
        </w:rPr>
        <w:t>alstybės įmonės Lietuvos automobilių kelių direkcijos</w:t>
      </w:r>
      <w:r w:rsidRPr="00F016C2">
        <w:rPr>
          <w:rFonts w:ascii="Times New Roman" w:hAnsi="Times New Roman" w:cs="Times New Roman"/>
          <w:color w:val="000000"/>
          <w:sz w:val="24"/>
          <w:szCs w:val="24"/>
        </w:rPr>
        <w:t xml:space="preserve"> 2022 m. balandžio 1 d. raštą Nr. 2-4655 „Dėl šaligatvių teisinės registracijos“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0D80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1" w:name="30j0zll" w:colFirst="0" w:colLast="0"/>
      <w:bookmarkStart w:id="2" w:name="1fob9te" w:colFirst="0" w:colLast="0"/>
      <w:bookmarkStart w:id="3" w:name="gjdgxs" w:colFirst="0" w:colLast="0"/>
      <w:bookmarkEnd w:id="1"/>
      <w:bookmarkEnd w:id="2"/>
      <w:bookmarkEnd w:id="3"/>
    </w:p>
    <w:p w:rsidR="00955387" w:rsidRPr="005E2142" w:rsidRDefault="00955387" w:rsidP="008D0946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2142">
        <w:rPr>
          <w:rFonts w:ascii="Times New Roman" w:hAnsi="Times New Roman" w:cs="Times New Roman"/>
          <w:sz w:val="24"/>
          <w:szCs w:val="24"/>
        </w:rPr>
        <w:t xml:space="preserve">Teikti įregistruoti valstybės įmonės Registrų centro Nekilnojamojo turto registre Pagėgių savivaldybės nuosavybės teisę į inžinerinius statinius – </w:t>
      </w:r>
      <w:r w:rsidRPr="00F016C2">
        <w:rPr>
          <w:rFonts w:ascii="Times New Roman" w:hAnsi="Times New Roman" w:cs="Times New Roman"/>
          <w:sz w:val="24"/>
          <w:szCs w:val="24"/>
        </w:rPr>
        <w:t>pėsčiųjų takus:</w:t>
      </w:r>
    </w:p>
    <w:p w:rsidR="00955387" w:rsidRPr="005E2142" w:rsidRDefault="00955387" w:rsidP="008D0946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2142">
        <w:rPr>
          <w:rFonts w:ascii="Times New Roman" w:hAnsi="Times New Roman" w:cs="Times New Roman"/>
          <w:sz w:val="24"/>
          <w:szCs w:val="24"/>
          <w:lang w:eastAsia="ar-SA"/>
        </w:rPr>
        <w:t>Pėsčiųjų takas Nr. PG7299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Vilniaus g., Klaipėdos g. (kelias 141), Pagėgių m., Pagėgių s</w:t>
      </w:r>
      <w:r>
        <w:rPr>
          <w:rFonts w:ascii="Times New Roman" w:hAnsi="Times New Roman" w:cs="Times New Roman"/>
          <w:sz w:val="24"/>
          <w:szCs w:val="24"/>
          <w:lang w:eastAsia="ar-SA"/>
        </w:rPr>
        <w:t>en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., Pagėgių sav.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E2142">
        <w:rPr>
          <w:rFonts w:ascii="Times New Roman" w:hAnsi="Times New Roman" w:cs="Times New Roman"/>
          <w:sz w:val="24"/>
          <w:szCs w:val="24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4400-5898-6882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55387" w:rsidRPr="005E2142" w:rsidRDefault="00955387" w:rsidP="005E2142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2142">
        <w:rPr>
          <w:rFonts w:ascii="Times New Roman" w:hAnsi="Times New Roman" w:cs="Times New Roman"/>
          <w:sz w:val="24"/>
          <w:szCs w:val="24"/>
          <w:lang w:eastAsia="ar-SA"/>
        </w:rPr>
        <w:t>Pėsčiųjų takas Nr. PG7299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Vilniaus g., Klaipėdos g. (kelias 141), Pagėgių m., Pagėgių s</w:t>
      </w:r>
      <w:r>
        <w:rPr>
          <w:rFonts w:ascii="Times New Roman" w:hAnsi="Times New Roman" w:cs="Times New Roman"/>
          <w:sz w:val="24"/>
          <w:szCs w:val="24"/>
          <w:lang w:eastAsia="ar-SA"/>
        </w:rPr>
        <w:t>en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., Pagėgių sav.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E2142">
        <w:rPr>
          <w:rFonts w:ascii="Times New Roman" w:hAnsi="Times New Roman" w:cs="Times New Roman"/>
          <w:sz w:val="24"/>
          <w:szCs w:val="24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4400-5863-3331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55387" w:rsidRPr="005E2142" w:rsidRDefault="00955387" w:rsidP="005E2142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2142">
        <w:rPr>
          <w:rFonts w:ascii="Times New Roman" w:hAnsi="Times New Roman" w:cs="Times New Roman"/>
          <w:sz w:val="24"/>
          <w:szCs w:val="24"/>
          <w:lang w:eastAsia="ar-SA"/>
        </w:rPr>
        <w:t>Pėsčiųjų takas Nr. PG7299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Vilniaus g., Klaipėdos g. (kelias 141), Pagėgių m., Pagėgių s</w:t>
      </w:r>
      <w:r>
        <w:rPr>
          <w:rFonts w:ascii="Times New Roman" w:hAnsi="Times New Roman" w:cs="Times New Roman"/>
          <w:sz w:val="24"/>
          <w:szCs w:val="24"/>
          <w:lang w:eastAsia="ar-SA"/>
        </w:rPr>
        <w:t>en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., Pagėgių sav.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E2142">
        <w:rPr>
          <w:rFonts w:ascii="Times New Roman" w:hAnsi="Times New Roman" w:cs="Times New Roman"/>
          <w:sz w:val="24"/>
          <w:szCs w:val="24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4400-5863-3364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55387" w:rsidRPr="005E2142" w:rsidRDefault="00955387" w:rsidP="005E2142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2142">
        <w:rPr>
          <w:rFonts w:ascii="Times New Roman" w:hAnsi="Times New Roman" w:cs="Times New Roman"/>
          <w:sz w:val="24"/>
          <w:szCs w:val="24"/>
          <w:lang w:eastAsia="ar-SA"/>
        </w:rPr>
        <w:t>Pėsčiųjų takas Nr. PG7299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Vilniaus g., Klaipėdos g. (kelias 141), Pagėgių m., Pagėgių s</w:t>
      </w:r>
      <w:r>
        <w:rPr>
          <w:rFonts w:ascii="Times New Roman" w:hAnsi="Times New Roman" w:cs="Times New Roman"/>
          <w:sz w:val="24"/>
          <w:szCs w:val="24"/>
          <w:lang w:eastAsia="ar-SA"/>
        </w:rPr>
        <w:t>en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., Pagėgių sav.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E2142">
        <w:rPr>
          <w:rFonts w:ascii="Times New Roman" w:hAnsi="Times New Roman" w:cs="Times New Roman"/>
          <w:sz w:val="24"/>
          <w:szCs w:val="24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4400-5898-6879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55387" w:rsidRPr="005E2142" w:rsidRDefault="00955387" w:rsidP="005E2142">
      <w:pPr>
        <w:pStyle w:val="prastasis1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2142">
        <w:rPr>
          <w:rFonts w:ascii="Times New Roman" w:hAnsi="Times New Roman" w:cs="Times New Roman"/>
          <w:sz w:val="24"/>
          <w:szCs w:val="24"/>
          <w:lang w:eastAsia="ar-SA"/>
        </w:rPr>
        <w:t>Pėsčiųjų takas Nr. PG7299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Vilniaus g., Klaipėdos g. (kelias 141), Pagėgių m., Pagėgių s</w:t>
      </w:r>
      <w:r>
        <w:rPr>
          <w:rFonts w:ascii="Times New Roman" w:hAnsi="Times New Roman" w:cs="Times New Roman"/>
          <w:sz w:val="24"/>
          <w:szCs w:val="24"/>
          <w:lang w:eastAsia="ar-SA"/>
        </w:rPr>
        <w:t>en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., Pagėgių sav.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 xml:space="preserve"> (unikalus Nr.</w:t>
      </w:r>
      <w:r w:rsidRPr="005E2142">
        <w:rPr>
          <w:rFonts w:ascii="Times New Roman" w:hAnsi="Times New Roman" w:cs="Times New Roman"/>
          <w:sz w:val="24"/>
          <w:szCs w:val="24"/>
        </w:rPr>
        <w:t xml:space="preserve"> </w:t>
      </w:r>
      <w:r w:rsidRPr="005E2142">
        <w:rPr>
          <w:rFonts w:ascii="Times New Roman" w:hAnsi="Times New Roman" w:cs="Times New Roman"/>
          <w:sz w:val="24"/>
          <w:szCs w:val="24"/>
          <w:lang w:eastAsia="ar-SA"/>
        </w:rPr>
        <w:t>4400-5898-6868</w:t>
      </w:r>
      <w:r w:rsidRPr="005E214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55387" w:rsidRPr="00EE3A4D" w:rsidRDefault="00955387" w:rsidP="008D0946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sz w:val="24"/>
          <w:szCs w:val="24"/>
        </w:rPr>
        <w:t xml:space="preserve">Pavesti Pagėgių savivaldybės administracijai įregistruoti 1 punkte nurodytus inžinerinius statinius – </w:t>
      </w:r>
      <w:r w:rsidRPr="00F016C2">
        <w:rPr>
          <w:rFonts w:ascii="Times New Roman" w:hAnsi="Times New Roman" w:cs="Times New Roman"/>
          <w:sz w:val="24"/>
          <w:szCs w:val="24"/>
        </w:rPr>
        <w:t>pėsčiųjų takus</w:t>
      </w:r>
      <w:r w:rsidRPr="00EE3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E3A4D">
        <w:rPr>
          <w:rFonts w:ascii="Times New Roman" w:hAnsi="Times New Roman" w:cs="Times New Roman"/>
          <w:sz w:val="24"/>
          <w:szCs w:val="24"/>
        </w:rPr>
        <w:t>alstybės įmonės Registrų centro Nekilnojamojo turto registre.</w:t>
      </w:r>
    </w:p>
    <w:p w:rsidR="00955387" w:rsidRPr="00EE3A4D" w:rsidRDefault="00955387" w:rsidP="008D0946">
      <w:pPr>
        <w:pStyle w:val="prastasis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E3A4D">
        <w:rPr>
          <w:rFonts w:ascii="Times New Roman" w:hAnsi="Times New Roman" w:cs="Times New Roman"/>
          <w:color w:val="000000"/>
          <w:sz w:val="24"/>
          <w:szCs w:val="24"/>
        </w:rPr>
        <w:t xml:space="preserve">Sprendimą paskelbti </w:t>
      </w:r>
      <w:r w:rsidRPr="00EE3A4D">
        <w:rPr>
          <w:rFonts w:ascii="Times New Roman" w:hAnsi="Times New Roman" w:cs="Times New Roman"/>
          <w:sz w:val="24"/>
          <w:szCs w:val="24"/>
        </w:rPr>
        <w:t>Teisės aktų registre ir Pagėgių savivaldybės interneto svetainėje www.pagegiai.lt.</w:t>
      </w:r>
    </w:p>
    <w:p w:rsidR="00955387" w:rsidRDefault="00955387" w:rsidP="008D0946">
      <w:pPr>
        <w:pStyle w:val="prastasis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55387" w:rsidRPr="00B90D80" w:rsidRDefault="00955387" w:rsidP="008D0946">
      <w:pPr>
        <w:pStyle w:val="prastasis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955387" w:rsidRPr="00B90D80" w:rsidRDefault="00955387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Administracijos direktor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B90D8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Dalija Irena Einikienė</w:t>
      </w:r>
    </w:p>
    <w:p w:rsidR="00955387" w:rsidRPr="00B90D80" w:rsidRDefault="00955387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387" w:rsidRPr="00B90D80" w:rsidRDefault="00955387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955387" w:rsidRPr="00B90D80" w:rsidRDefault="00955387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90D80">
        <w:rPr>
          <w:rFonts w:ascii="Times New Roman" w:hAnsi="Times New Roman" w:cs="Times New Roman"/>
          <w:sz w:val="24"/>
          <w:szCs w:val="24"/>
        </w:rPr>
        <w:t>yr</w:t>
      </w:r>
      <w:r>
        <w:rPr>
          <w:rFonts w:ascii="Times New Roman" w:hAnsi="Times New Roman" w:cs="Times New Roman"/>
          <w:sz w:val="24"/>
          <w:szCs w:val="24"/>
        </w:rPr>
        <w:t xml:space="preserve">esnioji </w:t>
      </w:r>
      <w:r w:rsidRPr="00B90D80">
        <w:rPr>
          <w:rFonts w:ascii="Times New Roman" w:hAnsi="Times New Roman" w:cs="Times New Roman"/>
          <w:sz w:val="24"/>
          <w:szCs w:val="24"/>
        </w:rPr>
        <w:t>specialist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B90D80">
        <w:rPr>
          <w:rFonts w:ascii="Times New Roman" w:hAnsi="Times New Roman" w:cs="Times New Roman"/>
          <w:sz w:val="24"/>
          <w:szCs w:val="24"/>
        </w:rPr>
        <w:tab/>
      </w:r>
      <w:r w:rsidRPr="00B90D80">
        <w:rPr>
          <w:rFonts w:ascii="Times New Roman" w:hAnsi="Times New Roman" w:cs="Times New Roman"/>
          <w:sz w:val="24"/>
          <w:szCs w:val="24"/>
        </w:rPr>
        <w:tab/>
      </w:r>
      <w:r w:rsidRPr="00B90D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0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Ingrida Zavistauskaitė</w:t>
      </w:r>
    </w:p>
    <w:p w:rsidR="00955387" w:rsidRPr="00B90D80" w:rsidRDefault="00955387" w:rsidP="00FA0EF2">
      <w:pPr>
        <w:pStyle w:val="prastasis1"/>
        <w:tabs>
          <w:tab w:val="left" w:pos="74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5387" w:rsidRPr="009A148B" w:rsidRDefault="00955387" w:rsidP="008D0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8B">
        <w:rPr>
          <w:rFonts w:ascii="Times New Roman" w:hAnsi="Times New Roman"/>
          <w:sz w:val="24"/>
          <w:szCs w:val="24"/>
        </w:rPr>
        <w:t>Dokumentų valdymo ir teisės skyriaus vyriausioji specialistė</w:t>
      </w:r>
    </w:p>
    <w:p w:rsidR="00955387" w:rsidRPr="009A148B" w:rsidRDefault="00955387" w:rsidP="008D0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8B">
        <w:rPr>
          <w:rFonts w:ascii="Times New Roman" w:hAnsi="Times New Roman"/>
          <w:sz w:val="24"/>
          <w:szCs w:val="24"/>
        </w:rPr>
        <w:t>(kalbos ir archyvo tvarkytoja)</w:t>
      </w:r>
      <w:r w:rsidRPr="009A14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A148B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A148B">
        <w:rPr>
          <w:rFonts w:ascii="Times New Roman" w:hAnsi="Times New Roman"/>
          <w:sz w:val="24"/>
          <w:szCs w:val="24"/>
        </w:rPr>
        <w:t>Laimutė Mickevičienė</w:t>
      </w:r>
    </w:p>
    <w:p w:rsidR="00955387" w:rsidRDefault="00955387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87" w:rsidRDefault="00955387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387" w:rsidRPr="00B90D80" w:rsidRDefault="00955387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Parengė </w:t>
      </w:r>
    </w:p>
    <w:p w:rsidR="00955387" w:rsidRPr="00B90D80" w:rsidRDefault="00955387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t xml:space="preserve">Bronislovas Budvytis, </w:t>
      </w:r>
    </w:p>
    <w:p w:rsidR="00955387" w:rsidRPr="00B90D80" w:rsidRDefault="00955387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Strateginio planavimo ir investicijų</w:t>
      </w:r>
      <w:r w:rsidRPr="00B90D80">
        <w:rPr>
          <w:rFonts w:ascii="Times New Roman" w:hAnsi="Times New Roman" w:cs="Times New Roman"/>
          <w:sz w:val="24"/>
          <w:szCs w:val="24"/>
        </w:rPr>
        <w:t xml:space="preserve"> skyriaus vedėjas </w:t>
      </w:r>
    </w:p>
    <w:p w:rsidR="00955387" w:rsidRDefault="00955387">
      <w:pPr>
        <w:pStyle w:val="prastasis1"/>
        <w:spacing w:after="0" w:line="240" w:lineRule="auto"/>
        <w:ind w:left="579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80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Pagėgių savivaldybės tarybos</w:t>
      </w:r>
    </w:p>
    <w:p w:rsidR="00955387" w:rsidRDefault="00955387">
      <w:pPr>
        <w:pStyle w:val="prastasis1"/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955387" w:rsidRDefault="00955387">
      <w:pPr>
        <w:pStyle w:val="prastasis1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955387" w:rsidRDefault="00955387" w:rsidP="008D0946">
      <w:pPr>
        <w:pStyle w:val="prastasis1"/>
        <w:spacing w:line="240" w:lineRule="auto"/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5387" w:rsidRDefault="00955387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PAGĖGIŲ SAVIVALDYBĖS TARYBOS SPRENDIMO PROJEKTO „DĖL PAGĖGIŲ SAVIVALDYBĖS NUOSAVYBĖS TEISĖS Į INŽINERINIUS STATINIUS ĮREGISTRAVIMO VALSTYBĖS ĮMONĖS REGISTRŲ CENTRO NEKILNOJAMOJO TURTO REGISTRE</w:t>
      </w:r>
      <w:r>
        <w:rPr>
          <w:rFonts w:ascii="Times New Roman" w:hAnsi="Times New Roman" w:cs="Times New Roman"/>
          <w:b/>
          <w:smallCaps/>
          <w:sz w:val="24"/>
          <w:szCs w:val="24"/>
        </w:rPr>
        <w:t>“</w:t>
      </w:r>
    </w:p>
    <w:p w:rsidR="00955387" w:rsidRDefault="00955387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55387" w:rsidRDefault="00955387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AIŠKINAMASIS RAŠTAS</w:t>
      </w:r>
    </w:p>
    <w:p w:rsidR="00955387" w:rsidRDefault="00955387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22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42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442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955387" w:rsidRDefault="00955387" w:rsidP="008D0946">
      <w:pPr>
        <w:pStyle w:val="prastasis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5387" w:rsidRDefault="00955387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 Parengto projekto tikslai ir uždaviniai: </w:t>
      </w:r>
      <w:r>
        <w:rPr>
          <w:rFonts w:ascii="Times New Roman" w:hAnsi="Times New Roman" w:cs="Times New Roman"/>
          <w:sz w:val="24"/>
          <w:szCs w:val="24"/>
        </w:rPr>
        <w:t xml:space="preserve">Registruoti Nekilnojamojo turto registre turto savininkui nuosavybės teisę į inžinerinius statinius </w:t>
      </w:r>
      <w:r w:rsidRPr="00D513F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pėsčiųjų takus, esančius  valstybinės reikšmės krašto kelio Nr. 141 Kaunas-Jurbarkas-Šilutė-Klaipėda (toliau – Kelias Nr. 141) žemės sklypo ribose. </w:t>
      </w:r>
    </w:p>
    <w:p w:rsidR="00955387" w:rsidRDefault="00955387" w:rsidP="00885E45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Vadovaujantis Lietuvos Respublikos vietos savivaldos įstatymo 6 straipsnio 32 punktu, 16 straipsnio 2 dalies 26 punktu, Lietuvos Respublikos kelių įstatymo 3 straipsnio 3 dalimi, 4 straipsnio 3 dalimi, inžineriniai  statiniai pagal nuosavybės formą priklauso savivaldybei, tačiau nėra statybos teisėtumą patvirtinančių dokumentų dėl daiktinių teisių įregistravimo. </w:t>
      </w:r>
      <w:r w:rsidRPr="00F016C2">
        <w:rPr>
          <w:rFonts w:ascii="Times New Roman" w:hAnsi="Times New Roman" w:cs="Times New Roman"/>
          <w:sz w:val="24"/>
          <w:szCs w:val="24"/>
        </w:rPr>
        <w:t xml:space="preserve">Gautas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016C2">
        <w:rPr>
          <w:rFonts w:ascii="Times New Roman" w:hAnsi="Times New Roman" w:cs="Times New Roman"/>
          <w:sz w:val="24"/>
          <w:szCs w:val="24"/>
        </w:rPr>
        <w:t>alstybės įmonės Lietuvos automobilių kelių direkcijos sutikimas dėl pėsčiųjų takų (šaligatvių), esančių Kelio Nr. 141 žemės sklypo ribose, įregistravimo Pagėgių savivaldybės nuosavybės teise Nekilnojamojo turto registre.</w:t>
      </w:r>
    </w:p>
    <w:p w:rsidR="00955387" w:rsidRDefault="00955387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 Inžineriniai statiniai – pėsčiųjų takai, esantys Kelio Nr. 141 žemės sklypo ribose, Nekilnojamojo turto registre bus įregistruoti Pagėgių savivaldybei nuosavybės teise.</w:t>
      </w:r>
    </w:p>
    <w:p w:rsidR="00955387" w:rsidRDefault="00955387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955387" w:rsidRDefault="00955387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Kokius galiojančius aktus (tarybos, mero, savivaldybės administracijos direktoriaus) reikėtų pakeisti ir panaikinti, priėmus sprendimą pagal teikiamą projektą: </w:t>
      </w:r>
      <w:r>
        <w:rPr>
          <w:rFonts w:ascii="Times New Roman" w:hAnsi="Times New Roman" w:cs="Times New Roman"/>
          <w:sz w:val="24"/>
          <w:szCs w:val="24"/>
        </w:rPr>
        <w:t>Nereikės keisti ar naikinti kitų galiojančių aktų, priėmus sprendimą pagal teikiamą projektą.</w:t>
      </w:r>
    </w:p>
    <w:p w:rsidR="00955387" w:rsidRDefault="00955387" w:rsidP="008D0946">
      <w:pPr>
        <w:pStyle w:val="prastasis1"/>
        <w:widowControl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6. Jeigu priimtam sprendimui reikės kito tarybos sprendimo, mero potvarkio ar administracijos direktoriaus įsakymo, kas ir kada juos turėtų parengti:  </w:t>
      </w:r>
      <w:r>
        <w:rPr>
          <w:rFonts w:ascii="Times New Roman" w:hAnsi="Times New Roman" w:cs="Times New Roman"/>
          <w:sz w:val="24"/>
          <w:szCs w:val="24"/>
        </w:rPr>
        <w:t>Ne.</w:t>
      </w:r>
    </w:p>
    <w:p w:rsidR="00955387" w:rsidRDefault="00955387" w:rsidP="008D0946">
      <w:pPr>
        <w:pStyle w:val="prastasis1"/>
        <w:widowControl w:val="0"/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 Ar reikalinga atlikti sprendimo projekto antikorupcinį vertinimą: </w:t>
      </w:r>
      <w:r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55387" w:rsidRDefault="00955387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>
        <w:rPr>
          <w:rFonts w:ascii="Times New Roman" w:hAnsi="Times New Roman" w:cs="Times New Roman"/>
          <w:sz w:val="24"/>
          <w:szCs w:val="24"/>
        </w:rPr>
        <w:t xml:space="preserve"> Nereikalinga.</w:t>
      </w:r>
    </w:p>
    <w:p w:rsidR="00955387" w:rsidRDefault="00955387" w:rsidP="008D0946">
      <w:pPr>
        <w:pStyle w:val="prastasis1"/>
        <w:widowControl w:val="0"/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4422A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egauta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955387" w:rsidRDefault="00955387" w:rsidP="008D0946">
      <w:pPr>
        <w:pStyle w:val="prastasis1"/>
        <w:tabs>
          <w:tab w:val="left" w:pos="284"/>
          <w:tab w:val="left" w:pos="42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10. Projekto rengėjas ar rengėjų grupė </w:t>
      </w:r>
      <w:r>
        <w:rPr>
          <w:rFonts w:ascii="Times New Roman" w:hAnsi="Times New Roman" w:cs="Times New Roman"/>
          <w:sz w:val="24"/>
          <w:szCs w:val="24"/>
        </w:rPr>
        <w:t>Strateginio planavimo ir investicijų skyriaus vedėjas</w:t>
      </w:r>
      <w:r>
        <w:rPr>
          <w:rFonts w:ascii="Times New Roman" w:hAnsi="Times New Roman" w:cs="Times New Roman"/>
          <w:sz w:val="24"/>
          <w:szCs w:val="24"/>
        </w:rPr>
        <w:tab/>
        <w:t xml:space="preserve"> Bronislovas Budvytis.</w:t>
      </w:r>
    </w:p>
    <w:p w:rsidR="00955387" w:rsidRDefault="00955387" w:rsidP="008D0946">
      <w:pPr>
        <w:pStyle w:val="prastasis1"/>
        <w:spacing w:after="0" w:line="240" w:lineRule="auto"/>
        <w:ind w:firstLine="90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11. Kiti, rengėjo nuomone,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>Nėra.</w:t>
      </w:r>
    </w:p>
    <w:p w:rsidR="00955387" w:rsidRDefault="00955387" w:rsidP="008D0946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387" w:rsidRDefault="00955387" w:rsidP="008D0946">
      <w:pPr>
        <w:pStyle w:val="prastasis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387" w:rsidRDefault="00955387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Strateginio planavimo ir investicijų skyriaus vedėjas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Bronislovas Budvytis     </w:t>
      </w:r>
    </w:p>
    <w:p w:rsidR="00955387" w:rsidRDefault="00955387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0227A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Paveikslėlis 3" o:spid="_x0000_i1026" type="#_x0000_t75" style="width:447.9pt;height:629.6pt;visibility:visible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55387" w:rsidRPr="006E4858" w:rsidRDefault="00955387" w:rsidP="008D0946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0227A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Paveikslėlis 4" o:spid="_x0000_i1027" type="#_x0000_t75" style="width:476.35pt;height:694.05pt;visibility:visible">
            <v:imagedata r:id="rId8" o:title=""/>
          </v:shape>
        </w:pict>
      </w:r>
    </w:p>
    <w:sectPr w:rsidR="00955387" w:rsidRPr="006E4858" w:rsidSect="00DC27D4">
      <w:pgSz w:w="11906" w:h="16838"/>
      <w:pgMar w:top="993" w:right="680" w:bottom="1134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6AD"/>
    <w:rsid w:val="00000DED"/>
    <w:rsid w:val="00063540"/>
    <w:rsid w:val="00064CA9"/>
    <w:rsid w:val="00065CF2"/>
    <w:rsid w:val="000857B3"/>
    <w:rsid w:val="000A3A6E"/>
    <w:rsid w:val="000D00D3"/>
    <w:rsid w:val="000D1A34"/>
    <w:rsid w:val="000F288F"/>
    <w:rsid w:val="000F758F"/>
    <w:rsid w:val="00111372"/>
    <w:rsid w:val="00111A0E"/>
    <w:rsid w:val="001370AC"/>
    <w:rsid w:val="00160E0B"/>
    <w:rsid w:val="001666AD"/>
    <w:rsid w:val="001A0072"/>
    <w:rsid w:val="001A2DB9"/>
    <w:rsid w:val="001E03D0"/>
    <w:rsid w:val="001E4E00"/>
    <w:rsid w:val="001F065F"/>
    <w:rsid w:val="001F611A"/>
    <w:rsid w:val="001F6F58"/>
    <w:rsid w:val="00201D2F"/>
    <w:rsid w:val="00205357"/>
    <w:rsid w:val="0023789C"/>
    <w:rsid w:val="002410ED"/>
    <w:rsid w:val="0026511F"/>
    <w:rsid w:val="0029036F"/>
    <w:rsid w:val="00290B11"/>
    <w:rsid w:val="0029463B"/>
    <w:rsid w:val="002A0FF5"/>
    <w:rsid w:val="002A138D"/>
    <w:rsid w:val="002B3E3C"/>
    <w:rsid w:val="002D2603"/>
    <w:rsid w:val="002D33AE"/>
    <w:rsid w:val="002F10F0"/>
    <w:rsid w:val="002F76EC"/>
    <w:rsid w:val="0031011B"/>
    <w:rsid w:val="00311A48"/>
    <w:rsid w:val="00314F3E"/>
    <w:rsid w:val="00330292"/>
    <w:rsid w:val="00332802"/>
    <w:rsid w:val="0035565E"/>
    <w:rsid w:val="00360079"/>
    <w:rsid w:val="003663C0"/>
    <w:rsid w:val="00373371"/>
    <w:rsid w:val="00374B6F"/>
    <w:rsid w:val="0038610B"/>
    <w:rsid w:val="00394CB1"/>
    <w:rsid w:val="003B77AA"/>
    <w:rsid w:val="003C385B"/>
    <w:rsid w:val="003D1CD9"/>
    <w:rsid w:val="003E2ABE"/>
    <w:rsid w:val="00403912"/>
    <w:rsid w:val="00413390"/>
    <w:rsid w:val="00417CFB"/>
    <w:rsid w:val="00422EDF"/>
    <w:rsid w:val="00434095"/>
    <w:rsid w:val="00456F65"/>
    <w:rsid w:val="00472EB1"/>
    <w:rsid w:val="004833BC"/>
    <w:rsid w:val="004B0FBA"/>
    <w:rsid w:val="004B3B33"/>
    <w:rsid w:val="004E08D4"/>
    <w:rsid w:val="004E22C8"/>
    <w:rsid w:val="005222C4"/>
    <w:rsid w:val="00543880"/>
    <w:rsid w:val="005511FE"/>
    <w:rsid w:val="00562E9A"/>
    <w:rsid w:val="0057039F"/>
    <w:rsid w:val="00571B1F"/>
    <w:rsid w:val="00581922"/>
    <w:rsid w:val="005A2EDB"/>
    <w:rsid w:val="005C1094"/>
    <w:rsid w:val="005C30FF"/>
    <w:rsid w:val="005D029E"/>
    <w:rsid w:val="005D4A61"/>
    <w:rsid w:val="005D4E6E"/>
    <w:rsid w:val="005E2142"/>
    <w:rsid w:val="005E296D"/>
    <w:rsid w:val="005F4CC8"/>
    <w:rsid w:val="006271F7"/>
    <w:rsid w:val="00632163"/>
    <w:rsid w:val="0064422A"/>
    <w:rsid w:val="00651C7B"/>
    <w:rsid w:val="00652609"/>
    <w:rsid w:val="00664F9E"/>
    <w:rsid w:val="00677F3E"/>
    <w:rsid w:val="006A6CB0"/>
    <w:rsid w:val="006B289C"/>
    <w:rsid w:val="006C38AA"/>
    <w:rsid w:val="006D0355"/>
    <w:rsid w:val="006D4AF5"/>
    <w:rsid w:val="006E24FC"/>
    <w:rsid w:val="006E4858"/>
    <w:rsid w:val="006F23B9"/>
    <w:rsid w:val="00700C8E"/>
    <w:rsid w:val="0070281C"/>
    <w:rsid w:val="00733EB4"/>
    <w:rsid w:val="007875BF"/>
    <w:rsid w:val="0079686A"/>
    <w:rsid w:val="007A32F9"/>
    <w:rsid w:val="007A511C"/>
    <w:rsid w:val="007B17B5"/>
    <w:rsid w:val="007F3AD0"/>
    <w:rsid w:val="008033EC"/>
    <w:rsid w:val="0081152A"/>
    <w:rsid w:val="00827A54"/>
    <w:rsid w:val="00830365"/>
    <w:rsid w:val="0083620A"/>
    <w:rsid w:val="00844444"/>
    <w:rsid w:val="008509EB"/>
    <w:rsid w:val="00853B39"/>
    <w:rsid w:val="0088000A"/>
    <w:rsid w:val="008828C9"/>
    <w:rsid w:val="00885E45"/>
    <w:rsid w:val="008A757A"/>
    <w:rsid w:val="008B418F"/>
    <w:rsid w:val="008B6B6B"/>
    <w:rsid w:val="008C52ED"/>
    <w:rsid w:val="008D0946"/>
    <w:rsid w:val="008D0972"/>
    <w:rsid w:val="008E756B"/>
    <w:rsid w:val="00921C31"/>
    <w:rsid w:val="00924687"/>
    <w:rsid w:val="00932219"/>
    <w:rsid w:val="00942741"/>
    <w:rsid w:val="009456DC"/>
    <w:rsid w:val="00945870"/>
    <w:rsid w:val="00946F84"/>
    <w:rsid w:val="00955387"/>
    <w:rsid w:val="00971AB9"/>
    <w:rsid w:val="009808A8"/>
    <w:rsid w:val="0099114A"/>
    <w:rsid w:val="009911DD"/>
    <w:rsid w:val="009A148B"/>
    <w:rsid w:val="009A181F"/>
    <w:rsid w:val="009A4753"/>
    <w:rsid w:val="009C5615"/>
    <w:rsid w:val="009C7810"/>
    <w:rsid w:val="009F606E"/>
    <w:rsid w:val="00A14C49"/>
    <w:rsid w:val="00A4308C"/>
    <w:rsid w:val="00A43B85"/>
    <w:rsid w:val="00A4726C"/>
    <w:rsid w:val="00A55430"/>
    <w:rsid w:val="00A6653B"/>
    <w:rsid w:val="00A86DBB"/>
    <w:rsid w:val="00AE3B36"/>
    <w:rsid w:val="00AF2556"/>
    <w:rsid w:val="00AF57EA"/>
    <w:rsid w:val="00B34903"/>
    <w:rsid w:val="00B42714"/>
    <w:rsid w:val="00B62C53"/>
    <w:rsid w:val="00B717E8"/>
    <w:rsid w:val="00B76476"/>
    <w:rsid w:val="00B90D80"/>
    <w:rsid w:val="00B97BCC"/>
    <w:rsid w:val="00BB4209"/>
    <w:rsid w:val="00BB6FEA"/>
    <w:rsid w:val="00BD0513"/>
    <w:rsid w:val="00BD6D36"/>
    <w:rsid w:val="00C01946"/>
    <w:rsid w:val="00C044B0"/>
    <w:rsid w:val="00C402A2"/>
    <w:rsid w:val="00C42102"/>
    <w:rsid w:val="00C456D4"/>
    <w:rsid w:val="00C64723"/>
    <w:rsid w:val="00C83228"/>
    <w:rsid w:val="00CC30DB"/>
    <w:rsid w:val="00CC3C06"/>
    <w:rsid w:val="00CD35D0"/>
    <w:rsid w:val="00CD3D6A"/>
    <w:rsid w:val="00CD43B1"/>
    <w:rsid w:val="00CE6BF1"/>
    <w:rsid w:val="00D07280"/>
    <w:rsid w:val="00D07E4D"/>
    <w:rsid w:val="00D34675"/>
    <w:rsid w:val="00D510BE"/>
    <w:rsid w:val="00D513F6"/>
    <w:rsid w:val="00D819BD"/>
    <w:rsid w:val="00DA4E4E"/>
    <w:rsid w:val="00DA5D0F"/>
    <w:rsid w:val="00DB372B"/>
    <w:rsid w:val="00DC27D4"/>
    <w:rsid w:val="00DE08F1"/>
    <w:rsid w:val="00DE6DD5"/>
    <w:rsid w:val="00E002F2"/>
    <w:rsid w:val="00E506A6"/>
    <w:rsid w:val="00E7628F"/>
    <w:rsid w:val="00E84F34"/>
    <w:rsid w:val="00E84F48"/>
    <w:rsid w:val="00E90C90"/>
    <w:rsid w:val="00E97A9F"/>
    <w:rsid w:val="00EC3C4B"/>
    <w:rsid w:val="00ED5707"/>
    <w:rsid w:val="00EE3A4D"/>
    <w:rsid w:val="00EF6F88"/>
    <w:rsid w:val="00F016C2"/>
    <w:rsid w:val="00F0227A"/>
    <w:rsid w:val="00F07969"/>
    <w:rsid w:val="00F15163"/>
    <w:rsid w:val="00F16F70"/>
    <w:rsid w:val="00F2036B"/>
    <w:rsid w:val="00F218DA"/>
    <w:rsid w:val="00F21AB2"/>
    <w:rsid w:val="00F533F9"/>
    <w:rsid w:val="00F5511D"/>
    <w:rsid w:val="00F62BA2"/>
    <w:rsid w:val="00F639BB"/>
    <w:rsid w:val="00F757E7"/>
    <w:rsid w:val="00F84A69"/>
    <w:rsid w:val="00F913B8"/>
    <w:rsid w:val="00FA0EF2"/>
    <w:rsid w:val="00FB267C"/>
    <w:rsid w:val="00FB3F9F"/>
    <w:rsid w:val="00FC0431"/>
    <w:rsid w:val="00FC219B"/>
    <w:rsid w:val="00FC5759"/>
    <w:rsid w:val="00FD3052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prastasis1"/>
    <w:next w:val="prastasis1"/>
    <w:link w:val="Heading1Char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prastasis1"/>
    <w:next w:val="prastasis1"/>
    <w:link w:val="Heading2Char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Heading3">
    <w:name w:val="heading 3"/>
    <w:basedOn w:val="prastasis1"/>
    <w:next w:val="prastasis1"/>
    <w:link w:val="Heading3Char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link w:val="Heading4Char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link w:val="Heading5Char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link w:val="Heading6Char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75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75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F757E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F757E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F757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F757E7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prastasis1"/>
    <w:next w:val="prastasis1"/>
    <w:link w:val="TitleChar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F757E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prastasis1"/>
    <w:next w:val="prastasis1"/>
    <w:link w:val="SubtitleChar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F757E7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3199</Words>
  <Characters>1824</Characters>
  <Application>Microsoft Office Word</Application>
  <DocSecurity>0</DocSecurity>
  <Lines>15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19</cp:revision>
  <cp:lastPrinted>2021-12-06T12:28:00Z</cp:lastPrinted>
  <dcterms:created xsi:type="dcterms:W3CDTF">2022-08-11T11:36:00Z</dcterms:created>
  <dcterms:modified xsi:type="dcterms:W3CDTF">2022-08-15T13:39:00Z</dcterms:modified>
</cp:coreProperties>
</file>