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Dėl Molėtų </w:t>
      </w:r>
      <w:r w:rsidR="00D46F60">
        <w:rPr>
          <w:lang w:val="lt-LT"/>
        </w:rPr>
        <w:t>rajono savivaldybės tarybos 2017 m. vasario 23 d. sprendimo Nr. B1-1</w:t>
      </w:r>
      <w:r>
        <w:rPr>
          <w:lang w:val="lt-LT"/>
        </w:rPr>
        <w:t xml:space="preserve"> „Dėl</w:t>
      </w:r>
      <w:r w:rsidR="00D46F60">
        <w:rPr>
          <w:lang w:val="lt-LT"/>
        </w:rPr>
        <w:t xml:space="preserve"> Molėtų rajono savivaldybės 2017</w:t>
      </w:r>
      <w:r>
        <w:rPr>
          <w:lang w:val="lt-LT"/>
        </w:rPr>
        <w:t xml:space="preserve"> metų biudžeto patvirtinimo“ pakeitimo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34CA1" w:rsidRPr="00C44200" w:rsidRDefault="00834CA1" w:rsidP="003915E1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44200">
        <w:rPr>
          <w:b/>
          <w:lang w:val="lt-LT"/>
        </w:rPr>
        <w:t>P</w:t>
      </w:r>
      <w:r w:rsidRPr="00C44200">
        <w:rPr>
          <w:b/>
          <w:lang w:val="pt-BR"/>
        </w:rPr>
        <w:t>arengto tarybos sprendimo projekto tikslai ir uždaviniai</w:t>
      </w:r>
      <w:r w:rsidRPr="00C44200">
        <w:rPr>
          <w:b/>
          <w:lang w:val="lt-LT"/>
        </w:rPr>
        <w:t xml:space="preserve"> </w:t>
      </w:r>
    </w:p>
    <w:p w:rsidR="00C44200" w:rsidRDefault="00766FCA" w:rsidP="008E379A">
      <w:pPr>
        <w:tabs>
          <w:tab w:val="left" w:pos="720"/>
          <w:tab w:val="num" w:pos="3960"/>
        </w:tabs>
        <w:spacing w:line="360" w:lineRule="auto"/>
        <w:ind w:left="-142"/>
        <w:rPr>
          <w:lang w:val="lt-LT"/>
        </w:rPr>
      </w:pPr>
      <w:r>
        <w:rPr>
          <w:lang w:val="lt-LT"/>
        </w:rPr>
        <w:tab/>
      </w:r>
      <w:r w:rsidR="003915E1" w:rsidRPr="00C44200">
        <w:rPr>
          <w:lang w:val="lt-LT"/>
        </w:rPr>
        <w:t>Parengtas Savivaldybės tarybos sprendimo projektas, kuriuo keičiamas  Molėtų rajono</w:t>
      </w:r>
      <w:r w:rsidR="008E379A">
        <w:rPr>
          <w:lang w:val="lt-LT"/>
        </w:rPr>
        <w:t xml:space="preserve"> s</w:t>
      </w:r>
      <w:r w:rsidR="00D46F60">
        <w:rPr>
          <w:lang w:val="lt-LT"/>
        </w:rPr>
        <w:t>avivaldybės tarybos 2017 m. vasario 23 d. sprendimu Nr. B1-1</w:t>
      </w:r>
      <w:r w:rsidR="003915E1" w:rsidRPr="00C44200">
        <w:rPr>
          <w:lang w:val="lt-LT"/>
        </w:rPr>
        <w:t xml:space="preserve"> ,,Dėl</w:t>
      </w:r>
      <w:r w:rsidR="00D46F60">
        <w:rPr>
          <w:lang w:val="lt-LT"/>
        </w:rPr>
        <w:t xml:space="preserve"> Molėtų rajono savivaldybės </w:t>
      </w:r>
      <w:r w:rsidR="008E379A">
        <w:rPr>
          <w:lang w:val="lt-LT"/>
        </w:rPr>
        <w:t>2</w:t>
      </w:r>
      <w:r w:rsidR="00D46F60">
        <w:rPr>
          <w:lang w:val="lt-LT"/>
        </w:rPr>
        <w:t>017</w:t>
      </w:r>
      <w:r w:rsidR="003915E1" w:rsidRPr="00C44200">
        <w:rPr>
          <w:lang w:val="lt-LT"/>
        </w:rPr>
        <w:t xml:space="preserve"> metų biudž</w:t>
      </w:r>
      <w:r w:rsidR="009A203E">
        <w:rPr>
          <w:lang w:val="lt-LT"/>
        </w:rPr>
        <w:t>eto patvirtinimo</w:t>
      </w:r>
      <w:r>
        <w:rPr>
          <w:lang w:val="lt-LT"/>
        </w:rPr>
        <w:t>“</w:t>
      </w:r>
      <w:r w:rsidR="009A203E">
        <w:rPr>
          <w:lang w:val="lt-LT"/>
        </w:rPr>
        <w:t xml:space="preserve"> patvirtintas </w:t>
      </w:r>
      <w:r w:rsidR="00D46F60">
        <w:rPr>
          <w:lang w:val="lt-LT"/>
        </w:rPr>
        <w:t xml:space="preserve"> 2017</w:t>
      </w:r>
      <w:r w:rsidR="003915E1" w:rsidRPr="00C44200">
        <w:rPr>
          <w:lang w:val="lt-LT"/>
        </w:rPr>
        <w:t xml:space="preserve"> metų rajono savivaldybės biudžetas.</w:t>
      </w:r>
    </w:p>
    <w:p w:rsidR="003915E1" w:rsidRDefault="003915E1" w:rsidP="00766FCA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C44200">
        <w:rPr>
          <w:lang w:val="lt-LT"/>
        </w:rPr>
        <w:t>Didinamos sav</w:t>
      </w:r>
      <w:r w:rsidR="00D46F60">
        <w:rPr>
          <w:lang w:val="lt-LT"/>
        </w:rPr>
        <w:t>ivaldybės biudžeto pajamos 1277,0</w:t>
      </w:r>
      <w:r w:rsidRPr="00C44200">
        <w:rPr>
          <w:lang w:val="lt-LT"/>
        </w:rPr>
        <w:t xml:space="preserve"> tūkst. </w:t>
      </w:r>
      <w:proofErr w:type="spellStart"/>
      <w:r w:rsidRPr="00C44200">
        <w:rPr>
          <w:lang w:val="lt-LT"/>
        </w:rPr>
        <w:t>Eur</w:t>
      </w:r>
      <w:proofErr w:type="spellEnd"/>
      <w:r w:rsidRPr="00C44200">
        <w:rPr>
          <w:lang w:val="lt-LT"/>
        </w:rPr>
        <w:t>:</w:t>
      </w:r>
    </w:p>
    <w:p w:rsidR="00766FCA" w:rsidRDefault="00766FCA" w:rsidP="00766FC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46F60">
        <w:rPr>
          <w:lang w:val="lt-LT"/>
        </w:rPr>
        <w:t>1.1. 301,0</w:t>
      </w:r>
      <w:r w:rsidRPr="00766FCA">
        <w:rPr>
          <w:lang w:val="lt-LT"/>
        </w:rPr>
        <w:t xml:space="preserve"> tūkst. </w:t>
      </w:r>
      <w:proofErr w:type="spellStart"/>
      <w:r w:rsidRPr="00766FCA">
        <w:rPr>
          <w:lang w:val="lt-LT"/>
        </w:rPr>
        <w:t>Eur</w:t>
      </w:r>
      <w:proofErr w:type="spellEnd"/>
      <w:r w:rsidRPr="00766FCA">
        <w:rPr>
          <w:lang w:val="lt-LT"/>
        </w:rPr>
        <w:t xml:space="preserve"> – </w:t>
      </w:r>
      <w:r w:rsidR="00D46F60">
        <w:rPr>
          <w:lang w:val="lt-LT"/>
        </w:rPr>
        <w:t xml:space="preserve">Europos Sąjungos finansinės paramos </w:t>
      </w:r>
      <w:r w:rsidR="001C137A">
        <w:rPr>
          <w:lang w:val="lt-LT"/>
        </w:rPr>
        <w:t xml:space="preserve">lėšomis dviejų  investicinių projektų finansavimui: 147,0 tūkst. </w:t>
      </w:r>
      <w:proofErr w:type="spellStart"/>
      <w:r w:rsidR="001C137A">
        <w:rPr>
          <w:lang w:val="lt-LT"/>
        </w:rPr>
        <w:t>Eur</w:t>
      </w:r>
      <w:proofErr w:type="spellEnd"/>
      <w:r w:rsidR="001C137A">
        <w:rPr>
          <w:lang w:val="lt-LT"/>
        </w:rPr>
        <w:t xml:space="preserve">  projektui ,,Molėtų miesto </w:t>
      </w:r>
      <w:proofErr w:type="spellStart"/>
      <w:r w:rsidR="001C137A">
        <w:rPr>
          <w:lang w:val="lt-LT"/>
        </w:rPr>
        <w:t>Ažuolų</w:t>
      </w:r>
      <w:proofErr w:type="spellEnd"/>
      <w:r w:rsidR="001C137A">
        <w:rPr>
          <w:lang w:val="lt-LT"/>
        </w:rPr>
        <w:t xml:space="preserve"> ir Kreivosios gatvių teritorijų išnaudojimas įrengiant universalią daugiafunkcinę aikštę“ ir 154,0 tūkst. </w:t>
      </w:r>
      <w:proofErr w:type="spellStart"/>
      <w:r w:rsidR="001C137A">
        <w:rPr>
          <w:lang w:val="lt-LT"/>
        </w:rPr>
        <w:t>Eur</w:t>
      </w:r>
      <w:proofErr w:type="spellEnd"/>
      <w:r w:rsidR="001C137A">
        <w:rPr>
          <w:lang w:val="lt-LT"/>
        </w:rPr>
        <w:t xml:space="preserve"> projektui ,,Molėtų miesto laisvalaikio ir pramogų infras</w:t>
      </w:r>
      <w:r w:rsidR="00FD1C70">
        <w:rPr>
          <w:lang w:val="lt-LT"/>
        </w:rPr>
        <w:t>truktūros atnaujinimas ir plėtra</w:t>
      </w:r>
      <w:r w:rsidR="001C137A">
        <w:rPr>
          <w:lang w:val="lt-LT"/>
        </w:rPr>
        <w:t xml:space="preserve"> Labanoro g. 1B, Molėtai“</w:t>
      </w:r>
      <w:r w:rsidR="00FD1C70">
        <w:rPr>
          <w:lang w:val="lt-LT"/>
        </w:rPr>
        <w:t xml:space="preserve"> finansuoti;</w:t>
      </w:r>
    </w:p>
    <w:p w:rsidR="001C137A" w:rsidRDefault="001C137A" w:rsidP="00766FC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1.2. </w:t>
      </w:r>
      <w:r w:rsidR="00FD1C70">
        <w:rPr>
          <w:lang w:val="lt-LT"/>
        </w:rPr>
        <w:t xml:space="preserve">86,9 tūkst. </w:t>
      </w:r>
      <w:proofErr w:type="spellStart"/>
      <w:r w:rsidR="00FD1C70">
        <w:rPr>
          <w:lang w:val="lt-LT"/>
        </w:rPr>
        <w:t>Eur</w:t>
      </w:r>
      <w:proofErr w:type="spellEnd"/>
      <w:r w:rsidR="00FD1C70">
        <w:rPr>
          <w:lang w:val="lt-LT"/>
        </w:rPr>
        <w:t xml:space="preserve"> valstybės biudžeto lėšomis, </w:t>
      </w:r>
      <w:proofErr w:type="spellStart"/>
      <w:r w:rsidR="00FD1C70">
        <w:rPr>
          <w:lang w:val="lt-LT"/>
        </w:rPr>
        <w:t>skiromis</w:t>
      </w:r>
      <w:proofErr w:type="spellEnd"/>
      <w:r w:rsidR="00FD1C70">
        <w:rPr>
          <w:lang w:val="lt-LT"/>
        </w:rPr>
        <w:t xml:space="preserve"> pedagoginių darbuotojų darbo apmokėjimo sąlygoms gerinti;</w:t>
      </w:r>
    </w:p>
    <w:p w:rsidR="00FD1C70" w:rsidRPr="00766FCA" w:rsidRDefault="00FD1C70" w:rsidP="00766FC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1.3. 889,1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specialios tikslinės dotacijos iš valstybės biudžeto lėšomis. Skirtomis vietinės reikšmės keliams(gatvėms) tiesti, rekonstruoti, taisyti (remontuoti), prižiūrėti ir saugaus eismo sąlygoms užtikrinti.</w:t>
      </w:r>
    </w:p>
    <w:p w:rsidR="009B0898" w:rsidRDefault="008F42B1" w:rsidP="00FD1C70">
      <w:pPr>
        <w:tabs>
          <w:tab w:val="left" w:pos="720"/>
          <w:tab w:val="num" w:pos="3960"/>
        </w:tabs>
        <w:spacing w:line="360" w:lineRule="auto"/>
      </w:pPr>
      <w:r>
        <w:rPr>
          <w:lang w:val="lt-LT"/>
        </w:rPr>
        <w:tab/>
      </w:r>
      <w:r w:rsidR="00FD1C70">
        <w:t>2</w:t>
      </w:r>
      <w:r w:rsidR="009B0898">
        <w:t>.</w:t>
      </w:r>
      <w:r w:rsidR="009E5ADD">
        <w:t xml:space="preserve"> </w:t>
      </w:r>
      <w:proofErr w:type="spellStart"/>
      <w:r w:rsidR="009B0898">
        <w:t>Didinami</w:t>
      </w:r>
      <w:proofErr w:type="spellEnd"/>
      <w:r w:rsidR="009B0898">
        <w:t xml:space="preserve"> </w:t>
      </w:r>
      <w:proofErr w:type="spellStart"/>
      <w:r w:rsidR="009B0898">
        <w:t>savivaldybės</w:t>
      </w:r>
      <w:proofErr w:type="spellEnd"/>
      <w:r w:rsidR="009B0898">
        <w:t xml:space="preserve"> </w:t>
      </w:r>
      <w:proofErr w:type="spellStart"/>
      <w:r w:rsidR="009B0898">
        <w:t>biudžeto</w:t>
      </w:r>
      <w:proofErr w:type="spellEnd"/>
      <w:r w:rsidR="009B0898">
        <w:t xml:space="preserve"> </w:t>
      </w:r>
      <w:proofErr w:type="spellStart"/>
      <w:r w:rsidR="009B0898">
        <w:t>asignavimai</w:t>
      </w:r>
      <w:proofErr w:type="spellEnd"/>
      <w:r w:rsidR="00FD1C70">
        <w:t xml:space="preserve"> 1277</w:t>
      </w:r>
      <w:proofErr w:type="gramStart"/>
      <w:r w:rsidR="00FD1C70">
        <w:t>,0</w:t>
      </w:r>
      <w:proofErr w:type="gramEnd"/>
      <w:r w:rsidR="00DF3735">
        <w:t xml:space="preserve"> </w:t>
      </w:r>
      <w:proofErr w:type="spellStart"/>
      <w:r w:rsidR="00DF3735">
        <w:t>tūkst</w:t>
      </w:r>
      <w:proofErr w:type="spellEnd"/>
      <w:r w:rsidR="00DF3735">
        <w:t xml:space="preserve">. </w:t>
      </w:r>
      <w:proofErr w:type="spellStart"/>
      <w:r w:rsidR="00DF3735">
        <w:t>Eur</w:t>
      </w:r>
      <w:proofErr w:type="spellEnd"/>
      <w:r w:rsidR="009B0898">
        <w:t>:</w:t>
      </w:r>
    </w:p>
    <w:p w:rsidR="00FD1C70" w:rsidRDefault="00FD1C70" w:rsidP="008E379A">
      <w:pPr>
        <w:tabs>
          <w:tab w:val="left" w:pos="720"/>
          <w:tab w:val="num" w:pos="3960"/>
        </w:tabs>
        <w:spacing w:line="360" w:lineRule="auto"/>
        <w:jc w:val="both"/>
      </w:pPr>
      <w:r>
        <w:tab/>
        <w:t>2.1.86</w:t>
      </w:r>
      <w:proofErr w:type="gramStart"/>
      <w:r>
        <w:t>,9</w:t>
      </w:r>
      <w:proofErr w:type="gramEnd"/>
      <w:r>
        <w:t xml:space="preserve"> </w:t>
      </w:r>
      <w:proofErr w:type="spellStart"/>
      <w:r>
        <w:t>tūkst</w:t>
      </w:r>
      <w:proofErr w:type="spellEnd"/>
      <w:r w:rsidR="00036572">
        <w:t>.</w:t>
      </w:r>
      <w:r>
        <w:t xml:space="preserve"> </w:t>
      </w:r>
      <w:proofErr w:type="spellStart"/>
      <w:r>
        <w:t>Eur</w:t>
      </w:r>
      <w:proofErr w:type="spellEnd"/>
      <w:r w:rsidR="00036572">
        <w:t xml:space="preserve">, </w:t>
      </w:r>
      <w:proofErr w:type="spellStart"/>
      <w:r w:rsidR="00036572">
        <w:t>iš</w:t>
      </w:r>
      <w:proofErr w:type="spellEnd"/>
      <w:r w:rsidR="00036572">
        <w:t xml:space="preserve"> </w:t>
      </w:r>
      <w:proofErr w:type="spellStart"/>
      <w:r w:rsidR="00036572">
        <w:t>jų</w:t>
      </w:r>
      <w:proofErr w:type="spellEnd"/>
      <w:r w:rsidR="00036572">
        <w:t xml:space="preserve"> 66</w:t>
      </w:r>
      <w:proofErr w:type="gramStart"/>
      <w:r w:rsidR="00036572">
        <w:t>,3</w:t>
      </w:r>
      <w:proofErr w:type="gramEnd"/>
      <w:r w:rsidR="00036572">
        <w:t xml:space="preserve"> </w:t>
      </w:r>
      <w:proofErr w:type="spellStart"/>
      <w:r w:rsidR="00036572">
        <w:t>tūkst</w:t>
      </w:r>
      <w:proofErr w:type="spellEnd"/>
      <w:r w:rsidR="00036572">
        <w:t xml:space="preserve">. </w:t>
      </w:r>
      <w:proofErr w:type="spellStart"/>
      <w:r w:rsidR="00036572">
        <w:t>Eur</w:t>
      </w:r>
      <w:proofErr w:type="spellEnd"/>
      <w:r w:rsidR="00036572">
        <w:t xml:space="preserve"> </w:t>
      </w:r>
      <w:proofErr w:type="spellStart"/>
      <w:r w:rsidR="00036572">
        <w:t>darbo</w:t>
      </w:r>
      <w:proofErr w:type="spellEnd"/>
      <w:r w:rsidR="00036572">
        <w:t xml:space="preserve"> </w:t>
      </w:r>
      <w:proofErr w:type="spellStart"/>
      <w:r w:rsidR="00036572">
        <w:t>užmokesčio</w:t>
      </w:r>
      <w:proofErr w:type="spellEnd"/>
      <w:r w:rsidR="00036572">
        <w:t xml:space="preserve"> </w:t>
      </w:r>
      <w:proofErr w:type="spellStart"/>
      <w:proofErr w:type="gramStart"/>
      <w:r w:rsidR="00036572">
        <w:t>lėšos</w:t>
      </w:r>
      <w:proofErr w:type="spellEnd"/>
      <w:r>
        <w:t xml:space="preserve"> </w:t>
      </w:r>
      <w:r w:rsidR="00036572">
        <w:t xml:space="preserve"> </w:t>
      </w:r>
      <w:proofErr w:type="spellStart"/>
      <w:r w:rsidR="00036572">
        <w:t>Ugdymo</w:t>
      </w:r>
      <w:proofErr w:type="spellEnd"/>
      <w:proofErr w:type="gramEnd"/>
      <w:r w:rsidR="00036572">
        <w:t xml:space="preserve"> </w:t>
      </w:r>
      <w:proofErr w:type="spellStart"/>
      <w:r w:rsidR="00036572">
        <w:t>proceso</w:t>
      </w:r>
      <w:proofErr w:type="spellEnd"/>
      <w:r w:rsidR="00036572">
        <w:t xml:space="preserve"> </w:t>
      </w:r>
      <w:proofErr w:type="spellStart"/>
      <w:r w:rsidR="00036572">
        <w:t>užtikrinimo</w:t>
      </w:r>
      <w:proofErr w:type="spellEnd"/>
      <w:r w:rsidR="00036572">
        <w:t xml:space="preserve"> </w:t>
      </w:r>
      <w:proofErr w:type="spellStart"/>
      <w:r w:rsidR="00036572">
        <w:t>programos</w:t>
      </w:r>
      <w:proofErr w:type="spellEnd"/>
      <w:r w:rsidR="00036572">
        <w:t xml:space="preserve"> </w:t>
      </w:r>
      <w:proofErr w:type="spellStart"/>
      <w:r w:rsidR="00036572">
        <w:t>finansavimas</w:t>
      </w:r>
      <w:proofErr w:type="spellEnd"/>
      <w:r w:rsidR="00036572"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 w:rsidR="00036572">
        <w:t>švietimo</w:t>
      </w:r>
      <w:proofErr w:type="spellEnd"/>
      <w:r w:rsidR="00036572">
        <w:t xml:space="preserve"> </w:t>
      </w:r>
      <w:proofErr w:type="spellStart"/>
      <w:r w:rsidR="00036572">
        <w:t>įstaigoms</w:t>
      </w:r>
      <w:proofErr w:type="spellEnd"/>
      <w:r w:rsidR="00036572">
        <w:t>:</w:t>
      </w:r>
      <w:r>
        <w:t xml:space="preserve"> </w:t>
      </w:r>
    </w:p>
    <w:p w:rsidR="00CB3514" w:rsidRDefault="009B0898" w:rsidP="009B089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620"/>
        <w:gridCol w:w="1620"/>
      </w:tblGrid>
      <w:tr w:rsidR="00834CA1" w:rsidTr="00834C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34CA1">
            <w:pPr>
              <w:spacing w:line="254" w:lineRule="auto"/>
            </w:pPr>
            <w: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AF238E">
            <w:pPr>
              <w:spacing w:line="254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Alantos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7,1</w:t>
            </w:r>
          </w:p>
        </w:tc>
      </w:tr>
      <w:tr w:rsidR="00834CA1" w:rsidTr="00834C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E379A">
            <w:pPr>
              <w:spacing w:line="254" w:lineRule="auto"/>
            </w:pPr>
            <w:r>
              <w:t>2</w:t>
            </w:r>
            <w:r w:rsidR="00834CA1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01FF3">
            <w:pPr>
              <w:spacing w:line="254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Giedraičių</w:t>
            </w:r>
            <w:proofErr w:type="spellEnd"/>
            <w:r>
              <w:t xml:space="preserve"> A.</w:t>
            </w:r>
            <w:r w:rsidR="002F6D49">
              <w:t xml:space="preserve"> </w:t>
            </w:r>
            <w:proofErr w:type="spellStart"/>
            <w:r w:rsidR="002F6D49">
              <w:t>Jaroševičiaus</w:t>
            </w:r>
            <w:proofErr w:type="spellEnd"/>
            <w:r w:rsidR="002F6D49">
              <w:t xml:space="preserve"> </w:t>
            </w:r>
            <w:proofErr w:type="spellStart"/>
            <w:r w:rsidR="002F6D49">
              <w:t>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10,2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7,8</w:t>
            </w:r>
          </w:p>
        </w:tc>
      </w:tr>
      <w:tr w:rsidR="00987E2E" w:rsidTr="00834C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E" w:rsidRDefault="008E379A">
            <w:pPr>
              <w:spacing w:line="254" w:lineRule="auto"/>
            </w:pPr>
            <w:r>
              <w:t>3</w:t>
            </w:r>
            <w:r w:rsidR="00987E2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E" w:rsidRDefault="00987E2E">
            <w:pPr>
              <w:spacing w:line="254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E" w:rsidRDefault="00036572">
            <w:pPr>
              <w:spacing w:line="254" w:lineRule="auto"/>
            </w:pPr>
            <w:r>
              <w:t>18,3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E" w:rsidRDefault="00036572">
            <w:pPr>
              <w:spacing w:line="254" w:lineRule="auto"/>
            </w:pPr>
            <w:r>
              <w:t>14,0</w:t>
            </w:r>
          </w:p>
        </w:tc>
      </w:tr>
      <w:tr w:rsidR="00834CA1" w:rsidTr="00834C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E379A">
            <w:pPr>
              <w:spacing w:line="254" w:lineRule="auto"/>
            </w:pPr>
            <w:r>
              <w:t>4</w:t>
            </w:r>
            <w:r w:rsidR="00834CA1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01FF3">
            <w:pPr>
              <w:spacing w:line="254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Inturkės</w:t>
            </w:r>
            <w:proofErr w:type="spellEnd"/>
            <w:r>
              <w:t xml:space="preserve"> </w:t>
            </w:r>
            <w:proofErr w:type="spellStart"/>
            <w:r>
              <w:t>pagrindinė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2,5</w:t>
            </w:r>
          </w:p>
        </w:tc>
      </w:tr>
      <w:tr w:rsidR="00834CA1" w:rsidTr="00834C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E379A">
            <w:pPr>
              <w:spacing w:line="254" w:lineRule="auto"/>
            </w:pPr>
            <w:r>
              <w:t>5</w:t>
            </w:r>
            <w:r w:rsidR="00834CA1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01FF3">
            <w:pPr>
              <w:spacing w:line="254" w:lineRule="auto"/>
            </w:pPr>
            <w:proofErr w:type="spellStart"/>
            <w:r>
              <w:t>Molėtų</w:t>
            </w:r>
            <w:proofErr w:type="spellEnd"/>
            <w:r>
              <w:t xml:space="preserve"> r</w:t>
            </w:r>
            <w:r w:rsidR="009E5ADD">
              <w:t xml:space="preserve">. </w:t>
            </w:r>
            <w:proofErr w:type="spellStart"/>
            <w:r w:rsidR="00834CA1">
              <w:t>Joniškio</w:t>
            </w:r>
            <w:proofErr w:type="spellEnd"/>
            <w:r w:rsidR="00834CA1">
              <w:t xml:space="preserve">  </w:t>
            </w:r>
            <w:proofErr w:type="spellStart"/>
            <w:r w:rsidR="00834CA1">
              <w:t>mokykla-daugiafunkcis</w:t>
            </w:r>
            <w:proofErr w:type="spellEnd"/>
            <w:r w:rsidR="00834CA1">
              <w:t xml:space="preserve"> </w:t>
            </w:r>
            <w:proofErr w:type="spellStart"/>
            <w:r w:rsidR="00834CA1">
              <w:t>centras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3,2</w:t>
            </w:r>
          </w:p>
        </w:tc>
      </w:tr>
      <w:tr w:rsidR="00834CA1" w:rsidTr="00834C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E379A">
            <w:pPr>
              <w:spacing w:line="254" w:lineRule="auto"/>
            </w:pPr>
            <w:r>
              <w:t>6</w:t>
            </w:r>
            <w:r w:rsidR="00834CA1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01FF3">
            <w:pPr>
              <w:spacing w:line="254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Kijėlių</w:t>
            </w:r>
            <w:proofErr w:type="spellEnd"/>
            <w:r>
              <w:t xml:space="preserve"> </w:t>
            </w:r>
            <w:proofErr w:type="spellStart"/>
            <w:r>
              <w:t>specialusis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2,0</w:t>
            </w:r>
          </w:p>
        </w:tc>
      </w:tr>
      <w:tr w:rsidR="00834CA1" w:rsidTr="00834C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E379A">
            <w:pPr>
              <w:spacing w:line="254" w:lineRule="auto"/>
            </w:pPr>
            <w:r>
              <w:t>7</w:t>
            </w:r>
            <w:r w:rsidR="00834CA1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475E1">
            <w:pPr>
              <w:spacing w:line="254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pradinė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10,8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8,2</w:t>
            </w:r>
          </w:p>
        </w:tc>
      </w:tr>
      <w:tr w:rsidR="00834CA1" w:rsidTr="008475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E379A">
            <w:pPr>
              <w:spacing w:line="254" w:lineRule="auto"/>
            </w:pPr>
            <w:r>
              <w:t>8</w:t>
            </w:r>
            <w:r w:rsidR="00834CA1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1" w:rsidRDefault="008475E1">
            <w:pPr>
              <w:spacing w:line="254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progimnazija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13,2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10,1</w:t>
            </w:r>
          </w:p>
        </w:tc>
      </w:tr>
      <w:tr w:rsidR="00834CA1" w:rsidTr="008475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E379A">
            <w:pPr>
              <w:spacing w:line="254" w:lineRule="auto"/>
            </w:pPr>
            <w:r>
              <w:t>9</w:t>
            </w:r>
            <w:r w:rsidR="00834CA1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1" w:rsidRDefault="008475E1">
            <w:pPr>
              <w:spacing w:line="254" w:lineRule="auto"/>
            </w:pPr>
            <w:proofErr w:type="spellStart"/>
            <w:r>
              <w:t>Molėtų</w:t>
            </w:r>
            <w:proofErr w:type="spellEnd"/>
            <w:r>
              <w:t xml:space="preserve"> ,,</w:t>
            </w:r>
            <w:proofErr w:type="spellStart"/>
            <w:r>
              <w:t>Saulutės</w:t>
            </w:r>
            <w:proofErr w:type="spellEnd"/>
            <w:r w:rsidR="009E5ADD">
              <w:t>”</w:t>
            </w:r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lopšelis-darželis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475E1">
            <w:pPr>
              <w:spacing w:line="254" w:lineRule="auto"/>
            </w:pPr>
            <w:r>
              <w:t>3,2</w:t>
            </w:r>
          </w:p>
        </w:tc>
      </w:tr>
      <w:tr w:rsidR="00834CA1" w:rsidTr="00834C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987E2E" w:rsidP="008E379A">
            <w:pPr>
              <w:spacing w:line="254" w:lineRule="auto"/>
            </w:pPr>
            <w:r>
              <w:t>1</w:t>
            </w:r>
            <w:r w:rsidR="008E379A">
              <w:t>0</w:t>
            </w:r>
            <w:r w:rsidR="00834CA1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A21298">
            <w:pPr>
              <w:spacing w:line="254" w:lineRule="auto"/>
            </w:pPr>
            <w:proofErr w:type="spellStart"/>
            <w:r>
              <w:t>Molėtų</w:t>
            </w:r>
            <w:proofErr w:type="spellEnd"/>
            <w:r>
              <w:t xml:space="preserve"> r.</w:t>
            </w:r>
            <w:r w:rsidR="009E5ADD">
              <w:t xml:space="preserve"> </w:t>
            </w:r>
            <w:proofErr w:type="spellStart"/>
            <w:r>
              <w:t>Suginčių</w:t>
            </w:r>
            <w:proofErr w:type="spellEnd"/>
            <w:r>
              <w:t xml:space="preserve"> </w:t>
            </w:r>
            <w:proofErr w:type="spellStart"/>
            <w:r>
              <w:t>pagrindinė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3,5</w:t>
            </w:r>
          </w:p>
        </w:tc>
      </w:tr>
      <w:tr w:rsidR="00834CA1" w:rsidTr="00A21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E379A">
            <w:pPr>
              <w:spacing w:line="254" w:lineRule="auto"/>
            </w:pPr>
            <w:r>
              <w:t>11</w:t>
            </w:r>
            <w:r w:rsidR="00834CA1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1" w:rsidRDefault="00A21298">
            <w:pPr>
              <w:spacing w:line="254" w:lineRule="auto"/>
            </w:pPr>
            <w:proofErr w:type="spellStart"/>
            <w:r>
              <w:t>Molėtų</w:t>
            </w:r>
            <w:proofErr w:type="spellEnd"/>
            <w:r>
              <w:t xml:space="preserve"> ,,</w:t>
            </w:r>
            <w:proofErr w:type="spellStart"/>
            <w:r>
              <w:t>Vyturėlio</w:t>
            </w:r>
            <w:proofErr w:type="spellEnd"/>
            <w:r>
              <w:t xml:space="preserve">“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lopšelis-darželis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036572">
            <w:pPr>
              <w:spacing w:line="254" w:lineRule="auto"/>
            </w:pPr>
            <w:r>
              <w:t>4,7</w:t>
            </w:r>
          </w:p>
        </w:tc>
      </w:tr>
      <w:tr w:rsidR="00834CA1" w:rsidTr="00036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1" w:rsidRDefault="00834CA1">
            <w:pPr>
              <w:spacing w:line="254" w:lineRule="auto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1" w:rsidRDefault="00834CA1">
            <w:pPr>
              <w:spacing w:line="254" w:lineRule="auto"/>
            </w:pPr>
            <w:r>
              <w:t xml:space="preserve">        </w:t>
            </w: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viso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1" w:rsidRDefault="00036572">
            <w:pPr>
              <w:spacing w:line="254" w:lineRule="auto"/>
            </w:pPr>
            <w:r>
              <w:t>86,9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1" w:rsidRDefault="00036572">
            <w:pPr>
              <w:spacing w:line="254" w:lineRule="auto"/>
            </w:pPr>
            <w:r>
              <w:t>66,3</w:t>
            </w:r>
          </w:p>
        </w:tc>
      </w:tr>
    </w:tbl>
    <w:p w:rsidR="00834CA1" w:rsidRDefault="00834CA1" w:rsidP="00834CA1">
      <w:pPr>
        <w:spacing w:line="360" w:lineRule="auto"/>
        <w:ind w:firstLine="680"/>
        <w:jc w:val="both"/>
      </w:pPr>
    </w:p>
    <w:p w:rsidR="009A203E" w:rsidRDefault="00036572" w:rsidP="00834CA1">
      <w:pPr>
        <w:spacing w:line="360" w:lineRule="auto"/>
        <w:ind w:firstLine="680"/>
        <w:jc w:val="both"/>
      </w:pPr>
      <w:r>
        <w:t>2.2. 1190</w:t>
      </w:r>
      <w:proofErr w:type="gramStart"/>
      <w:r>
        <w:t>,1</w:t>
      </w:r>
      <w:proofErr w:type="gramEnd"/>
      <w:r w:rsidR="009A203E">
        <w:t xml:space="preserve"> </w:t>
      </w:r>
      <w:proofErr w:type="spellStart"/>
      <w:r w:rsidR="009A203E">
        <w:t>tūkst</w:t>
      </w:r>
      <w:proofErr w:type="spellEnd"/>
      <w:r w:rsidR="00547E38">
        <w:t>.</w:t>
      </w:r>
      <w:r w:rsidR="009A203E">
        <w:t xml:space="preserve"> </w:t>
      </w:r>
      <w:proofErr w:type="spellStart"/>
      <w:r w:rsidR="009A203E">
        <w:t>Eur</w:t>
      </w:r>
      <w:proofErr w:type="spellEnd"/>
      <w:r w:rsidR="009A203E">
        <w:t xml:space="preserve"> </w:t>
      </w:r>
      <w:proofErr w:type="spellStart"/>
      <w:r w:rsidR="00FA2903">
        <w:t>didinami</w:t>
      </w:r>
      <w:proofErr w:type="spellEnd"/>
      <w:r w:rsidR="00FA2903">
        <w:t xml:space="preserve"> </w:t>
      </w:r>
      <w:proofErr w:type="spellStart"/>
      <w:r w:rsidR="008E379A">
        <w:t>S</w:t>
      </w:r>
      <w:r w:rsidR="00FA2903">
        <w:t>avivaldybės</w:t>
      </w:r>
      <w:proofErr w:type="spellEnd"/>
      <w:r w:rsidR="00FA2903">
        <w:t xml:space="preserve"> </w:t>
      </w:r>
      <w:proofErr w:type="spellStart"/>
      <w:r w:rsidR="00FA2903">
        <w:t>administracijos</w:t>
      </w:r>
      <w:proofErr w:type="spellEnd"/>
      <w:r w:rsidR="00FA2903">
        <w:t xml:space="preserve"> </w:t>
      </w:r>
      <w:proofErr w:type="spellStart"/>
      <w:r w:rsidR="00FA2903">
        <w:t>asignavimai</w:t>
      </w:r>
      <w:proofErr w:type="spellEnd"/>
      <w:r w:rsidR="00FA2903">
        <w:t>:</w:t>
      </w:r>
    </w:p>
    <w:p w:rsidR="00DF3735" w:rsidRDefault="00036572" w:rsidP="00834CA1">
      <w:pPr>
        <w:spacing w:line="360" w:lineRule="auto"/>
        <w:ind w:firstLine="680"/>
        <w:jc w:val="both"/>
      </w:pPr>
      <w:r>
        <w:lastRenderedPageBreak/>
        <w:t>2.2</w:t>
      </w:r>
      <w:r w:rsidR="00DF3735">
        <w:t>.</w:t>
      </w:r>
      <w:r>
        <w:t>1. 301</w:t>
      </w:r>
      <w:proofErr w:type="gramStart"/>
      <w:r>
        <w:t>,0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 w:rsidR="00FA2903">
        <w:t xml:space="preserve">  </w:t>
      </w:r>
      <w:proofErr w:type="spellStart"/>
      <w:r w:rsidR="000D37D5">
        <w:t>Infrastruktūros</w:t>
      </w:r>
      <w:proofErr w:type="spellEnd"/>
      <w:proofErr w:type="gramEnd"/>
      <w:r w:rsidR="000D37D5">
        <w:t xml:space="preserve"> </w:t>
      </w:r>
      <w:proofErr w:type="spellStart"/>
      <w:r w:rsidR="000D37D5">
        <w:t>objektų</w:t>
      </w:r>
      <w:proofErr w:type="spellEnd"/>
      <w:r w:rsidR="000D37D5">
        <w:t xml:space="preserve"> </w:t>
      </w:r>
      <w:proofErr w:type="spellStart"/>
      <w:r w:rsidR="000D37D5">
        <w:t>ir</w:t>
      </w:r>
      <w:proofErr w:type="spellEnd"/>
      <w:r w:rsidR="000D37D5">
        <w:t xml:space="preserve"> </w:t>
      </w:r>
      <w:proofErr w:type="spellStart"/>
      <w:r w:rsidR="000D37D5">
        <w:t>gyvenamosios</w:t>
      </w:r>
      <w:proofErr w:type="spellEnd"/>
      <w:r w:rsidR="000D37D5">
        <w:t xml:space="preserve"> </w:t>
      </w:r>
      <w:proofErr w:type="spellStart"/>
      <w:r w:rsidR="000D37D5">
        <w:t>aplinkos</w:t>
      </w:r>
      <w:proofErr w:type="spellEnd"/>
      <w:r w:rsidR="000D37D5">
        <w:t xml:space="preserve"> </w:t>
      </w:r>
      <w:proofErr w:type="spellStart"/>
      <w:r w:rsidR="000D37D5">
        <w:t>tvarkymo</w:t>
      </w:r>
      <w:proofErr w:type="spellEnd"/>
      <w:r w:rsidR="000D37D5">
        <w:t xml:space="preserve"> </w:t>
      </w:r>
      <w:proofErr w:type="spellStart"/>
      <w:r w:rsidR="000D37D5">
        <w:t>ir</w:t>
      </w:r>
      <w:proofErr w:type="spellEnd"/>
      <w:r w:rsidR="000D37D5">
        <w:t xml:space="preserve"> </w:t>
      </w:r>
      <w:proofErr w:type="spellStart"/>
      <w:r w:rsidR="000D37D5">
        <w:t>priežiūros</w:t>
      </w:r>
      <w:proofErr w:type="spellEnd"/>
      <w:r w:rsidR="000D37D5">
        <w:t xml:space="preserve"> </w:t>
      </w:r>
      <w:proofErr w:type="spellStart"/>
      <w:r w:rsidR="000D37D5">
        <w:t>programos</w:t>
      </w:r>
      <w:proofErr w:type="spellEnd"/>
      <w:r w:rsidR="000D37D5">
        <w:t xml:space="preserve"> </w:t>
      </w:r>
      <w:proofErr w:type="spellStart"/>
      <w:r w:rsidR="000D37D5">
        <w:t>lėšas</w:t>
      </w:r>
      <w:proofErr w:type="spellEnd"/>
      <w:r w:rsidR="000D37D5">
        <w:t xml:space="preserve"> ES </w:t>
      </w:r>
      <w:proofErr w:type="spellStart"/>
      <w:r w:rsidR="000D37D5">
        <w:t>finansinės</w:t>
      </w:r>
      <w:proofErr w:type="spellEnd"/>
      <w:r w:rsidR="000D37D5">
        <w:t xml:space="preserve"> </w:t>
      </w:r>
      <w:proofErr w:type="spellStart"/>
      <w:r w:rsidR="000D37D5">
        <w:t>paramos</w:t>
      </w:r>
      <w:proofErr w:type="spellEnd"/>
      <w:r w:rsidR="000D37D5">
        <w:t xml:space="preserve"> </w:t>
      </w:r>
      <w:proofErr w:type="spellStart"/>
      <w:r w:rsidR="000D37D5">
        <w:t>lėšomis</w:t>
      </w:r>
      <w:proofErr w:type="spellEnd"/>
      <w:r w:rsidR="000D37D5">
        <w:t xml:space="preserve"> </w:t>
      </w:r>
      <w:proofErr w:type="spellStart"/>
      <w:r w:rsidR="000D37D5">
        <w:t>finansuojamų</w:t>
      </w:r>
      <w:proofErr w:type="spellEnd"/>
      <w:r w:rsidR="000D37D5">
        <w:t xml:space="preserve"> </w:t>
      </w:r>
      <w:proofErr w:type="spellStart"/>
      <w:r w:rsidR="000D37D5">
        <w:t>projektų</w:t>
      </w:r>
      <w:proofErr w:type="spellEnd"/>
      <w:r w:rsidR="000D37D5">
        <w:t xml:space="preserve"> </w:t>
      </w:r>
      <w:proofErr w:type="spellStart"/>
      <w:r w:rsidR="000D37D5">
        <w:t>vykdymui</w:t>
      </w:r>
      <w:proofErr w:type="spellEnd"/>
      <w:r w:rsidR="000D37D5">
        <w:t>;</w:t>
      </w:r>
    </w:p>
    <w:p w:rsidR="00CB3514" w:rsidRDefault="000D37D5" w:rsidP="00CB3514">
      <w:pPr>
        <w:spacing w:line="360" w:lineRule="auto"/>
        <w:ind w:firstLine="680"/>
        <w:jc w:val="both"/>
      </w:pPr>
      <w:r>
        <w:t>2</w:t>
      </w:r>
      <w:r w:rsidR="00CB3514">
        <w:t>.</w:t>
      </w:r>
      <w:r>
        <w:t>2.2. 889</w:t>
      </w:r>
      <w:proofErr w:type="gramStart"/>
      <w:r>
        <w:t>,1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445</w:t>
      </w:r>
      <w:proofErr w:type="gramStart"/>
      <w:r>
        <w:t>,0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kapitalo</w:t>
      </w:r>
      <w:proofErr w:type="spellEnd"/>
      <w:r>
        <w:t xml:space="preserve"> </w:t>
      </w:r>
      <w:proofErr w:type="spellStart"/>
      <w:r>
        <w:t>investicijoms</w:t>
      </w:r>
      <w:proofErr w:type="spellEnd"/>
      <w:r w:rsidR="00CB3514">
        <w:t xml:space="preserve"> </w:t>
      </w:r>
      <w:proofErr w:type="spellStart"/>
      <w:r>
        <w:t>Infrastruktūros</w:t>
      </w:r>
      <w:proofErr w:type="spellEnd"/>
      <w:r>
        <w:t xml:space="preserve"> </w:t>
      </w:r>
      <w:proofErr w:type="spellStart"/>
      <w:r>
        <w:t>objektų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gyvenamosios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tvarkymo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lėšas</w:t>
      </w:r>
      <w:proofErr w:type="spellEnd"/>
      <w:r>
        <w:t xml:space="preserve">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tiesimui</w:t>
      </w:r>
      <w:proofErr w:type="spellEnd"/>
      <w:r>
        <w:t xml:space="preserve">, </w:t>
      </w:r>
      <w:proofErr w:type="spellStart"/>
      <w:r>
        <w:t>rekonstravimui</w:t>
      </w:r>
      <w:proofErr w:type="spellEnd"/>
      <w:r>
        <w:t xml:space="preserve">, </w:t>
      </w:r>
      <w:proofErr w:type="spellStart"/>
      <w:r>
        <w:t>taisymui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priežiūrai</w:t>
      </w:r>
      <w:proofErr w:type="spellEnd"/>
      <w:r>
        <w:t>.</w:t>
      </w:r>
    </w:p>
    <w:p w:rsidR="007F1FAF" w:rsidRDefault="00B01589" w:rsidP="00C936B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</w:r>
      <w:r w:rsidR="000D37D5">
        <w:t>3. 5</w:t>
      </w:r>
      <w:proofErr w:type="gramStart"/>
      <w:r w:rsidR="000D37D5">
        <w:t>,7</w:t>
      </w:r>
      <w:proofErr w:type="gramEnd"/>
      <w:r w:rsidR="000D37D5">
        <w:t xml:space="preserve"> </w:t>
      </w:r>
      <w:proofErr w:type="spellStart"/>
      <w:r w:rsidR="000D37D5">
        <w:t>tūkst</w:t>
      </w:r>
      <w:proofErr w:type="spellEnd"/>
      <w:r w:rsidR="000D37D5">
        <w:t xml:space="preserve">. </w:t>
      </w:r>
      <w:proofErr w:type="spellStart"/>
      <w:r w:rsidR="000D37D5">
        <w:t>Eur</w:t>
      </w:r>
      <w:proofErr w:type="spellEnd"/>
      <w:r w:rsidR="000D37D5">
        <w:t xml:space="preserve"> </w:t>
      </w:r>
      <w:proofErr w:type="spellStart"/>
      <w:r w:rsidR="000D37D5">
        <w:t>neveiksnių</w:t>
      </w:r>
      <w:proofErr w:type="spellEnd"/>
      <w:r w:rsidR="000D37D5">
        <w:t xml:space="preserve"> </w:t>
      </w:r>
      <w:proofErr w:type="spellStart"/>
      <w:r w:rsidR="000D37D5">
        <w:t>asmenų</w:t>
      </w:r>
      <w:proofErr w:type="spellEnd"/>
      <w:r w:rsidR="000D37D5">
        <w:t xml:space="preserve"> </w:t>
      </w:r>
      <w:proofErr w:type="spellStart"/>
      <w:r w:rsidR="000D37D5">
        <w:t>būklės</w:t>
      </w:r>
      <w:proofErr w:type="spellEnd"/>
      <w:r w:rsidR="000D37D5">
        <w:t xml:space="preserve"> </w:t>
      </w:r>
      <w:proofErr w:type="spellStart"/>
      <w:r w:rsidR="000D37D5">
        <w:t>peržiūrėjimui</w:t>
      </w:r>
      <w:proofErr w:type="spellEnd"/>
      <w:r w:rsidR="000D37D5">
        <w:t xml:space="preserve"> </w:t>
      </w:r>
      <w:proofErr w:type="spellStart"/>
      <w:r w:rsidR="000D37D5">
        <w:t>užtikrinti</w:t>
      </w:r>
      <w:proofErr w:type="spellEnd"/>
      <w:r w:rsidR="000D37D5">
        <w:t xml:space="preserve">, </w:t>
      </w:r>
      <w:proofErr w:type="spellStart"/>
      <w:r w:rsidR="000D37D5">
        <w:t>tvirtinant</w:t>
      </w:r>
      <w:proofErr w:type="spellEnd"/>
      <w:r w:rsidR="000D37D5">
        <w:t xml:space="preserve"> </w:t>
      </w:r>
      <w:proofErr w:type="spellStart"/>
      <w:r w:rsidR="000D37D5">
        <w:t>biudžetą</w:t>
      </w:r>
      <w:proofErr w:type="spellEnd"/>
      <w:r w:rsidR="00852A37">
        <w:t xml:space="preserve"> </w:t>
      </w:r>
      <w:proofErr w:type="spellStart"/>
      <w:r w:rsidR="000D37D5">
        <w:t>priskirtų</w:t>
      </w:r>
      <w:proofErr w:type="spellEnd"/>
      <w:r w:rsidR="000D37D5">
        <w:t xml:space="preserve"> </w:t>
      </w:r>
      <w:proofErr w:type="spellStart"/>
      <w:r w:rsidR="000D37D5">
        <w:t>prie</w:t>
      </w:r>
      <w:proofErr w:type="spellEnd"/>
      <w:r w:rsidR="00FB0A71">
        <w:t xml:space="preserve"> </w:t>
      </w:r>
      <w:proofErr w:type="spellStart"/>
      <w:r w:rsidR="00FB0A71">
        <w:t>kitų</w:t>
      </w:r>
      <w:proofErr w:type="spellEnd"/>
      <w:r w:rsidR="000D37D5">
        <w:t xml:space="preserve"> </w:t>
      </w:r>
      <w:proofErr w:type="spellStart"/>
      <w:r w:rsidR="000D37D5">
        <w:t>tikslinių</w:t>
      </w:r>
      <w:proofErr w:type="spellEnd"/>
      <w:r w:rsidR="000D37D5">
        <w:t xml:space="preserve"> </w:t>
      </w:r>
      <w:proofErr w:type="spellStart"/>
      <w:r w:rsidR="000D37D5">
        <w:t>dotacijų</w:t>
      </w:r>
      <w:proofErr w:type="spellEnd"/>
      <w:r w:rsidR="000D37D5">
        <w:t xml:space="preserve"> </w:t>
      </w:r>
      <w:proofErr w:type="spellStart"/>
      <w:r w:rsidR="000D37D5">
        <w:t>iš</w:t>
      </w:r>
      <w:proofErr w:type="spellEnd"/>
      <w:r w:rsidR="000D37D5">
        <w:t xml:space="preserve"> </w:t>
      </w:r>
      <w:proofErr w:type="spellStart"/>
      <w:r w:rsidR="000D37D5">
        <w:t>valstybės</w:t>
      </w:r>
      <w:proofErr w:type="spellEnd"/>
      <w:r w:rsidR="000D37D5">
        <w:t xml:space="preserve"> </w:t>
      </w:r>
      <w:proofErr w:type="spellStart"/>
      <w:r w:rsidR="000D37D5">
        <w:t>biudžeto</w:t>
      </w:r>
      <w:proofErr w:type="spellEnd"/>
      <w:r w:rsidR="000D37D5">
        <w:t xml:space="preserve"> </w:t>
      </w:r>
      <w:proofErr w:type="spellStart"/>
      <w:r w:rsidR="000D37D5">
        <w:t>perkelti</w:t>
      </w:r>
      <w:proofErr w:type="spellEnd"/>
      <w:r w:rsidR="000D37D5">
        <w:t xml:space="preserve"> </w:t>
      </w:r>
      <w:r w:rsidR="00FB0A71">
        <w:t xml:space="preserve">į </w:t>
      </w:r>
      <w:proofErr w:type="spellStart"/>
      <w:r w:rsidR="00FB0A71">
        <w:t>specialios</w:t>
      </w:r>
      <w:proofErr w:type="spellEnd"/>
      <w:r w:rsidR="00FB0A71">
        <w:t xml:space="preserve"> </w:t>
      </w:r>
      <w:proofErr w:type="spellStart"/>
      <w:r w:rsidR="00FB0A71">
        <w:t>tikslinės</w:t>
      </w:r>
      <w:proofErr w:type="spellEnd"/>
      <w:r w:rsidR="00FB0A71">
        <w:t xml:space="preserve"> </w:t>
      </w:r>
      <w:proofErr w:type="spellStart"/>
      <w:r w:rsidR="00FB0A71">
        <w:t>dotacijos</w:t>
      </w:r>
      <w:proofErr w:type="spellEnd"/>
      <w:r w:rsidR="00FB0A71">
        <w:t xml:space="preserve"> </w:t>
      </w:r>
      <w:proofErr w:type="spellStart"/>
      <w:r w:rsidR="00FB0A71">
        <w:t>valstybinėms</w:t>
      </w:r>
      <w:proofErr w:type="spellEnd"/>
      <w:r w:rsidR="00FB0A71">
        <w:t xml:space="preserve"> (</w:t>
      </w:r>
      <w:proofErr w:type="spellStart"/>
      <w:r w:rsidR="00FB0A71">
        <w:t>perduotoms</w:t>
      </w:r>
      <w:proofErr w:type="spellEnd"/>
      <w:r w:rsidR="00FB0A71">
        <w:t xml:space="preserve"> </w:t>
      </w:r>
      <w:proofErr w:type="spellStart"/>
      <w:r w:rsidR="00FB0A71">
        <w:t>savivaldybėms</w:t>
      </w:r>
      <w:proofErr w:type="spellEnd"/>
      <w:r w:rsidR="00FB0A71">
        <w:t xml:space="preserve">) </w:t>
      </w:r>
      <w:proofErr w:type="spellStart"/>
      <w:r w:rsidR="00FB0A71">
        <w:t>funkcijoms</w:t>
      </w:r>
      <w:proofErr w:type="spellEnd"/>
      <w:r w:rsidR="00FB0A71">
        <w:t xml:space="preserve"> </w:t>
      </w:r>
      <w:proofErr w:type="spellStart"/>
      <w:r w:rsidR="00FB0A71">
        <w:t>atlikti</w:t>
      </w:r>
      <w:proofErr w:type="spellEnd"/>
      <w:r w:rsidR="00FB0A71">
        <w:t xml:space="preserve"> </w:t>
      </w:r>
      <w:proofErr w:type="spellStart"/>
      <w:proofErr w:type="gramStart"/>
      <w:r w:rsidR="00FB0A71">
        <w:t>lėšas</w:t>
      </w:r>
      <w:proofErr w:type="spellEnd"/>
      <w:r w:rsidR="00FB0A71">
        <w:t xml:space="preserve"> ,</w:t>
      </w:r>
      <w:proofErr w:type="gramEnd"/>
      <w:r w:rsidR="00FB0A71">
        <w:t xml:space="preserve"> </w:t>
      </w:r>
      <w:proofErr w:type="spellStart"/>
      <w:r w:rsidR="00FB0A71">
        <w:t>nekeičiant</w:t>
      </w:r>
      <w:proofErr w:type="spellEnd"/>
      <w:r w:rsidR="00FB0A71">
        <w:t xml:space="preserve"> </w:t>
      </w:r>
      <w:proofErr w:type="spellStart"/>
      <w:r w:rsidR="00FB0A71">
        <w:t>jš</w:t>
      </w:r>
      <w:proofErr w:type="spellEnd"/>
      <w:r w:rsidR="00FB0A71">
        <w:t xml:space="preserve"> </w:t>
      </w:r>
      <w:proofErr w:type="spellStart"/>
      <w:r w:rsidR="00FB0A71">
        <w:t>panaudojimo</w:t>
      </w:r>
      <w:proofErr w:type="spellEnd"/>
      <w:r w:rsidR="00FB0A71">
        <w:t xml:space="preserve"> </w:t>
      </w:r>
      <w:proofErr w:type="spellStart"/>
      <w:r w:rsidR="00FB0A71">
        <w:t>paskirties</w:t>
      </w:r>
      <w:proofErr w:type="spellEnd"/>
      <w:r w:rsidR="00FB0A71">
        <w:t>.</w:t>
      </w:r>
    </w:p>
    <w:p w:rsidR="00834CA1" w:rsidRDefault="00834CA1" w:rsidP="00834CA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b/>
          <w:lang w:val="lt-LT"/>
        </w:rPr>
      </w:pPr>
      <w:r>
        <w:rPr>
          <w:b/>
          <w:lang w:val="lt-LT"/>
        </w:rPr>
        <w:t>2. Savivaldybės  biudžeto vykdymo teisinis pagrindas</w:t>
      </w:r>
      <w:r w:rsidR="00C936BF">
        <w:rPr>
          <w:b/>
          <w:lang w:val="lt-LT"/>
        </w:rPr>
        <w:t>:</w:t>
      </w:r>
      <w:r>
        <w:rPr>
          <w:b/>
          <w:lang w:val="lt-LT"/>
        </w:rPr>
        <w:t xml:space="preserve"> </w:t>
      </w:r>
    </w:p>
    <w:p w:rsidR="000414BB" w:rsidRDefault="00C936BF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0414BB">
        <w:rPr>
          <w:lang w:val="lt-LT"/>
        </w:rPr>
        <w:t xml:space="preserve">Lietuvos Respublikos biudžeto sandaros įstatymas;  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biudžeto asignavimų administravimo, biudžeto vykdymo ir atskaitomybės tvarkos aprašas, patvirtintas Molėtų rajono savivaldybės tarybos 2011</w:t>
      </w:r>
      <w:r w:rsidR="00C936BF">
        <w:rPr>
          <w:lang w:val="lt-LT"/>
        </w:rPr>
        <w:t xml:space="preserve"> m. rugsėjo </w:t>
      </w:r>
      <w:r>
        <w:rPr>
          <w:lang w:val="lt-LT"/>
        </w:rPr>
        <w:t>15</w:t>
      </w:r>
      <w:r w:rsidR="00C936BF">
        <w:rPr>
          <w:lang w:val="lt-LT"/>
        </w:rPr>
        <w:t xml:space="preserve"> d.</w:t>
      </w:r>
      <w:r>
        <w:rPr>
          <w:lang w:val="lt-LT"/>
        </w:rPr>
        <w:t xml:space="preserve"> sprendimu Nr. B1-177.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  <w:lang w:val="lt-LT"/>
        </w:rPr>
        <w:t xml:space="preserve"> 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Neigiamų pasekmių priėmus šį sprendimą nenumatoma. Teigiama – didėja savivaldybės biudžeto pajamos. </w:t>
      </w:r>
    </w:p>
    <w:p w:rsidR="000414BB" w:rsidRDefault="000414BB" w:rsidP="000414BB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  <w:lang w:val="lt-LT"/>
        </w:rPr>
        <w:t xml:space="preserve">            </w:t>
      </w:r>
      <w:r>
        <w:rPr>
          <w:b/>
        </w:rPr>
        <w:t xml:space="preserve">4. </w:t>
      </w:r>
      <w:proofErr w:type="spellStart"/>
      <w:r>
        <w:rPr>
          <w:b/>
        </w:rPr>
        <w:t>Priemonės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sprendimui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įgyvendinti</w:t>
      </w:r>
      <w:proofErr w:type="spellEnd"/>
    </w:p>
    <w:p w:rsidR="000414BB" w:rsidRDefault="000414BB" w:rsidP="000414BB">
      <w:pPr>
        <w:spacing w:line="360" w:lineRule="auto"/>
        <w:jc w:val="both"/>
      </w:pPr>
      <w:r>
        <w:t xml:space="preserve">           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teigiamą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>.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5. </w:t>
      </w:r>
      <w:proofErr w:type="spellStart"/>
      <w:r>
        <w:rPr>
          <w:b/>
        </w:rPr>
        <w:t>Lėšų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poreikis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šaltiniai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prireikus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skaičiavimai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išlaidų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sąmatos</w:t>
      </w:r>
      <w:proofErr w:type="spellEnd"/>
      <w:r>
        <w:rPr>
          <w:b/>
        </w:rPr>
        <w:t>)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6.Vykdytojai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įvykdymo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terminai</w:t>
      </w:r>
      <w:proofErr w:type="spellEnd"/>
      <w:r>
        <w:rPr>
          <w:b/>
        </w:rPr>
        <w:t xml:space="preserve">  </w:t>
      </w:r>
    </w:p>
    <w:p w:rsidR="000414BB" w:rsidRDefault="000414BB" w:rsidP="000414BB">
      <w:pPr>
        <w:spacing w:line="360" w:lineRule="auto"/>
        <w:jc w:val="both"/>
      </w:pPr>
      <w:r>
        <w:rPr>
          <w:lang w:val="lt-LT"/>
        </w:rPr>
        <w:t xml:space="preserve">            Savivaldybės administracija ir biudžetinių įstaigų vadovai –asignavimų valdytojai.</w:t>
      </w:r>
    </w:p>
    <w:p w:rsidR="000414BB" w:rsidRDefault="000414BB" w:rsidP="00834CA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</w:p>
    <w:p w:rsidR="00834CA1" w:rsidRDefault="00834CA1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F21044" w:rsidRDefault="00F21044"/>
    <w:sectPr w:rsidR="00F210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E2C"/>
    <w:multiLevelType w:val="multilevel"/>
    <w:tmpl w:val="65D89A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763C7E"/>
    <w:multiLevelType w:val="hybridMultilevel"/>
    <w:tmpl w:val="79C63814"/>
    <w:lvl w:ilvl="0" w:tplc="AEE4C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6A842A17"/>
    <w:multiLevelType w:val="multilevel"/>
    <w:tmpl w:val="8FFAF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1"/>
    <w:rsid w:val="00001FF3"/>
    <w:rsid w:val="00025C4E"/>
    <w:rsid w:val="00036572"/>
    <w:rsid w:val="000414BB"/>
    <w:rsid w:val="000616B7"/>
    <w:rsid w:val="000760C7"/>
    <w:rsid w:val="000B7F48"/>
    <w:rsid w:val="000D37D5"/>
    <w:rsid w:val="0010244F"/>
    <w:rsid w:val="001665B0"/>
    <w:rsid w:val="001C137A"/>
    <w:rsid w:val="001C1AEA"/>
    <w:rsid w:val="001E6DCD"/>
    <w:rsid w:val="002001AD"/>
    <w:rsid w:val="002A064C"/>
    <w:rsid w:val="002F6D49"/>
    <w:rsid w:val="003133CD"/>
    <w:rsid w:val="00324490"/>
    <w:rsid w:val="00352B2E"/>
    <w:rsid w:val="003915E1"/>
    <w:rsid w:val="003B5188"/>
    <w:rsid w:val="003C46E0"/>
    <w:rsid w:val="003E0343"/>
    <w:rsid w:val="004200FB"/>
    <w:rsid w:val="00450371"/>
    <w:rsid w:val="004A6164"/>
    <w:rsid w:val="00547E38"/>
    <w:rsid w:val="0057550B"/>
    <w:rsid w:val="005A0D07"/>
    <w:rsid w:val="00637A33"/>
    <w:rsid w:val="00653452"/>
    <w:rsid w:val="00705EA4"/>
    <w:rsid w:val="007437CE"/>
    <w:rsid w:val="00761A91"/>
    <w:rsid w:val="007638A1"/>
    <w:rsid w:val="00766FCA"/>
    <w:rsid w:val="007F1FAF"/>
    <w:rsid w:val="00834CA1"/>
    <w:rsid w:val="00837DB8"/>
    <w:rsid w:val="008475E1"/>
    <w:rsid w:val="00852A37"/>
    <w:rsid w:val="008664F2"/>
    <w:rsid w:val="008C1950"/>
    <w:rsid w:val="008E2D3E"/>
    <w:rsid w:val="008E379A"/>
    <w:rsid w:val="008E6484"/>
    <w:rsid w:val="008F42B1"/>
    <w:rsid w:val="00987E2E"/>
    <w:rsid w:val="009A203E"/>
    <w:rsid w:val="009B0898"/>
    <w:rsid w:val="009B0B46"/>
    <w:rsid w:val="009E5ADD"/>
    <w:rsid w:val="00A21298"/>
    <w:rsid w:val="00A32D0A"/>
    <w:rsid w:val="00AD4D0D"/>
    <w:rsid w:val="00AF238E"/>
    <w:rsid w:val="00B01589"/>
    <w:rsid w:val="00B80B58"/>
    <w:rsid w:val="00BE003C"/>
    <w:rsid w:val="00BE5632"/>
    <w:rsid w:val="00C44200"/>
    <w:rsid w:val="00C53F3F"/>
    <w:rsid w:val="00C936BF"/>
    <w:rsid w:val="00C938D6"/>
    <w:rsid w:val="00CB3514"/>
    <w:rsid w:val="00CD7CEE"/>
    <w:rsid w:val="00D46F60"/>
    <w:rsid w:val="00D542B1"/>
    <w:rsid w:val="00DC22A5"/>
    <w:rsid w:val="00DF2095"/>
    <w:rsid w:val="00DF3735"/>
    <w:rsid w:val="00E014F1"/>
    <w:rsid w:val="00E06AC9"/>
    <w:rsid w:val="00E25F4A"/>
    <w:rsid w:val="00E659C6"/>
    <w:rsid w:val="00EB67C4"/>
    <w:rsid w:val="00F21044"/>
    <w:rsid w:val="00F70B27"/>
    <w:rsid w:val="00FA2903"/>
    <w:rsid w:val="00FA2CB9"/>
    <w:rsid w:val="00FB0A71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E50A-79E8-4995-813A-9307374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2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F3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2016-10-06T12:32:00Z</cp:lastPrinted>
  <dcterms:created xsi:type="dcterms:W3CDTF">2017-04-19T09:13:00Z</dcterms:created>
  <dcterms:modified xsi:type="dcterms:W3CDTF">2017-04-19T09:13:00Z</dcterms:modified>
</cp:coreProperties>
</file>