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AB" w:rsidRPr="00E84FAB" w:rsidRDefault="00E84FAB" w:rsidP="00E84FAB">
      <w:pPr>
        <w:spacing w:before="100" w:beforeAutospacing="1" w:after="100" w:afterAutospacing="1" w:line="240" w:lineRule="auto"/>
        <w:ind w:left="5580"/>
        <w:rPr>
          <w:rFonts w:eastAsia="Times New Roman"/>
          <w:szCs w:val="24"/>
          <w:lang w:eastAsia="lt-LT"/>
        </w:rPr>
      </w:pPr>
      <w:r w:rsidRPr="00E84FAB">
        <w:rPr>
          <w:rFonts w:eastAsia="Times New Roman"/>
          <w:szCs w:val="24"/>
          <w:lang w:eastAsia="lt-LT"/>
        </w:rPr>
        <w:t>PRITARTA</w:t>
      </w:r>
      <w:r w:rsidRPr="00E84FAB">
        <w:rPr>
          <w:rFonts w:eastAsia="Times New Roman"/>
          <w:szCs w:val="24"/>
          <w:lang w:eastAsia="lt-LT"/>
        </w:rPr>
        <w:br/>
        <w:t>Molėtų rajono savival</w:t>
      </w:r>
      <w:r>
        <w:rPr>
          <w:rFonts w:eastAsia="Times New Roman"/>
          <w:szCs w:val="24"/>
          <w:lang w:eastAsia="lt-LT"/>
        </w:rPr>
        <w:t>dybės tarybos</w:t>
      </w:r>
      <w:r>
        <w:rPr>
          <w:rFonts w:eastAsia="Times New Roman"/>
          <w:szCs w:val="24"/>
          <w:lang w:eastAsia="lt-LT"/>
        </w:rPr>
        <w:br/>
        <w:t xml:space="preserve">2017 m.                       sprendimu Nr.  </w:t>
      </w:r>
    </w:p>
    <w:p w:rsidR="00E84FAB" w:rsidRDefault="00E84FAB" w:rsidP="007E2005">
      <w:pPr>
        <w:spacing w:after="0" w:line="276" w:lineRule="auto"/>
        <w:jc w:val="center"/>
        <w:rPr>
          <w:b/>
          <w:bCs/>
          <w:szCs w:val="24"/>
        </w:rPr>
      </w:pPr>
    </w:p>
    <w:p w:rsidR="00074F4F" w:rsidRPr="007E2005" w:rsidRDefault="00074F4F" w:rsidP="007E2005">
      <w:pPr>
        <w:spacing w:after="0" w:line="276" w:lineRule="auto"/>
        <w:jc w:val="center"/>
        <w:rPr>
          <w:b/>
          <w:bCs/>
          <w:szCs w:val="24"/>
        </w:rPr>
      </w:pPr>
      <w:r w:rsidRPr="007E2005">
        <w:rPr>
          <w:b/>
          <w:bCs/>
          <w:szCs w:val="24"/>
        </w:rPr>
        <w:t>VŠĮ MOLĖTŲ RAJONO GREITOSIOS MEDICINOS PAGALB</w:t>
      </w:r>
      <w:r w:rsidR="00E84FAB">
        <w:rPr>
          <w:b/>
          <w:bCs/>
          <w:szCs w:val="24"/>
        </w:rPr>
        <w:t>OS CENTRO 2016 M. VADOVO</w:t>
      </w:r>
      <w:r w:rsidRPr="007E2005">
        <w:rPr>
          <w:b/>
          <w:bCs/>
          <w:szCs w:val="24"/>
        </w:rPr>
        <w:t xml:space="preserve"> ATASKAITA</w:t>
      </w:r>
    </w:p>
    <w:p w:rsidR="00074F4F" w:rsidRDefault="00074F4F" w:rsidP="007E2005">
      <w:pPr>
        <w:spacing w:after="0" w:line="276" w:lineRule="auto"/>
        <w:jc w:val="center"/>
        <w:rPr>
          <w:bCs/>
          <w:szCs w:val="24"/>
        </w:rPr>
      </w:pPr>
    </w:p>
    <w:p w:rsidR="00074F4F" w:rsidRDefault="00074F4F" w:rsidP="00836BCC">
      <w:pPr>
        <w:pStyle w:val="Sraopastraipa"/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I. </w:t>
      </w:r>
      <w:r w:rsidRPr="00836BCC">
        <w:rPr>
          <w:b/>
          <w:bCs/>
          <w:szCs w:val="24"/>
        </w:rPr>
        <w:t>BENDROS ŽINIOS APIE VIEŠĄJĄ ĮSTAIGĄ IR VADOV</w:t>
      </w:r>
      <w:r>
        <w:rPr>
          <w:b/>
          <w:bCs/>
          <w:szCs w:val="24"/>
        </w:rPr>
        <w:t>Ą</w:t>
      </w:r>
    </w:p>
    <w:p w:rsidR="00074F4F" w:rsidRPr="00314487" w:rsidRDefault="00074F4F" w:rsidP="00836BCC">
      <w:pPr>
        <w:pStyle w:val="Sraopastraipa"/>
        <w:spacing w:after="0" w:line="276" w:lineRule="auto"/>
        <w:jc w:val="center"/>
        <w:rPr>
          <w:bCs/>
          <w:szCs w:val="24"/>
        </w:rPr>
      </w:pP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1.1. Viešoji įstaiga Molėtų rajono greitosios medicinos pagalbos centras (toliau GMPC) įkurta 2006 m. rugsėjo 21 d. Molėtų rajono savivaldybės tarybos sprendimu  Nr. B1-110. Įstaiga registrų centre įregistruota 2006 m. lapkričio 24 d. Registravimo pažymėjimo Nr.086528. Įstaigos kodas 300618925. GMPC randasi adresu Graužinių g. Nr. 13, LT 33125 Molėtai.</w:t>
      </w:r>
    </w:p>
    <w:tbl>
      <w:tblPr>
        <w:tblW w:w="5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"/>
        <w:gridCol w:w="1565"/>
        <w:gridCol w:w="3796"/>
      </w:tblGrid>
      <w:tr w:rsidR="00074F4F" w:rsidRPr="00126CDE" w:rsidTr="0047051F">
        <w:trPr>
          <w:tblCellSpacing w:w="15" w:type="dxa"/>
        </w:trPr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Tel:</w:t>
            </w: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jc w:val="right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 8 383 54518</w:t>
            </w:r>
          </w:p>
        </w:tc>
      </w:tr>
      <w:tr w:rsidR="00074F4F" w:rsidRPr="00126CDE" w:rsidTr="0047051F">
        <w:trPr>
          <w:tblCellSpacing w:w="15" w:type="dxa"/>
        </w:trPr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Mob. tel.</w:t>
            </w: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jc w:val="right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 8 699 80348</w:t>
            </w:r>
          </w:p>
        </w:tc>
      </w:tr>
      <w:tr w:rsidR="00074F4F" w:rsidRPr="00126CDE" w:rsidTr="0047051F">
        <w:trPr>
          <w:tblCellSpacing w:w="15" w:type="dxa"/>
        </w:trPr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Tel./faks.</w:t>
            </w: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jc w:val="right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 8 383 54517</w:t>
            </w:r>
          </w:p>
        </w:tc>
      </w:tr>
      <w:tr w:rsidR="00074F4F" w:rsidRPr="00126CDE" w:rsidTr="0047051F">
        <w:trPr>
          <w:tblCellSpacing w:w="15" w:type="dxa"/>
        </w:trPr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El. paštas:</w:t>
            </w:r>
          </w:p>
        </w:tc>
        <w:tc>
          <w:tcPr>
            <w:tcW w:w="0" w:type="auto"/>
            <w:vAlign w:val="center"/>
          </w:tcPr>
          <w:p w:rsidR="00074F4F" w:rsidRPr="000E0594" w:rsidRDefault="00074F4F" w:rsidP="007E2005">
            <w:pPr>
              <w:spacing w:after="0" w:line="276" w:lineRule="auto"/>
              <w:jc w:val="right"/>
              <w:rPr>
                <w:szCs w:val="24"/>
                <w:lang w:eastAsia="lt-LT"/>
              </w:rPr>
            </w:pPr>
            <w:r w:rsidRPr="000E0594">
              <w:rPr>
                <w:szCs w:val="24"/>
                <w:lang w:eastAsia="lt-LT"/>
              </w:rPr>
              <w:t> </w:t>
            </w:r>
            <w:hyperlink r:id="rId5" w:history="1">
              <w:r w:rsidRPr="000E0594">
                <w:rPr>
                  <w:color w:val="444444"/>
                  <w:szCs w:val="24"/>
                  <w:u w:val="single"/>
                  <w:lang w:eastAsia="lt-LT"/>
                </w:rPr>
                <w:t>gmp.moletu@gmail.com</w:t>
              </w:r>
            </w:hyperlink>
          </w:p>
        </w:tc>
      </w:tr>
    </w:tbl>
    <w:p w:rsidR="00074F4F" w:rsidRPr="000E0594" w:rsidRDefault="00074F4F" w:rsidP="007E2005">
      <w:pPr>
        <w:spacing w:after="0" w:line="276" w:lineRule="auto"/>
        <w:rPr>
          <w:bCs/>
          <w:color w:val="1F497D"/>
          <w:szCs w:val="24"/>
        </w:rPr>
      </w:pPr>
      <w:r w:rsidRPr="000E0594">
        <w:rPr>
          <w:bCs/>
          <w:szCs w:val="24"/>
        </w:rPr>
        <w:t xml:space="preserve">Adresas internete:                              </w:t>
      </w:r>
      <w:r w:rsidRPr="000E0594">
        <w:rPr>
          <w:bCs/>
          <w:color w:val="1F497D"/>
          <w:szCs w:val="24"/>
        </w:rPr>
        <w:t xml:space="preserve">www. </w:t>
      </w:r>
      <w:proofErr w:type="spellStart"/>
      <w:r w:rsidRPr="000E0594">
        <w:rPr>
          <w:bCs/>
          <w:color w:val="1F497D"/>
          <w:szCs w:val="24"/>
        </w:rPr>
        <w:t>moletugmp.lt</w:t>
      </w:r>
      <w:proofErr w:type="spellEnd"/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1.2.  Molėtų rajono savivaldybės tarybos 2010 m. gegužės 28 d. sprendimu Nr. B1-101 buvo patvirtinti VšĮ Molėtų rajono greitosios medicinos pagalbos centro direktoriaus pareiginiai nuostatai.</w:t>
      </w:r>
    </w:p>
    <w:p w:rsidR="00074F4F" w:rsidRPr="000E0594" w:rsidRDefault="00074F4F" w:rsidP="007E2005">
      <w:pPr>
        <w:spacing w:after="0" w:line="276" w:lineRule="auto"/>
        <w:rPr>
          <w:bCs/>
          <w:szCs w:val="24"/>
        </w:rPr>
      </w:pPr>
      <w:r w:rsidRPr="000E0594">
        <w:rPr>
          <w:bCs/>
          <w:szCs w:val="24"/>
        </w:rPr>
        <w:t xml:space="preserve">Įstaigos įstatai patvirtinti 2015 </w:t>
      </w:r>
      <w:proofErr w:type="spellStart"/>
      <w:r w:rsidRPr="000E0594">
        <w:rPr>
          <w:bCs/>
          <w:szCs w:val="24"/>
        </w:rPr>
        <w:t>m.spalio</w:t>
      </w:r>
      <w:proofErr w:type="spellEnd"/>
      <w:r w:rsidRPr="000E0594">
        <w:rPr>
          <w:bCs/>
          <w:szCs w:val="24"/>
        </w:rPr>
        <w:t xml:space="preserve"> 29 d. Molėtų rajono savivaldybės tarybos sprendimu Nr.B1-235.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 xml:space="preserve">1.3. VšĮ Molėtų rajono greitosios medicinos pagalbos centro direktorė Auksė </w:t>
      </w:r>
      <w:proofErr w:type="spellStart"/>
      <w:r w:rsidRPr="000E0594">
        <w:rPr>
          <w:bCs/>
          <w:szCs w:val="24"/>
        </w:rPr>
        <w:t>Mackonienė</w:t>
      </w:r>
      <w:proofErr w:type="spellEnd"/>
      <w:r w:rsidRPr="000E0594">
        <w:rPr>
          <w:bCs/>
          <w:szCs w:val="24"/>
        </w:rPr>
        <w:t xml:space="preserve"> įstaigai vadovauja nuo 2006 m.</w:t>
      </w:r>
    </w:p>
    <w:p w:rsidR="00074F4F" w:rsidRPr="000E0594" w:rsidRDefault="00074F4F" w:rsidP="007E2005">
      <w:pPr>
        <w:spacing w:after="0" w:line="276" w:lineRule="auto"/>
        <w:rPr>
          <w:bCs/>
          <w:szCs w:val="24"/>
        </w:rPr>
      </w:pPr>
      <w:r w:rsidRPr="000E0594">
        <w:rPr>
          <w:bCs/>
          <w:szCs w:val="24"/>
        </w:rPr>
        <w:t>Įstaiga yra Molėtų savivaldybės viešoji sveikatos priežiūros pelno nesiekianti įstaiga.</w:t>
      </w:r>
    </w:p>
    <w:p w:rsidR="00074F4F" w:rsidRPr="000E0594" w:rsidRDefault="00074F4F" w:rsidP="007E2005">
      <w:pPr>
        <w:spacing w:after="0" w:line="276" w:lineRule="auto"/>
        <w:rPr>
          <w:bCs/>
          <w:szCs w:val="24"/>
        </w:rPr>
      </w:pPr>
      <w:r w:rsidRPr="000E0594">
        <w:rPr>
          <w:bCs/>
          <w:szCs w:val="24"/>
        </w:rPr>
        <w:t>Įstaigos vienintelė dalininkė (savininkė) yra Molėtų rajono savivaldybė.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1.4. Direktorės išsilavinimas: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 xml:space="preserve">-2009 – 2011 </w:t>
      </w:r>
      <w:proofErr w:type="spellStart"/>
      <w:r w:rsidRPr="000E0594">
        <w:rPr>
          <w:bCs/>
          <w:szCs w:val="24"/>
        </w:rPr>
        <w:t>m.Mykolo</w:t>
      </w:r>
      <w:proofErr w:type="spellEnd"/>
      <w:r w:rsidRPr="000E0594">
        <w:rPr>
          <w:bCs/>
          <w:szCs w:val="24"/>
        </w:rPr>
        <w:t xml:space="preserve"> Riomerio universitetas – viešojo administravimo (specializacija – sveikatos apsaugos įstaigų administravimas) magistro laipsnis.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 xml:space="preserve">-2006 – 2009 </w:t>
      </w:r>
      <w:proofErr w:type="spellStart"/>
      <w:r w:rsidRPr="000E0594">
        <w:rPr>
          <w:bCs/>
          <w:szCs w:val="24"/>
        </w:rPr>
        <w:t>m.Vilniaus</w:t>
      </w:r>
      <w:proofErr w:type="spellEnd"/>
      <w:r w:rsidRPr="000E0594">
        <w:rPr>
          <w:bCs/>
          <w:szCs w:val="24"/>
        </w:rPr>
        <w:t xml:space="preserve"> pedagoginio universiteto psichologijos bakalauro laipsnis.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 xml:space="preserve">-1979 – 1982 </w:t>
      </w:r>
      <w:proofErr w:type="spellStart"/>
      <w:r w:rsidRPr="000E0594">
        <w:rPr>
          <w:bCs/>
          <w:szCs w:val="24"/>
        </w:rPr>
        <w:t>m.Panevėžio</w:t>
      </w:r>
      <w:proofErr w:type="spellEnd"/>
      <w:r w:rsidRPr="000E0594">
        <w:rPr>
          <w:bCs/>
          <w:szCs w:val="24"/>
        </w:rPr>
        <w:t xml:space="preserve"> Andriaus Domaševičiaus medicinos mokykla – med. felčerio specialybė.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 2016m. VšĮ Molėtų rajono greitosios medicinos pagalbos centro direktorė: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1.5.1. organizavo ir užtikrino GMPC veiklą, pagal kompetenciją organizavo ir įgyvendino rajono savivaldos institucijų sprendimus;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1.5.2. atstovavo įstaigai įstaigų vadovų pasitarimuose;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1.5.3.dalyvavo įvairiose apklausose LR Sveikatos apsaugos ministerijoje svarstant aktualius įstaigai teisės aktus;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1.5.4. dalyvavo Molėtų rajono savivaldybės bendruomenės sveikatos posėdžiuose;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1.5.5. užtikrino GMPC teikiamų paslaugų kokybę;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lastRenderedPageBreak/>
        <w:t>1.5.6. atstovavo GMPC bendraujant su fiziniais ir juridiniais asmenimis, valdžios institucijomis;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1.5.7. vykdė GMPC veiklos planus ir teikė savininkui (visuotiniam dalininkų susirinkimui) ataskaitas, kitus steigėjo reikalaujamus dokumentus;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1.5.8. užtikrino GMPC turto racionalų, ekonomišką bei efektyvų panaudojimą ir jo apsaugą, gaunamų lėšų naudojimą pagal paskirtį, atsiskaitymą su įstaigos darbuotojais, mokesčių administravimo institucijomis, darbų, paslaugų tiekėjais;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1.5.9. užtikrino įstaigoje darbų saugos, priešgaisrinės saugos, civilinės saugos organizavimą.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 GMPC vadovė kėlė kvalifikaciją ir dalyvavo: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1.6.1. Krizių tyrimo centro kvalifikacijos tobulinimo kursuose „Mokymai, kaip taikyti metodiką praktinėje profesinėje veikloje, organizuojant pagalbos traumų ir kitų išorinių mirties priežasčių atvejais teikimą“;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1.6.2. SAM ekstremalių sveikatai situacijų centro organizuotame seminare „ Asmens sveikatos priežiūros ekstremaliųjų situacijų ir karo atveju aktualūs klausimai“;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1.6.3. Lietuvos sveikatos mokslų akademijos mokslinėje praktinėje konferencijoje      „ Medicininės pagalbos teikimas ypatingų situacijų metu“;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1.6.4. Kvalifikacijos tobulinimas „Kokybės vadybos sveikatos sistemoje pagrindai. Minimalūs ir maksimalūs reikalavimai kokybei“;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 xml:space="preserve">1.6.5. SAM  organizuotoje ir METAS sistemoje užregistruotoje Tarptautinėje 5 – </w:t>
      </w:r>
      <w:proofErr w:type="spellStart"/>
      <w:r w:rsidRPr="000E0594">
        <w:rPr>
          <w:bCs/>
          <w:szCs w:val="24"/>
        </w:rPr>
        <w:t>ojoje</w:t>
      </w:r>
      <w:proofErr w:type="spellEnd"/>
      <w:r w:rsidRPr="000E0594">
        <w:rPr>
          <w:bCs/>
          <w:szCs w:val="24"/>
        </w:rPr>
        <w:t xml:space="preserve"> mokslinėje praktinėje intensyvios kardiologijos ir skubios medicinos konferencijoje.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1.6.6. Lietuvos viešojo administravimo instituto organizuotame mokymo renginyje „Korupcijos prevencijos mokymai sveikatos apsaugos sektoriaus darbuotojams“;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1.6.7.LSSO organizuotame kvalifikacijos tobulinime „Smurto artimoje aplinkoje apraiškų atpažinimą;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1.6.8. Lietuvos klinikinės toksikologijos draugijos SAM ESSC apsinuodijimų informacijos biuro organizuotoje mokslinėje – praktinėje konferencijoje „Naujos psichoaktyvios medžiagos“;</w:t>
      </w: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1.6.9. Gavo valstybinės akreditavimo sveikatos priežiūros veiklai tarnybos prie SAM visuomenės sveikatos priežiūros veiklos – privalomojo pirmos pagalbos mokymo licenciją.</w:t>
      </w:r>
    </w:p>
    <w:p w:rsidR="00074F4F" w:rsidRPr="000E0594" w:rsidRDefault="00074F4F" w:rsidP="007E2005">
      <w:pPr>
        <w:spacing w:after="0" w:line="276" w:lineRule="auto"/>
        <w:rPr>
          <w:bCs/>
          <w:szCs w:val="24"/>
        </w:rPr>
      </w:pPr>
    </w:p>
    <w:p w:rsidR="00074F4F" w:rsidRPr="000E0594" w:rsidRDefault="00074F4F" w:rsidP="00197551">
      <w:pPr>
        <w:pStyle w:val="Sraopastraipa"/>
        <w:spacing w:after="0" w:line="276" w:lineRule="auto"/>
        <w:jc w:val="center"/>
        <w:rPr>
          <w:szCs w:val="24"/>
        </w:rPr>
      </w:pPr>
      <w:bookmarkStart w:id="0" w:name="_GoBack"/>
      <w:bookmarkEnd w:id="0"/>
      <w:r w:rsidRPr="000E0594">
        <w:rPr>
          <w:szCs w:val="24"/>
        </w:rPr>
        <w:t>ĮSTAIGOS VEIKLA IR VEIKLOS RODIKLIAI</w:t>
      </w:r>
    </w:p>
    <w:p w:rsidR="00074F4F" w:rsidRPr="000E0594" w:rsidRDefault="00074F4F" w:rsidP="007E2005">
      <w:pPr>
        <w:spacing w:after="0" w:line="276" w:lineRule="auto"/>
        <w:jc w:val="center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2125"/>
        <w:gridCol w:w="2124"/>
        <w:gridCol w:w="1964"/>
      </w:tblGrid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RODIKLIS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ATASKAITINIAI METAI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PRAĖJĘ ATASKAITINIAI METAI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POKYTIS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GMP kvietimų skaičius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5199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5242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-43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 xml:space="preserve">Operatyvumas – nuvykimas iki 15 min. į 1 – </w:t>
            </w:r>
            <w:proofErr w:type="spellStart"/>
            <w:r w:rsidRPr="00126CDE">
              <w:rPr>
                <w:szCs w:val="24"/>
              </w:rPr>
              <w:t>os</w:t>
            </w:r>
            <w:proofErr w:type="spellEnd"/>
            <w:r w:rsidRPr="00126CDE">
              <w:rPr>
                <w:szCs w:val="24"/>
              </w:rPr>
              <w:t xml:space="preserve"> reagavimo kategorijos kvietimus mieste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1563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26CDE">
              <w:rPr>
                <w:szCs w:val="24"/>
              </w:rPr>
              <w:t>(95.60%)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1639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(95.87%)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-76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(-0.27%)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 xml:space="preserve">Operatyvumas pablogėjo dėl  </w:t>
            </w:r>
            <w:r w:rsidRPr="00126CDE">
              <w:rPr>
                <w:szCs w:val="24"/>
              </w:rPr>
              <w:lastRenderedPageBreak/>
              <w:t>Vilniaus GMPS pavėluotai perduotų iškvietimų (priedas Nr. 1)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 xml:space="preserve">Operatyvumas – nuvykus iki 25 min. į 1 – </w:t>
            </w:r>
            <w:proofErr w:type="spellStart"/>
            <w:r w:rsidRPr="00126CDE">
              <w:rPr>
                <w:szCs w:val="24"/>
              </w:rPr>
              <w:t>os</w:t>
            </w:r>
            <w:proofErr w:type="spellEnd"/>
            <w:r w:rsidRPr="00126CDE">
              <w:rPr>
                <w:szCs w:val="24"/>
              </w:rPr>
              <w:t xml:space="preserve"> reagavimo kategorijos kvietimus kaime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2856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(86.78%)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3046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(91.09%)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-190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(4.31%)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Operatyvumas pablogėjo dėl  Vilniaus GMPS pavėluotai perduotų iškvietimų (priedas Nr. 1)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GMP brigados iškvietimų  intensyvumas per 24 val.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10.12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10.18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-0.06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Atgaivintų pacientų skaičius per metus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17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15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+2</w:t>
            </w:r>
          </w:p>
        </w:tc>
      </w:tr>
      <w:tr w:rsidR="00074F4F" w:rsidRPr="00126CDE" w:rsidTr="00126CDE">
        <w:trPr>
          <w:trHeight w:val="1182"/>
        </w:trPr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  <w:lang w:val="en-US"/>
              </w:rPr>
            </w:pPr>
            <w:r w:rsidRPr="00126CDE">
              <w:rPr>
                <w:szCs w:val="24"/>
              </w:rPr>
              <w:t xml:space="preserve">Klasterių pacientai: Pacientų, su įtariamu galvos smegenų insultu tiesiogiai nuvežtų į insulto gydymo centrą 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22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19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+3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 xml:space="preserve">Pacientų, kuriems nustatytas MI  su ST segmento pakilimu, nuvežtų tiesiogiai į PKI centrą 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13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-5</w:t>
            </w:r>
          </w:p>
        </w:tc>
      </w:tr>
    </w:tbl>
    <w:p w:rsidR="00074F4F" w:rsidRPr="000E0594" w:rsidRDefault="00074F4F" w:rsidP="007E2005">
      <w:pPr>
        <w:spacing w:after="0" w:line="276" w:lineRule="auto"/>
        <w:jc w:val="center"/>
        <w:rPr>
          <w:bCs/>
          <w:szCs w:val="24"/>
        </w:rPr>
      </w:pPr>
    </w:p>
    <w:p w:rsidR="00074F4F" w:rsidRPr="000E0594" w:rsidRDefault="00074F4F" w:rsidP="007E2005">
      <w:pPr>
        <w:spacing w:after="0" w:line="276" w:lineRule="auto"/>
        <w:jc w:val="center"/>
        <w:rPr>
          <w:bCs/>
          <w:szCs w:val="24"/>
        </w:rPr>
      </w:pPr>
      <w:r w:rsidRPr="000E0594">
        <w:rPr>
          <w:bCs/>
          <w:szCs w:val="24"/>
        </w:rPr>
        <w:t>DUOMENYS VEIKLOS RODIKLIŲ APSKAIČIAVIMUI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2126"/>
        <w:gridCol w:w="2125"/>
        <w:gridCol w:w="1954"/>
      </w:tblGrid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RODIKLIS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ATASKAITINIAI METAI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PRAĖJĘ ATASKAITINIAI METAI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b/>
                <w:szCs w:val="24"/>
              </w:rPr>
            </w:pPr>
            <w:r w:rsidRPr="00126CDE">
              <w:rPr>
                <w:b/>
                <w:szCs w:val="24"/>
              </w:rPr>
              <w:t>POKYTIS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Gyventojų skaičius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Kreipimųsi dėl GMP paslaugos į VšĮ GMPS  skaičius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19.233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 xml:space="preserve">7644  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19.582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7632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- 349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+12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I-</w:t>
            </w:r>
            <w:proofErr w:type="spellStart"/>
            <w:r w:rsidRPr="00126CDE">
              <w:rPr>
                <w:szCs w:val="24"/>
              </w:rPr>
              <w:t>os</w:t>
            </w:r>
            <w:proofErr w:type="spellEnd"/>
            <w:r w:rsidRPr="00126CDE">
              <w:rPr>
                <w:szCs w:val="24"/>
              </w:rPr>
              <w:t xml:space="preserve"> reagavimo kategorijos kvietimų skaičius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  <w:lang w:val="en-US"/>
              </w:rPr>
            </w:pPr>
            <w:r w:rsidRPr="00126CDE">
              <w:rPr>
                <w:szCs w:val="24"/>
              </w:rPr>
              <w:lastRenderedPageBreak/>
              <w:t>Iš jų nuvykta iki 15min. (mieste) (%)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913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95.44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1004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95.87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- 91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-0.43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lastRenderedPageBreak/>
              <w:t>I-</w:t>
            </w:r>
            <w:proofErr w:type="spellStart"/>
            <w:r w:rsidRPr="00126CDE">
              <w:rPr>
                <w:szCs w:val="24"/>
              </w:rPr>
              <w:t>os</w:t>
            </w:r>
            <w:proofErr w:type="spellEnd"/>
            <w:r w:rsidRPr="00126CDE">
              <w:rPr>
                <w:szCs w:val="24"/>
              </w:rPr>
              <w:t xml:space="preserve"> reagavimo kategorijos kvietimų skaičius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Iš jų nuvykta iki 25 min.(kaime) (%)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2173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86.94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2178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91.09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-5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-4.15</w:t>
            </w:r>
          </w:p>
        </w:tc>
      </w:tr>
      <w:tr w:rsidR="00074F4F" w:rsidRPr="00126CDE" w:rsidTr="00126CDE">
        <w:trPr>
          <w:trHeight w:val="1621"/>
        </w:trPr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Aptarnautų pacientų skaičius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Kvietimų skaičius tenkantis 1 GMP brigadai per 24 val.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GMP brigadų skaičius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5154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10.12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2.55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5183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10.18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2.6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-29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-0,06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-0.05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Gaivintų pacientų skaičius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25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37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-12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Klasterių pacientai: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Bendras pacientų, su įtariamu galvos smegenų insultu nuvežtų į insulto gydymo centrą skaičius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Pacientų, tiesiogiai nuvežtų į insulto gydymo centrą iki 240 min.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152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19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171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23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-19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-4</w:t>
            </w:r>
          </w:p>
        </w:tc>
      </w:tr>
      <w:tr w:rsidR="00074F4F" w:rsidRPr="00126CDE" w:rsidTr="00126CDE">
        <w:tc>
          <w:tcPr>
            <w:tcW w:w="3402" w:type="dxa"/>
          </w:tcPr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Bendras pacientų, kuriems nustatytas miokardo infarktas su ST segmento pakilimu, nuvežtų į PKI centrą skaičius</w:t>
            </w:r>
          </w:p>
          <w:p w:rsidR="00074F4F" w:rsidRPr="00126CDE" w:rsidRDefault="00074F4F" w:rsidP="00126CDE">
            <w:pPr>
              <w:spacing w:line="276" w:lineRule="auto"/>
              <w:jc w:val="both"/>
              <w:rPr>
                <w:szCs w:val="24"/>
              </w:rPr>
            </w:pPr>
            <w:r w:rsidRPr="00126CDE">
              <w:rPr>
                <w:szCs w:val="24"/>
              </w:rPr>
              <w:t>Pacientų, tiesiogiai nuvežtų į PKĮ centrą skaičius</w:t>
            </w:r>
          </w:p>
        </w:tc>
        <w:tc>
          <w:tcPr>
            <w:tcW w:w="2127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37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13</w:t>
            </w:r>
          </w:p>
        </w:tc>
        <w:tc>
          <w:tcPr>
            <w:tcW w:w="2126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31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+6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  <w:r w:rsidRPr="00126CDE">
              <w:rPr>
                <w:szCs w:val="24"/>
              </w:rPr>
              <w:t>+4</w:t>
            </w:r>
          </w:p>
          <w:p w:rsidR="00074F4F" w:rsidRPr="00126CDE" w:rsidRDefault="00074F4F" w:rsidP="00126CDE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074F4F" w:rsidRPr="000E0594" w:rsidRDefault="00074F4F" w:rsidP="007E2005">
      <w:pPr>
        <w:spacing w:after="0" w:line="276" w:lineRule="auto"/>
        <w:ind w:left="5954"/>
        <w:rPr>
          <w:bCs/>
          <w:szCs w:val="24"/>
        </w:rPr>
      </w:pPr>
    </w:p>
    <w:p w:rsidR="00074F4F" w:rsidRPr="000E0594" w:rsidRDefault="004451E8" w:rsidP="007E2005">
      <w:pPr>
        <w:spacing w:after="0" w:line="276" w:lineRule="auto"/>
        <w:rPr>
          <w:bCs/>
          <w:szCs w:val="24"/>
        </w:rPr>
      </w:pPr>
      <w:r w:rsidRPr="00126CDE">
        <w:rPr>
          <w:noProof/>
          <w:szCs w:val="24"/>
          <w:lang w:eastAsia="lt-LT"/>
        </w:rPr>
        <w:lastRenderedPageBreak/>
        <w:drawing>
          <wp:inline distT="0" distB="0" distL="0" distR="0">
            <wp:extent cx="5505450" cy="3209925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F4F" w:rsidRPr="000E0594" w:rsidRDefault="00074F4F" w:rsidP="007E2005">
      <w:pPr>
        <w:spacing w:line="276" w:lineRule="auto"/>
        <w:rPr>
          <w:bCs/>
          <w:szCs w:val="24"/>
        </w:rPr>
      </w:pPr>
      <w:r w:rsidRPr="000E0594">
        <w:rPr>
          <w:szCs w:val="24"/>
        </w:rPr>
        <w:t>Operatyvumas pablogėjo dėl  Vilniaus GMPS pavėluotai perduotų iškvietimų (priedas Nr. 1)</w:t>
      </w:r>
    </w:p>
    <w:p w:rsidR="00074F4F" w:rsidRPr="000E0594" w:rsidRDefault="00074F4F" w:rsidP="007E2005">
      <w:pPr>
        <w:spacing w:after="0" w:line="276" w:lineRule="auto"/>
        <w:rPr>
          <w:bCs/>
          <w:szCs w:val="24"/>
        </w:rPr>
      </w:pPr>
    </w:p>
    <w:p w:rsidR="00074F4F" w:rsidRPr="000E0594" w:rsidRDefault="004451E8" w:rsidP="007E2005">
      <w:pPr>
        <w:spacing w:after="0" w:line="276" w:lineRule="auto"/>
        <w:rPr>
          <w:bCs/>
          <w:szCs w:val="24"/>
        </w:rPr>
      </w:pPr>
      <w:r w:rsidRPr="00126CDE">
        <w:rPr>
          <w:noProof/>
          <w:szCs w:val="24"/>
          <w:lang w:eastAsia="lt-LT"/>
        </w:rPr>
        <w:drawing>
          <wp:inline distT="0" distB="0" distL="0" distR="0">
            <wp:extent cx="5505450" cy="3209925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4F4F" w:rsidRPr="000E0594" w:rsidRDefault="00074F4F" w:rsidP="007E2005">
      <w:pPr>
        <w:spacing w:line="276" w:lineRule="auto"/>
        <w:rPr>
          <w:bCs/>
          <w:szCs w:val="24"/>
        </w:rPr>
      </w:pPr>
      <w:r w:rsidRPr="000E0594">
        <w:rPr>
          <w:szCs w:val="24"/>
        </w:rPr>
        <w:t>Operatyvumas pablogėjo dėl  Vilniaus GMPS pavėluotai perduotų iškvietimų (priedas Nr. 1)</w:t>
      </w:r>
    </w:p>
    <w:p w:rsidR="00074F4F" w:rsidRPr="000E0594" w:rsidRDefault="00074F4F" w:rsidP="007E2005">
      <w:pPr>
        <w:spacing w:after="0" w:line="276" w:lineRule="auto"/>
        <w:rPr>
          <w:bCs/>
          <w:szCs w:val="24"/>
        </w:rPr>
      </w:pPr>
    </w:p>
    <w:p w:rsidR="00074F4F" w:rsidRPr="000E0594" w:rsidRDefault="00074F4F" w:rsidP="007E2005">
      <w:pPr>
        <w:spacing w:after="0" w:line="276" w:lineRule="auto"/>
        <w:ind w:firstLine="1296"/>
        <w:rPr>
          <w:bCs/>
          <w:szCs w:val="24"/>
        </w:rPr>
      </w:pPr>
      <w:r w:rsidRPr="000E0594">
        <w:rPr>
          <w:bCs/>
          <w:szCs w:val="24"/>
        </w:rPr>
        <w:t>1.7. Molėtų rajono savivaldybės administracijos direktoriaus 2016 m. vasario 17 d.  raštu  Nr.  B22 - 267  „Dėl VšĮ Molėtų rajono greitosios medicinos pagalbos centro 2016 m. veiklos užduočių projekto“ nustatytos ir įvykdytos 2016 m. įstaigos veiklos užduotys (</w:t>
      </w:r>
      <w:proofErr w:type="spellStart"/>
      <w:r w:rsidRPr="000E0594">
        <w:rPr>
          <w:bCs/>
          <w:szCs w:val="24"/>
        </w:rPr>
        <w:t>žiūr</w:t>
      </w:r>
      <w:proofErr w:type="spellEnd"/>
      <w:r w:rsidRPr="000E0594">
        <w:rPr>
          <w:bCs/>
          <w:szCs w:val="24"/>
        </w:rPr>
        <w:t>. VšĮ Molėtų rajono greitosios medicinos pagalbos centro 2016 m. veiklos ataskaitoje):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1.7.1. Siekti teigiamo finansinio įstaigos veiklos rezultato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</w:rPr>
        <w:lastRenderedPageBreak/>
        <w:t xml:space="preserve">1.7.2. Neviršyti patvirtinto įstaigos sąnaudų darbo užmokesčiui normatyvo, </w:t>
      </w:r>
      <w:proofErr w:type="spellStart"/>
      <w:r w:rsidRPr="000E0594">
        <w:rPr>
          <w:szCs w:val="24"/>
        </w:rPr>
        <w:t>t.y</w:t>
      </w:r>
      <w:proofErr w:type="spellEnd"/>
      <w:r w:rsidRPr="000E0594">
        <w:rPr>
          <w:szCs w:val="24"/>
        </w:rPr>
        <w:t>.</w:t>
      </w:r>
      <w:r w:rsidRPr="000E0594">
        <w:rPr>
          <w:szCs w:val="24"/>
          <w:lang w:eastAsia="lt-LT"/>
        </w:rPr>
        <w:t xml:space="preserve"> 82   proc.(su valstybinio socialinio draudimo įmokomis į Garantinį fondą)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 xml:space="preserve">1.7.3. Sąnaudų medikamentams dalis, </w:t>
      </w:r>
      <w:proofErr w:type="spellStart"/>
      <w:r w:rsidRPr="000E0594">
        <w:rPr>
          <w:szCs w:val="24"/>
          <w:lang w:eastAsia="lt-LT"/>
        </w:rPr>
        <w:t>t.y</w:t>
      </w:r>
      <w:proofErr w:type="spellEnd"/>
      <w:r w:rsidRPr="000E0594">
        <w:rPr>
          <w:szCs w:val="24"/>
          <w:lang w:eastAsia="lt-LT"/>
        </w:rPr>
        <w:t>. 2 proc. visų įstaigos patirtų išlaidų per metus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 xml:space="preserve">1.7.4. Sąnaudų valdymo išlaidoms dalis, </w:t>
      </w:r>
      <w:proofErr w:type="spellStart"/>
      <w:r w:rsidRPr="000E0594">
        <w:rPr>
          <w:szCs w:val="24"/>
          <w:lang w:eastAsia="lt-LT"/>
        </w:rPr>
        <w:t>t.y</w:t>
      </w:r>
      <w:proofErr w:type="spellEnd"/>
      <w:r w:rsidRPr="000E0594">
        <w:rPr>
          <w:szCs w:val="24"/>
          <w:lang w:eastAsia="lt-LT"/>
        </w:rPr>
        <w:t>. 7 proc. visų įstaigos patirtų išlaidų per metus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 xml:space="preserve">1.7.5. Siekti pritraukti papildomų finansavimo šaltinių, </w:t>
      </w:r>
      <w:proofErr w:type="spellStart"/>
      <w:r w:rsidRPr="000E0594">
        <w:rPr>
          <w:szCs w:val="24"/>
          <w:lang w:eastAsia="lt-LT"/>
        </w:rPr>
        <w:t>t.y</w:t>
      </w:r>
      <w:proofErr w:type="spellEnd"/>
      <w:r w:rsidRPr="000E0594">
        <w:rPr>
          <w:szCs w:val="24"/>
          <w:lang w:eastAsia="lt-LT"/>
        </w:rPr>
        <w:t>.: dalyvavimas Molėtų rajono savivaldybės visuomenės sveikatos rėmimo programose, 2 proc. parama, privalomi pirmos pagalbos kursai, budėjimai renginių metu, ES struktūrinių fondų ir kt.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1.7.6. Siekti, kad įstaigos patikrų metu  nebūtų užfiksuota esminių pažeidimų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1.7.7. Pagal poreikį gerinti įstaigos darbuotojų aprūpinimą medicinine literatūra – įvykdyta (užprenumeruotas „Lietuvos gydytojo žurnalas“).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1.7.8. Siekiant gerinti ligonių aptarnavimo kokybę, didelį dėmesį skirti GMP darbuotojų kvalifikacijos kėlimui – įvykdyta (dalyvauta mokslinėse – praktinėse konferencijose: „Naujos psichoaktyviosios medžiagos“, „Kokybės vadybos sveikatos sistemoje pagrindai. Minimalūs ir maksimalūs reikalavimai kokybei“).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1.7.9. Naujai ruošti GMP vairuotojus vairuotojais – paramedikais išsiunčiant juos mokytis pagal Karaliaus Mindaugo profesinio mokymo centro paramedikų rengimo programą – įvykdyta (išsiųsti mokytis 3 vairuotojai).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1.7.10. Siekti tolimesnio įstaigos med. įrangos atnaujinimo. Organizuoti nusidėvėjusios medicininės įrangos atnaujinimą įsigyjant naujus kaklo įtvarus, kraujo spaudimo matuoklius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1.7.11. Vienyti kolektyvą vieningam komandiniam darbui pacientų bei GMPC labui, dalyvauti GMP veiklai aktualiuose renginiuose,  pratybose – įvykdyta (dalyvauta civilinės saugos, ekstremalių situacijų pratybose).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>1.7.12. Tolimesnis personalo darbo sąlygų gerinimas apdraudžiant darbuotojus nuo nelaimingų atsitikimų – darbuotojai apdrausti.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 xml:space="preserve">1.7.13. Nuolat stebėti ir analizuoti GMPC pacientų pasitenkinimo įstaigos teikiamomis paslaugomis lygį, bei pacientų skundų tendencijas per GMPC internetinėje svetainėje </w:t>
      </w:r>
      <w:hyperlink r:id="rId8" w:history="1">
        <w:r w:rsidRPr="000E0594">
          <w:rPr>
            <w:rStyle w:val="Hipersaitas"/>
            <w:szCs w:val="24"/>
            <w:lang w:eastAsia="lt-LT"/>
          </w:rPr>
          <w:t>www.moletugmp.lt</w:t>
        </w:r>
      </w:hyperlink>
      <w:r w:rsidRPr="000E0594">
        <w:rPr>
          <w:color w:val="1F497D"/>
          <w:szCs w:val="24"/>
          <w:u w:val="single"/>
          <w:lang w:eastAsia="lt-LT"/>
        </w:rPr>
        <w:t xml:space="preserve"> </w:t>
      </w:r>
      <w:r w:rsidRPr="000E0594">
        <w:rPr>
          <w:szCs w:val="24"/>
          <w:lang w:eastAsia="lt-LT"/>
        </w:rPr>
        <w:t>pateiktą anketą.</w:t>
      </w:r>
      <w:r w:rsidRPr="000E0594">
        <w:rPr>
          <w:szCs w:val="24"/>
        </w:rPr>
        <w:t xml:space="preserve"> Siekti  pacientų pasitenkinimo įstaigos teikiamomis paslaugomis bei jų kokybe – nuolat stebima.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lastRenderedPageBreak/>
        <w:t>1.7.14. Siekti, kad darbuotojų kaitos įstaigoje rodiklis būtų minimalus nuo visų įstaigos darbuotojų skaičiaus, išskyrus atvejus, kai darbuotojų kaitą lemia teisės aktų reikalavimai –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  <w:lang w:eastAsia="lt-LT"/>
        </w:rPr>
        <w:t xml:space="preserve">1.7.15. Siekti prioritetinių paslaugų teikimo – operatyvumo gerėjančios dinamikos – ne mažiau 80 </w:t>
      </w:r>
      <w:proofErr w:type="spellStart"/>
      <w:r w:rsidRPr="000E0594">
        <w:rPr>
          <w:szCs w:val="24"/>
          <w:lang w:eastAsia="lt-LT"/>
        </w:rPr>
        <w:t>proc.aptarnautų</w:t>
      </w:r>
      <w:proofErr w:type="spellEnd"/>
      <w:r w:rsidRPr="000E0594">
        <w:rPr>
          <w:szCs w:val="24"/>
          <w:lang w:eastAsia="lt-LT"/>
        </w:rPr>
        <w:t xml:space="preserve"> pacientų mieste ir kaime atitiktų teisės aktuose numatytus aptarnavimo laikui keliamus reikalavimus: mieste – 15 min., kaime – 25min.- įvykdyta.</w:t>
      </w:r>
    </w:p>
    <w:p w:rsidR="00074F4F" w:rsidRPr="000E0594" w:rsidRDefault="00074F4F" w:rsidP="007E2005">
      <w:pPr>
        <w:spacing w:before="100" w:beforeAutospacing="1" w:after="100" w:afterAutospacing="1" w:line="276" w:lineRule="auto"/>
        <w:ind w:left="426" w:firstLine="870"/>
        <w:jc w:val="both"/>
        <w:rPr>
          <w:szCs w:val="24"/>
          <w:lang w:eastAsia="lt-LT"/>
        </w:rPr>
      </w:pPr>
      <w:r w:rsidRPr="000E0594">
        <w:rPr>
          <w:szCs w:val="24"/>
        </w:rPr>
        <w:t>1.7.16. Toliau vystyti informacinių technologijų plėtrą  - GMP kvietimo kortelėje forma 110/a esančios informacijos perkėlimas į informacinę ir statistinę elektroninę apskaitos sistemą, n</w:t>
      </w:r>
      <w:r w:rsidRPr="000E0594">
        <w:rPr>
          <w:szCs w:val="24"/>
          <w:lang w:eastAsia="lt-LT"/>
        </w:rPr>
        <w:t>uolat atnaujinti įstaigos interneto svetainę pagal Vyriausybės patvirtintus reikalavimus ir užtikrinti jos veikimą – įvykdyta.</w:t>
      </w:r>
    </w:p>
    <w:p w:rsidR="00074F4F" w:rsidRPr="000E0594" w:rsidRDefault="00074F4F" w:rsidP="007E2005">
      <w:pPr>
        <w:pStyle w:val="prastasiniatinklio"/>
        <w:spacing w:line="276" w:lineRule="auto"/>
        <w:ind w:left="426" w:firstLine="870"/>
        <w:jc w:val="both"/>
      </w:pPr>
      <w:r w:rsidRPr="000E0594">
        <w:t>1.7.17. Užtikrinti TLK sutartyje numatytų paslaugų teikimą, nemažinant prioritetinių paslaugų apimties – įvykdyta.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1.8. Prioritetai, keliami nauji einamų metų uždaviniai: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 xml:space="preserve"> 1.8.1. užtikrinti kokybišką ir efektyvią </w:t>
      </w:r>
      <w:proofErr w:type="spellStart"/>
      <w:r w:rsidRPr="000E0594">
        <w:t>gmp</w:t>
      </w:r>
      <w:proofErr w:type="spellEnd"/>
      <w:r w:rsidRPr="000E0594">
        <w:t xml:space="preserve"> paslaugą, orientuotą į gyventojų poreikius – siekti, kad 1 – </w:t>
      </w:r>
      <w:proofErr w:type="spellStart"/>
      <w:r w:rsidRPr="000E0594">
        <w:t>os</w:t>
      </w:r>
      <w:proofErr w:type="spellEnd"/>
      <w:r w:rsidRPr="000E0594">
        <w:t xml:space="preserve"> kategorijos iškvietimai sudarytų ne mažiau kaip 80%  nuo bendro iškvietimų skaičiaus; 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1.8.2. įsilieti į Lietuvos e. sveikatos sistemą, nuolat tobulinant gebėjimus;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1.8.3. mažinti neįgalumą ir pirmalaikį mirtingumą nuo išorinių priežasčių – traumų, nelaimingų atsitikimų, nuo širdies ir galvos kraujotakos sistemos ligų;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1.8.4. remiantis numatytais Molėtų rajono savivaldybės strateginiais tikslais, sudaryti sąlygas sveikai, saugiai, darniai ir veržliai visuomenei vystytis – organizuoti visuomenei pirmosios medicinos pagalbos mokymus.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 xml:space="preserve">1.8.5. užtikrinti </w:t>
      </w:r>
      <w:proofErr w:type="spellStart"/>
      <w:r w:rsidRPr="000E0594">
        <w:t>gmp</w:t>
      </w:r>
      <w:proofErr w:type="spellEnd"/>
      <w:r w:rsidRPr="000E0594">
        <w:t xml:space="preserve"> paslaugos prieinamumą ekstremaliųjų situacijų atvejais, saugą,  Molėtų rajone vykstančių renginių metu;</w:t>
      </w:r>
    </w:p>
    <w:p w:rsidR="004451E8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 xml:space="preserve">1.8.6. prisidėti prie visuomenės ir pilietiškumo ugdymo – pirmosios medicinos pagalbos mokymai; 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1.8.7. GMPC, kaip konkurencingos darbovietės darbo rinkoje įvaizdžio formavimas.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 xml:space="preserve">1.9. Laukiantys iššūkiai,  trūkumai, grėsmės: 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1.9.1. neapibrėžta, neaiški GMP įstaigų perspektyva;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1.9.2. finansavimo šaltinis – TLK finansuoja pagal statistinį gyventojų skaičių, kuris nuolat mažėja, o darbo krūvis ir išlaidos senstant visuomenei ir dalyvaujant klasterių veikloje didėja.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lastRenderedPageBreak/>
        <w:t xml:space="preserve">1.9.3. GMP automobilių parkas – </w:t>
      </w:r>
      <w:proofErr w:type="spellStart"/>
      <w:r w:rsidRPr="000E0594">
        <w:t>gmp</w:t>
      </w:r>
      <w:proofErr w:type="spellEnd"/>
      <w:r w:rsidRPr="000E0594">
        <w:t xml:space="preserve"> automobiliai eksploatuojami daugiau kaip po 7 metus - </w:t>
      </w:r>
      <w:proofErr w:type="spellStart"/>
      <w:r w:rsidRPr="000E0594">
        <w:t>nusidevėję</w:t>
      </w:r>
      <w:proofErr w:type="spellEnd"/>
      <w:r w:rsidRPr="000E0594">
        <w:t xml:space="preserve">, o SAM delsia atnaujinti </w:t>
      </w:r>
      <w:proofErr w:type="spellStart"/>
      <w:r w:rsidRPr="000E0594">
        <w:t>gmp</w:t>
      </w:r>
      <w:proofErr w:type="spellEnd"/>
      <w:r w:rsidRPr="000E0594">
        <w:t xml:space="preserve"> automobilių parką;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1.9.4. jaučiamas skubios medicinos pagalbos slaugos darbuotojų trūkumas, dėl šalyje jau eilę metų  neruošiamų šios krypties specialistų.</w:t>
      </w:r>
    </w:p>
    <w:p w:rsidR="00074F4F" w:rsidRPr="000E0594" w:rsidRDefault="00074F4F" w:rsidP="00836BCC">
      <w:pPr>
        <w:pStyle w:val="prastasiniatinklio"/>
        <w:spacing w:line="276" w:lineRule="auto"/>
        <w:ind w:firstLine="1296"/>
        <w:jc w:val="center"/>
      </w:pPr>
      <w:r w:rsidRPr="000E0594">
        <w:rPr>
          <w:b/>
        </w:rPr>
        <w:t>II.  STIRYBĖS, GALIMYBĖS BEI LAUKIAMI REZULTATA</w:t>
      </w:r>
      <w:r w:rsidRPr="000E0594">
        <w:t>I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2.1. Nežiūrint į didelę profesinę patirtį, pagal finansines galimybes ir toliau bus keliama įstaigos darbuotojų kvalifikacija.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2.2. Laukiamas GMP automobilių parko atnaujinimas;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2.3. Siekiant pagerinti pradinio gaivinimo rezultatus – padidinti atgaivintų pacientų skaičių, palengvinti GMP darbuotojų darbą ruošiamasi įsigyti ir pradėti dirbti su automatine išorinio širdies masažo sistema – AUTOPULSAS.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2.4. Siekiant kokybiškos ir efektyvios GMP paslaugos bus ir toliau bendradarbiaujama   su  kitomis ASPĮ.</w:t>
      </w:r>
    </w:p>
    <w:p w:rsidR="00074F4F" w:rsidRPr="000E0594" w:rsidRDefault="00074F4F" w:rsidP="007E2005">
      <w:pPr>
        <w:pStyle w:val="prastasiniatinklio"/>
        <w:spacing w:line="276" w:lineRule="auto"/>
        <w:ind w:firstLine="1296"/>
        <w:jc w:val="both"/>
      </w:pPr>
      <w:r w:rsidRPr="000E0594">
        <w:t>2.5. Pagal numatytus teisės aktus racionaliai ir tikslingai naudojami įstaigos finansiniai ištekliai.</w:t>
      </w:r>
    </w:p>
    <w:p w:rsidR="00074F4F" w:rsidRDefault="004451E8" w:rsidP="007E2005">
      <w:pPr>
        <w:spacing w:after="0" w:line="276" w:lineRule="auto"/>
        <w:rPr>
          <w:bCs/>
          <w:szCs w:val="24"/>
        </w:rPr>
      </w:pPr>
      <w:r w:rsidRPr="00126CDE">
        <w:rPr>
          <w:noProof/>
          <w:szCs w:val="24"/>
          <w:lang w:eastAsia="lt-LT"/>
        </w:rPr>
        <w:drawing>
          <wp:inline distT="0" distB="0" distL="0" distR="0">
            <wp:extent cx="5505450" cy="320992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F4F" w:rsidRDefault="00074F4F" w:rsidP="007E2005">
      <w:pPr>
        <w:spacing w:after="0" w:line="276" w:lineRule="auto"/>
        <w:ind w:left="5954"/>
        <w:rPr>
          <w:bCs/>
          <w:szCs w:val="24"/>
        </w:rPr>
      </w:pPr>
    </w:p>
    <w:p w:rsidR="00074F4F" w:rsidRDefault="00074F4F" w:rsidP="007E2005">
      <w:pPr>
        <w:spacing w:after="0" w:line="276" w:lineRule="auto"/>
        <w:ind w:left="5954"/>
        <w:rPr>
          <w:bCs/>
          <w:szCs w:val="24"/>
        </w:rPr>
      </w:pPr>
    </w:p>
    <w:p w:rsidR="00074F4F" w:rsidRDefault="00074F4F" w:rsidP="007E2005">
      <w:pPr>
        <w:spacing w:after="0" w:line="276" w:lineRule="auto"/>
        <w:ind w:left="5954"/>
        <w:rPr>
          <w:bCs/>
          <w:szCs w:val="24"/>
        </w:rPr>
      </w:pPr>
    </w:p>
    <w:p w:rsidR="00074F4F" w:rsidRDefault="00074F4F" w:rsidP="007E2005">
      <w:pPr>
        <w:spacing w:after="0" w:line="276" w:lineRule="auto"/>
        <w:ind w:left="5954"/>
        <w:rPr>
          <w:bCs/>
          <w:szCs w:val="24"/>
        </w:rPr>
      </w:pPr>
    </w:p>
    <w:p w:rsidR="00074F4F" w:rsidRDefault="00074F4F" w:rsidP="007E2005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Direktorė                                                                                                                Auksė </w:t>
      </w:r>
      <w:proofErr w:type="spellStart"/>
      <w:r>
        <w:rPr>
          <w:bCs/>
          <w:szCs w:val="24"/>
        </w:rPr>
        <w:t>Mackonienė</w:t>
      </w:r>
      <w:proofErr w:type="spellEnd"/>
    </w:p>
    <w:sectPr w:rsidR="00074F4F" w:rsidSect="00E31D34">
      <w:pgSz w:w="11906" w:h="16838"/>
      <w:pgMar w:top="198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9"/>
    <w:multiLevelType w:val="hybridMultilevel"/>
    <w:tmpl w:val="8B1E91EA"/>
    <w:lvl w:ilvl="0" w:tplc="A06AAB70">
      <w:start w:val="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D37AA"/>
    <w:multiLevelType w:val="multilevel"/>
    <w:tmpl w:val="0C267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5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cs="Times New Roman" w:hint="default"/>
      </w:rPr>
    </w:lvl>
  </w:abstractNum>
  <w:abstractNum w:abstractNumId="2" w15:restartNumberingAfterBreak="0">
    <w:nsid w:val="2B2E3798"/>
    <w:multiLevelType w:val="hybridMultilevel"/>
    <w:tmpl w:val="EA4C22AC"/>
    <w:lvl w:ilvl="0" w:tplc="1A3A88C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BCB4015"/>
    <w:multiLevelType w:val="hybridMultilevel"/>
    <w:tmpl w:val="D7D83662"/>
    <w:lvl w:ilvl="0" w:tplc="91C6CBCC">
      <w:start w:val="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56917"/>
    <w:multiLevelType w:val="hybridMultilevel"/>
    <w:tmpl w:val="3D8CAA86"/>
    <w:lvl w:ilvl="0" w:tplc="388A7DBC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FC96A35"/>
    <w:multiLevelType w:val="hybridMultilevel"/>
    <w:tmpl w:val="2C88BD5E"/>
    <w:lvl w:ilvl="0" w:tplc="354C18AE">
      <w:start w:val="201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06E39E2"/>
    <w:multiLevelType w:val="multilevel"/>
    <w:tmpl w:val="0478E9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7" w15:restartNumberingAfterBreak="0">
    <w:nsid w:val="3F253842"/>
    <w:multiLevelType w:val="hybridMultilevel"/>
    <w:tmpl w:val="529CB8BA"/>
    <w:lvl w:ilvl="0" w:tplc="C7383F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FC0DD3"/>
    <w:multiLevelType w:val="hybridMultilevel"/>
    <w:tmpl w:val="F2C2BD7A"/>
    <w:lvl w:ilvl="0" w:tplc="388A7DBC">
      <w:start w:val="1"/>
      <w:numFmt w:val="upperRoman"/>
      <w:lvlText w:val="%1."/>
      <w:lvlJc w:val="left"/>
      <w:pPr>
        <w:ind w:left="504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4FA52603"/>
    <w:multiLevelType w:val="hybridMultilevel"/>
    <w:tmpl w:val="A7A4E8B0"/>
    <w:lvl w:ilvl="0" w:tplc="B0C2B0BC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1052"/>
    <w:multiLevelType w:val="hybridMultilevel"/>
    <w:tmpl w:val="96109132"/>
    <w:lvl w:ilvl="0" w:tplc="042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C8C21A5"/>
    <w:multiLevelType w:val="hybridMultilevel"/>
    <w:tmpl w:val="D8B41306"/>
    <w:lvl w:ilvl="0" w:tplc="76B0B1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237E9"/>
    <w:multiLevelType w:val="hybridMultilevel"/>
    <w:tmpl w:val="24042BC2"/>
    <w:lvl w:ilvl="0" w:tplc="89146884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3" w15:restartNumberingAfterBreak="0">
    <w:nsid w:val="69F06E62"/>
    <w:multiLevelType w:val="multilevel"/>
    <w:tmpl w:val="59FED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8C5C64"/>
    <w:multiLevelType w:val="hybridMultilevel"/>
    <w:tmpl w:val="B8004CB6"/>
    <w:lvl w:ilvl="0" w:tplc="61FC847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9E"/>
    <w:rsid w:val="0001459C"/>
    <w:rsid w:val="000622F8"/>
    <w:rsid w:val="00074F4F"/>
    <w:rsid w:val="000849D3"/>
    <w:rsid w:val="000A069D"/>
    <w:rsid w:val="000E0594"/>
    <w:rsid w:val="001026CD"/>
    <w:rsid w:val="00110971"/>
    <w:rsid w:val="00126CDE"/>
    <w:rsid w:val="001372A5"/>
    <w:rsid w:val="0014383B"/>
    <w:rsid w:val="00155DF8"/>
    <w:rsid w:val="00186571"/>
    <w:rsid w:val="00197551"/>
    <w:rsid w:val="001C26A5"/>
    <w:rsid w:val="001C6C6E"/>
    <w:rsid w:val="001F73BD"/>
    <w:rsid w:val="00203342"/>
    <w:rsid w:val="002176EC"/>
    <w:rsid w:val="00221455"/>
    <w:rsid w:val="00232DB9"/>
    <w:rsid w:val="0025511D"/>
    <w:rsid w:val="00261521"/>
    <w:rsid w:val="00265D51"/>
    <w:rsid w:val="00273D46"/>
    <w:rsid w:val="00276A4B"/>
    <w:rsid w:val="002D02EC"/>
    <w:rsid w:val="003022A4"/>
    <w:rsid w:val="00314487"/>
    <w:rsid w:val="00317612"/>
    <w:rsid w:val="003253B0"/>
    <w:rsid w:val="003279AE"/>
    <w:rsid w:val="00336AC0"/>
    <w:rsid w:val="003572B1"/>
    <w:rsid w:val="003705BE"/>
    <w:rsid w:val="003A4285"/>
    <w:rsid w:val="003D1530"/>
    <w:rsid w:val="003D239C"/>
    <w:rsid w:val="003F2183"/>
    <w:rsid w:val="004415C8"/>
    <w:rsid w:val="004451E8"/>
    <w:rsid w:val="0047051F"/>
    <w:rsid w:val="00491F10"/>
    <w:rsid w:val="004B02C4"/>
    <w:rsid w:val="004D4A7C"/>
    <w:rsid w:val="00554C67"/>
    <w:rsid w:val="0056709E"/>
    <w:rsid w:val="005674AB"/>
    <w:rsid w:val="00575069"/>
    <w:rsid w:val="0058765D"/>
    <w:rsid w:val="005B430C"/>
    <w:rsid w:val="005B4975"/>
    <w:rsid w:val="005D32C2"/>
    <w:rsid w:val="00610CAF"/>
    <w:rsid w:val="0066140B"/>
    <w:rsid w:val="006F12B2"/>
    <w:rsid w:val="007167BB"/>
    <w:rsid w:val="00720861"/>
    <w:rsid w:val="0072173A"/>
    <w:rsid w:val="007422FA"/>
    <w:rsid w:val="007468C4"/>
    <w:rsid w:val="007513BD"/>
    <w:rsid w:val="00771D9C"/>
    <w:rsid w:val="007D12DF"/>
    <w:rsid w:val="007D2F7B"/>
    <w:rsid w:val="007E2005"/>
    <w:rsid w:val="007E7BBD"/>
    <w:rsid w:val="00800E36"/>
    <w:rsid w:val="00817850"/>
    <w:rsid w:val="008228FF"/>
    <w:rsid w:val="00822BCD"/>
    <w:rsid w:val="00836BCC"/>
    <w:rsid w:val="0088259B"/>
    <w:rsid w:val="0088484B"/>
    <w:rsid w:val="0089121D"/>
    <w:rsid w:val="008C32BB"/>
    <w:rsid w:val="008E2C0D"/>
    <w:rsid w:val="008E4490"/>
    <w:rsid w:val="0093711C"/>
    <w:rsid w:val="00950543"/>
    <w:rsid w:val="00975A69"/>
    <w:rsid w:val="0099139E"/>
    <w:rsid w:val="009B684A"/>
    <w:rsid w:val="009C35C2"/>
    <w:rsid w:val="00A06E96"/>
    <w:rsid w:val="00A17B36"/>
    <w:rsid w:val="00A21CC0"/>
    <w:rsid w:val="00A36B42"/>
    <w:rsid w:val="00A4350C"/>
    <w:rsid w:val="00A90E87"/>
    <w:rsid w:val="00AA0979"/>
    <w:rsid w:val="00AA735D"/>
    <w:rsid w:val="00AC0BC1"/>
    <w:rsid w:val="00AD0481"/>
    <w:rsid w:val="00AF4D22"/>
    <w:rsid w:val="00B30C2A"/>
    <w:rsid w:val="00B367C4"/>
    <w:rsid w:val="00B56970"/>
    <w:rsid w:val="00B75DE6"/>
    <w:rsid w:val="00B82FD9"/>
    <w:rsid w:val="00BB43A8"/>
    <w:rsid w:val="00C17AD7"/>
    <w:rsid w:val="00C3425A"/>
    <w:rsid w:val="00C50D96"/>
    <w:rsid w:val="00C63A08"/>
    <w:rsid w:val="00C7606B"/>
    <w:rsid w:val="00CA2DA4"/>
    <w:rsid w:val="00CE7ED8"/>
    <w:rsid w:val="00D556DF"/>
    <w:rsid w:val="00DB24E8"/>
    <w:rsid w:val="00DD5E10"/>
    <w:rsid w:val="00DE6E0A"/>
    <w:rsid w:val="00DF4A34"/>
    <w:rsid w:val="00E07F6C"/>
    <w:rsid w:val="00E31D34"/>
    <w:rsid w:val="00E5320B"/>
    <w:rsid w:val="00E707DF"/>
    <w:rsid w:val="00E742CB"/>
    <w:rsid w:val="00E81F7F"/>
    <w:rsid w:val="00E84FAB"/>
    <w:rsid w:val="00EA1143"/>
    <w:rsid w:val="00EA1347"/>
    <w:rsid w:val="00EB1248"/>
    <w:rsid w:val="00EF735A"/>
    <w:rsid w:val="00F0259E"/>
    <w:rsid w:val="00F73578"/>
    <w:rsid w:val="00FA0691"/>
    <w:rsid w:val="00FB5349"/>
    <w:rsid w:val="00FB616F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1F15A"/>
  <w15:docId w15:val="{A324660E-7B41-463A-9C14-DC285AF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39E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47051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47051F"/>
    <w:rPr>
      <w:rFonts w:ascii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99"/>
    <w:qFormat/>
    <w:rsid w:val="0099139E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9913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rsid w:val="0047051F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semiHidden/>
    <w:rsid w:val="00336AC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2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tugmp.lt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gmp.moletu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2012-2016 m. įvykdytų skubių iškvietimų miesto</a:t>
            </a:r>
            <a:r>
              <a:rPr lang="lt-LT" baseline="0"/>
              <a:t> vietovėje operatyvumas</a:t>
            </a:r>
            <a:endParaRPr lang="lt-LT"/>
          </a:p>
        </c:rich>
      </c:tx>
      <c:layout/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Iki 15 min</c:v>
                </c:pt>
              </c:strCache>
            </c:strRef>
          </c:tx>
          <c:spPr>
            <a:solidFill>
              <a:srgbClr val="4F81B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98.6</c:v>
                </c:pt>
                <c:pt idx="1">
                  <c:v>98.4</c:v>
                </c:pt>
                <c:pt idx="2">
                  <c:v>96.8</c:v>
                </c:pt>
                <c:pt idx="3">
                  <c:v>91</c:v>
                </c:pt>
                <c:pt idx="4">
                  <c:v>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2-4092-BF38-A79D8D2241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Virš 15 min</c:v>
                </c:pt>
              </c:strCache>
            </c:strRef>
          </c:tx>
          <c:spPr>
            <a:solidFill>
              <a:srgbClr val="C0504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1.4</c:v>
                </c:pt>
                <c:pt idx="1">
                  <c:v>1.4</c:v>
                </c:pt>
                <c:pt idx="2">
                  <c:v>3.2</c:v>
                </c:pt>
                <c:pt idx="3">
                  <c:v>9</c:v>
                </c:pt>
                <c:pt idx="4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82-4092-BF38-A79D8D2241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3230152"/>
        <c:axId val="1"/>
      </c:barChart>
      <c:catAx>
        <c:axId val="18323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8323015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2012-2016 m. įvykdytų skubių iškvietimų kaimo vietovėje operatyvumas</a:t>
            </a:r>
          </a:p>
        </c:rich>
      </c:tx>
      <c:layout/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Iki 15 min</c:v>
                </c:pt>
              </c:strCache>
            </c:strRef>
          </c:tx>
          <c:spPr>
            <a:solidFill>
              <a:srgbClr val="4F81B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98.2</c:v>
                </c:pt>
                <c:pt idx="1">
                  <c:v>97.1</c:v>
                </c:pt>
                <c:pt idx="2">
                  <c:v>92.5</c:v>
                </c:pt>
                <c:pt idx="3">
                  <c:v>88.5</c:v>
                </c:pt>
                <c:pt idx="4">
                  <c:v>84.2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1-44B9-9EED-87A425207B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Virš 15 min</c:v>
                </c:pt>
              </c:strCache>
            </c:strRef>
          </c:tx>
          <c:spPr>
            <a:solidFill>
              <a:srgbClr val="C0504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1.8</c:v>
                </c:pt>
                <c:pt idx="1">
                  <c:v>2.9</c:v>
                </c:pt>
                <c:pt idx="2">
                  <c:v>7.5</c:v>
                </c:pt>
                <c:pt idx="3">
                  <c:v>11.5</c:v>
                </c:pt>
                <c:pt idx="4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1-44B9-9EED-87A425207B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2252200"/>
        <c:axId val="1"/>
      </c:barChart>
      <c:catAx>
        <c:axId val="18225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822522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GMPC išlaidos per 2016 finansinius metus</a:t>
            </a:r>
            <a:endParaRPr lang="en-US"/>
          </a:p>
        </c:rich>
      </c:tx>
      <c:layout/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E79-4A96-8963-E3D3527EC6D9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E79-4A96-8963-E3D3527EC6D9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E79-4A96-8963-E3D3527EC6D9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E79-4A96-8963-E3D3527EC6D9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E79-4A96-8963-E3D3527EC6D9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  <a:ln w="25401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E79-4A96-8963-E3D3527EC6D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EE79-4A96-8963-E3D3527EC6D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E79-4A96-8963-E3D3527EC6D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EE79-4A96-8963-E3D3527EC6D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E79-4A96-8963-E3D3527EC6D9}"/>
              </c:ext>
            </c:extLst>
          </c:dPt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10"/>
                <c:pt idx="0">
                  <c:v>Darbo užmok., soc dr., garant.f.</c:v>
                </c:pt>
                <c:pt idx="1">
                  <c:v>Ilgalaikio turto nusid.</c:v>
                </c:pt>
                <c:pt idx="2">
                  <c:v>Komunalinių paslaugų</c:v>
                </c:pt>
                <c:pt idx="3">
                  <c:v>Ryšių sąnaudos</c:v>
                </c:pt>
                <c:pt idx="4">
                  <c:v>Transporto paslaugų</c:v>
                </c:pt>
                <c:pt idx="5">
                  <c:v>Kvalif. Kelimo</c:v>
                </c:pt>
                <c:pt idx="6">
                  <c:v>Remonto</c:v>
                </c:pt>
                <c:pt idx="7">
                  <c:v>Vaistų ir med priemonių</c:v>
                </c:pt>
                <c:pt idx="8">
                  <c:v>Draudimo</c:v>
                </c:pt>
                <c:pt idx="9">
                  <c:v>Kitos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288032</c:v>
                </c:pt>
                <c:pt idx="1">
                  <c:v>4135</c:v>
                </c:pt>
                <c:pt idx="2">
                  <c:v>5631</c:v>
                </c:pt>
                <c:pt idx="3">
                  <c:v>1392</c:v>
                </c:pt>
                <c:pt idx="4">
                  <c:v>20926</c:v>
                </c:pt>
                <c:pt idx="5">
                  <c:v>962</c:v>
                </c:pt>
                <c:pt idx="6">
                  <c:v>16004</c:v>
                </c:pt>
                <c:pt idx="7">
                  <c:v>6242</c:v>
                </c:pt>
                <c:pt idx="8">
                  <c:v>2670</c:v>
                </c:pt>
                <c:pt idx="9">
                  <c:v>9744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79-4A96-8963-E3D3527EC6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1467</Words>
  <Characters>10895</Characters>
  <Application>Microsoft Office Word</Application>
  <DocSecurity>0</DocSecurity>
  <Lines>90</Lines>
  <Paragraphs>24</Paragraphs>
  <ScaleCrop>false</ScaleCrop>
  <Company>HP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MOLĖTŲ RAJONO GREITOSIOS MEDICINOS PAGALBOS CENTRO 2016 M</dc:title>
  <dc:subject/>
  <dc:creator>Aukse</dc:creator>
  <cp:keywords/>
  <dc:description/>
  <cp:lastModifiedBy>Bareikytė Miglė</cp:lastModifiedBy>
  <cp:revision>4</cp:revision>
  <dcterms:created xsi:type="dcterms:W3CDTF">2017-03-06T09:06:00Z</dcterms:created>
  <dcterms:modified xsi:type="dcterms:W3CDTF">2017-04-14T08:24:00Z</dcterms:modified>
</cp:coreProperties>
</file>