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F46F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MOLĖTŲ RAJONO SAVIVALDYBĖS APLINKOS APSAUGOS RĖMIMO SPECIALIOSIOS PROGRAMOS 2016 METŲ PRIEMONIŲ VYKDYMO ATASKAITOS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MOLĖTŲ RAJONO SAVIVALDYBĖS APLINKOS APSAUGOS RĖMIMO SPECIALIOSIOS PROGRAMOS 2016 METŲ PRIEMONIŲ VYKDYMO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F46F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7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2017</w:t>
      </w:r>
      <w:r>
        <w:fldChar w:fldCharType="end"/>
      </w:r>
      <w:bookmarkEnd w:id="2"/>
      <w:r w:rsidR="00C16EA1">
        <w:t xml:space="preserve"> m. </w:t>
      </w:r>
      <w:r w:rsidR="00A72082">
        <w:t>vasario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72082" w:rsidRDefault="00A72082" w:rsidP="00A7208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2082">
        <w:t xml:space="preserve">Vadovaudamasi Lietuvos Respublikos vietos savivaldos įstatymo 16 straipsnio 4 dalimi bei Savivaldybių aplinkos apsaugos rėmimo specialiosios programos priemonių vykdymo patikrinimo tvarkos aprašo, patvirtinto Lietuvos Respublikos aplinkos ministro </w:t>
      </w:r>
      <w:smartTag w:uri="urn:schemas-microsoft-com:office:smarttags" w:element="metricconverter">
        <w:smartTagPr>
          <w:attr w:name="ProductID" w:val="2011 m"/>
        </w:smartTagPr>
        <w:r w:rsidRPr="00A72082">
          <w:t>2011 m</w:t>
        </w:r>
      </w:smartTag>
      <w:r w:rsidRPr="00A72082">
        <w:t>. kovo 4 d. įsakymu Nr. D1-201 „Dėl Savivaldybių aplinkos apsaugos rėmimo specialiosios programos priemonių vykdymo patikrinimo tvarkos aprašo, Savivaldybių aplinkos apsaugos rėmimo specialiosios programos priemoni</w:t>
      </w:r>
      <w:r w:rsidR="008108DC">
        <w:t>ų vykdymo ataskaitos formos ir S</w:t>
      </w:r>
      <w:r w:rsidRPr="00A72082">
        <w:t xml:space="preserve">avivaldybių aplinkos apsaugos rėmimo specialiosios programos priemonių vykdymo ataskaitos formos pildymo taisyklių patvirtinimo“, 4 punktu, </w:t>
      </w:r>
    </w:p>
    <w:p w:rsidR="00A72082" w:rsidRDefault="00A72082" w:rsidP="00A7208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2082">
        <w:t>Molėtų rajono savivaldybės taryba n u s p r e n d ž i a</w:t>
      </w:r>
      <w:r>
        <w:t>:</w:t>
      </w:r>
    </w:p>
    <w:p w:rsidR="00A72082" w:rsidRPr="00A72082" w:rsidRDefault="00A72082" w:rsidP="00A7208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P</w:t>
      </w:r>
      <w:r w:rsidRPr="00A72082">
        <w:t xml:space="preserve">atvirtinti Molėtų rajono savivaldybės aplinkos apsaugos rėmimo specialiosios programos </w:t>
      </w:r>
      <w:r w:rsidR="00CF46F3">
        <w:t>2016</w:t>
      </w:r>
      <w:r w:rsidR="006038BD">
        <w:t xml:space="preserve"> metų </w:t>
      </w:r>
      <w:r w:rsidRPr="00A72082">
        <w:t>priemonių vykdymo ataskaitą (pridedama).</w:t>
      </w:r>
    </w:p>
    <w:p w:rsidR="00C16EA1" w:rsidRDefault="006632A9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495A3F87121442B9B67134FDDB4D133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64765D" w:rsidRDefault="0064765D">
      <w:r>
        <w:br w:type="page"/>
      </w:r>
    </w:p>
    <w:p w:rsidR="00575C8B" w:rsidRDefault="00575C8B"/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  <w:r w:rsidRPr="00575C8B">
        <w:t>PATVIRTINTA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 w:rsidRPr="00575C8B">
        <w:t xml:space="preserve">Molėtų rajono savivaldybės tarybos </w:t>
      </w:r>
    </w:p>
    <w:p w:rsidR="00575C8B" w:rsidRPr="00575C8B" w:rsidRDefault="00CF46F3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>
        <w:t>2017</w:t>
      </w:r>
      <w:r w:rsidR="00575C8B" w:rsidRPr="00575C8B">
        <w:t xml:space="preserve"> m. vasario    d. sprendimu Nr.B1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 xml:space="preserve">MOLĖTŲ RAJONO SAVIVALDYBĖS </w:t>
      </w: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>APLINKOS APSAUGOS RĖM</w:t>
      </w:r>
      <w:r w:rsidR="00CF46F3" w:rsidRPr="0064765D">
        <w:rPr>
          <w:b/>
        </w:rPr>
        <w:t>IMO SPECIALIOSIOS PROGRAMOS 2016</w:t>
      </w:r>
      <w:r w:rsidRPr="0064765D">
        <w:rPr>
          <w:b/>
        </w:rPr>
        <w:t xml:space="preserve"> METŲ  PRIEMONIŲ VYKDYMO ATASKAITA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1. Informacija apie Savivaldybės aplinkos apsaugos rėmimo specialiosios programos (toliau – Programa) lėšas</w:t>
      </w:r>
      <w:r w:rsidR="0064765D">
        <w:t>:</w:t>
      </w:r>
    </w:p>
    <w:p w:rsidR="00575C8B" w:rsidRPr="00575C8B" w:rsidRDefault="00575C8B" w:rsidP="00575C8B">
      <w:pPr>
        <w:autoSpaceDE w:val="0"/>
        <w:autoSpaceDN w:val="0"/>
        <w:adjustRightInd w:val="0"/>
        <w:ind w:firstLine="3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449"/>
        <w:gridCol w:w="1370"/>
      </w:tblGrid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(1) Programos finansavimo šaltiniai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Surinkta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teršalų išmetimą į aplinką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17658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1.2.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valstybinius gamtos išteklius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8330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1.3.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Lėšos, gautos kaip želdinių atkuriamosios vertės kompensacija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1.4.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1.5.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 + 1.2 + 1.3 + 1.4):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25988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1.6.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>Mokesčiai, sumokėti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17152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1.7.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6294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1.8.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(1.6 + 1.7):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23446</w:t>
            </w:r>
          </w:p>
        </w:tc>
      </w:tr>
      <w:tr w:rsidR="00575C8B" w:rsidRPr="00575C8B" w:rsidTr="00AF532D">
        <w:trPr>
          <w:trHeight w:val="107"/>
        </w:trPr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1.9.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Faktinės ataskaitinio laikotarpio Programos lėšos (1.5 + 1.8)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49434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68"/>
        <w:gridCol w:w="1364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rPr>
                <w:color w:val="000000"/>
              </w:rPr>
              <w:t xml:space="preserve">(2) 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specialiajai programai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Lėšos,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1.10.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20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5198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1523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(1.10 + 1.11):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6721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68"/>
        <w:gridCol w:w="1364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(3) Kitoms Programos priemonėms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Lėšos,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80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20790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1.14.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15034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1.15.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(1.13 + 1.14):</w:t>
            </w:r>
          </w:p>
        </w:tc>
        <w:tc>
          <w:tcPr>
            <w:tcW w:w="1382" w:type="dxa"/>
          </w:tcPr>
          <w:p w:rsidR="00575C8B" w:rsidRPr="00575C8B" w:rsidRDefault="00CF2348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35824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  <w:r w:rsidRPr="00575C8B">
        <w:rPr>
          <w:b/>
        </w:rPr>
        <w:br w:type="page"/>
      </w: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6038BD">
      <w:pPr>
        <w:spacing w:after="120"/>
        <w:ind w:firstLine="851"/>
      </w:pPr>
      <w:r w:rsidRPr="00575C8B">
        <w:t>2. Priemonės, kurioms finansuoti naudojamos lėšos, surinktos už medžiojamųjų gyvūnų išteklių naudojimą: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13"/>
        <w:gridCol w:w="4786"/>
        <w:gridCol w:w="1373"/>
      </w:tblGrid>
      <w:tr w:rsidR="00575C8B" w:rsidRPr="00575C8B" w:rsidTr="00AF532D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494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Panaudota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</w:t>
            </w:r>
          </w:p>
        </w:tc>
        <w:tc>
          <w:tcPr>
            <w:tcW w:w="7717" w:type="dxa"/>
            <w:gridSpan w:val="2"/>
          </w:tcPr>
          <w:p w:rsidR="00575C8B" w:rsidRPr="00575C8B" w:rsidRDefault="003C5E2A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>Žemės</w:t>
            </w:r>
            <w:r w:rsidR="00575C8B" w:rsidRPr="00575C8B">
              <w:t xml:space="preserve"> sklypų, kuriuose medžioklė nėra uždrausta, savininkų, valdytojų ir naudotojų įgyvendinamos žalos prevencijos priemonės, kuriomis jie siekia išvengti medžiojamųjų gyvūnų daromos žalos miškui: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rPr>
          <w:trHeight w:val="1515"/>
        </w:trPr>
        <w:tc>
          <w:tcPr>
            <w:tcW w:w="756" w:type="dxa"/>
            <w:vMerge w:val="restart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2.1.1.</w:t>
            </w:r>
          </w:p>
        </w:tc>
        <w:tc>
          <w:tcPr>
            <w:tcW w:w="2772" w:type="dxa"/>
            <w:vMerge w:val="restart"/>
          </w:tcPr>
          <w:p w:rsidR="00575C8B" w:rsidRPr="00575C8B" w:rsidRDefault="00575C8B" w:rsidP="003C5E2A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proofErr w:type="spellStart"/>
            <w:r w:rsidRPr="00575C8B">
              <w:t>Repelentų</w:t>
            </w:r>
            <w:proofErr w:type="spellEnd"/>
            <w:r w:rsidRPr="00575C8B">
              <w:t xml:space="preserve"> pirkimas, želdinių ir </w:t>
            </w:r>
            <w:proofErr w:type="spellStart"/>
            <w:r w:rsidRPr="00575C8B">
              <w:t>žėlinių</w:t>
            </w:r>
            <w:proofErr w:type="spellEnd"/>
            <w:r w:rsidRPr="00575C8B">
              <w:t xml:space="preserve"> apdorojimo </w:t>
            </w:r>
            <w:proofErr w:type="spellStart"/>
            <w:r w:rsidRPr="00575C8B">
              <w:t>repelentais</w:t>
            </w:r>
            <w:proofErr w:type="spellEnd"/>
            <w:r w:rsidRPr="00575C8B">
              <w:t xml:space="preserve"> darbai,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4945" w:type="dxa"/>
          </w:tcPr>
          <w:p w:rsidR="00575C8B" w:rsidRPr="00575C8B" w:rsidRDefault="004E0A9D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VĮ Utenos urėdija, 2016</w:t>
            </w:r>
            <w:r w:rsidR="00575C8B" w:rsidRPr="00575C8B">
              <w:t xml:space="preserve"> m. rugsėjo- spalio mėn. skirtas lėšas panaudojo miško želdynų ir želdinių apsaugai nuo medžiojamųjų gyvūnų daromos žalos aptepant juos </w:t>
            </w:r>
            <w:proofErr w:type="spellStart"/>
            <w:r w:rsidR="00575C8B" w:rsidRPr="00575C8B">
              <w:t>repelentais</w:t>
            </w:r>
            <w:proofErr w:type="spellEnd"/>
            <w:r w:rsidR="00575C8B" w:rsidRPr="00575C8B">
              <w:t xml:space="preserve"> ir aptveriant tvora. </w:t>
            </w:r>
          </w:p>
        </w:tc>
        <w:tc>
          <w:tcPr>
            <w:tcW w:w="1381" w:type="dxa"/>
            <w:vMerge w:val="restart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 xml:space="preserve">      </w:t>
            </w:r>
          </w:p>
          <w:p w:rsidR="00575C8B" w:rsidRPr="00575C8B" w:rsidRDefault="00575C8B" w:rsidP="00575C8B"/>
          <w:p w:rsidR="00575C8B" w:rsidRPr="00575C8B" w:rsidRDefault="00575C8B" w:rsidP="00575C8B"/>
          <w:p w:rsidR="00575C8B" w:rsidRPr="00575C8B" w:rsidRDefault="00575C8B" w:rsidP="00575C8B"/>
          <w:p w:rsidR="00575C8B" w:rsidRPr="00575C8B" w:rsidRDefault="00575C8B" w:rsidP="00575C8B"/>
          <w:p w:rsidR="00575C8B" w:rsidRPr="00575C8B" w:rsidRDefault="004E0A9D" w:rsidP="00575C8B">
            <w:r>
              <w:t>20261</w:t>
            </w:r>
          </w:p>
        </w:tc>
      </w:tr>
      <w:tr w:rsidR="00575C8B" w:rsidRPr="00575C8B" w:rsidTr="00AF532D">
        <w:trPr>
          <w:trHeight w:val="1515"/>
        </w:trPr>
        <w:tc>
          <w:tcPr>
            <w:tcW w:w="756" w:type="dxa"/>
            <w:vMerge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</w:p>
        </w:tc>
        <w:tc>
          <w:tcPr>
            <w:tcW w:w="4945" w:type="dxa"/>
          </w:tcPr>
          <w:p w:rsidR="00575C8B" w:rsidRPr="00575C8B" w:rsidRDefault="004E0A9D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VĮ Ukmergės urėdija, 2016</w:t>
            </w:r>
            <w:r w:rsidR="00575C8B" w:rsidRPr="00575C8B">
              <w:t xml:space="preserve"> m spalio mėn. skirtas lėšas panaudojo miško želdynų ir želdinių apsaugai nuo medžiojamųjų gyvūnų daromos žalos aptepant juos </w:t>
            </w:r>
            <w:proofErr w:type="spellStart"/>
            <w:r w:rsidR="00575C8B" w:rsidRPr="00575C8B">
              <w:t>repelentais</w:t>
            </w:r>
            <w:proofErr w:type="spellEnd"/>
            <w:r w:rsidR="00575C8B" w:rsidRPr="00575C8B">
              <w:t>.</w:t>
            </w:r>
          </w:p>
        </w:tc>
        <w:tc>
          <w:tcPr>
            <w:tcW w:w="1381" w:type="dxa"/>
            <w:vMerge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2.1.2.</w:t>
            </w:r>
          </w:p>
        </w:tc>
        <w:tc>
          <w:tcPr>
            <w:tcW w:w="277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575C8B">
              <w:t>Vilkų ūkiniams gyvūnams padarytos žalos atlyginimas</w:t>
            </w:r>
          </w:p>
        </w:tc>
        <w:tc>
          <w:tcPr>
            <w:tcW w:w="4945" w:type="dxa"/>
          </w:tcPr>
          <w:p w:rsidR="00575C8B" w:rsidRPr="00575C8B" w:rsidRDefault="00575C8B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C76474">
              <w:t xml:space="preserve">Molėtų rajono savivaldybės administracija </w:t>
            </w:r>
            <w:r w:rsidR="00C76474" w:rsidRPr="00C76474">
              <w:t xml:space="preserve">2016 m. ūkinių gyvūnų savininkams </w:t>
            </w:r>
            <w:r w:rsidRPr="00C76474">
              <w:t>atlygino vilkų pada</w:t>
            </w:r>
            <w:r w:rsidR="00C76474" w:rsidRPr="00C76474">
              <w:t>rytą žalą ūkiniams gy</w:t>
            </w:r>
            <w:r w:rsidR="00875E6E">
              <w:t>vūnams</w:t>
            </w:r>
            <w:r w:rsidR="0064765D">
              <w:t>,</w:t>
            </w:r>
            <w:r w:rsidR="00875E6E">
              <w:t xml:space="preserve"> t.</w:t>
            </w:r>
            <w:r w:rsidR="0064765D">
              <w:t xml:space="preserve"> </w:t>
            </w:r>
            <w:r w:rsidR="00875E6E">
              <w:t xml:space="preserve">y. už vilkų papjautas </w:t>
            </w:r>
            <w:r w:rsidR="00C76474" w:rsidRPr="00C76474">
              <w:t>33</w:t>
            </w:r>
            <w:r w:rsidR="00875E6E">
              <w:t xml:space="preserve"> avis</w:t>
            </w:r>
            <w:r w:rsidR="00C76474" w:rsidRPr="00C76474">
              <w:t>, 2</w:t>
            </w:r>
            <w:r w:rsidR="00875E6E">
              <w:t xml:space="preserve"> veršelius ir 1</w:t>
            </w:r>
            <w:r w:rsidR="00C76474" w:rsidRPr="00C76474">
              <w:t xml:space="preserve"> ožką.</w:t>
            </w:r>
            <w:r w:rsidR="00C76474">
              <w:t xml:space="preserve"> </w:t>
            </w:r>
          </w:p>
        </w:tc>
        <w:tc>
          <w:tcPr>
            <w:tcW w:w="1381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1897</w:t>
            </w:r>
          </w:p>
        </w:tc>
      </w:tr>
      <w:tr w:rsidR="00575C8B" w:rsidRPr="00575C8B" w:rsidTr="00AF532D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2.2.</w:t>
            </w:r>
          </w:p>
        </w:tc>
        <w:tc>
          <w:tcPr>
            <w:tcW w:w="7717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 xml:space="preserve">Kartografinės ir kitos medžiagos, reikalingos pagal Lietuvos Respublikos medžioklės įstatymo reikalavimus rengiamiems medžioklės plotų vienetų sudarymo ar jų ribų pakeitimo projektų parengimo priemonės 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575C8B" w:rsidRPr="00575C8B" w:rsidTr="00AF532D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17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1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22158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color w:val="000000"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rPr>
          <w:color w:val="000000"/>
        </w:rPr>
        <w:t>3. Programos lėšos, skirtos Savivaldybės visuomenės sveikatos rėmimo specialiajai programai: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575C8B" w:rsidRPr="00575C8B" w:rsidTr="00AF532D">
        <w:tc>
          <w:tcPr>
            <w:tcW w:w="7621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Programos pavadinimas</w:t>
            </w:r>
          </w:p>
        </w:tc>
        <w:tc>
          <w:tcPr>
            <w:tcW w:w="226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Panaudota lėšų, </w:t>
            </w:r>
            <w:proofErr w:type="spellStart"/>
            <w:r w:rsidRPr="00575C8B">
              <w:rPr>
                <w:color w:val="000000"/>
              </w:rPr>
              <w:t>Eur</w:t>
            </w:r>
            <w:proofErr w:type="spellEnd"/>
          </w:p>
        </w:tc>
      </w:tr>
      <w:tr w:rsidR="00575C8B" w:rsidRPr="00575C8B" w:rsidTr="00AF532D">
        <w:tc>
          <w:tcPr>
            <w:tcW w:w="82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3.1. </w:t>
            </w:r>
          </w:p>
        </w:tc>
        <w:tc>
          <w:tcPr>
            <w:tcW w:w="679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specialioji programa</w:t>
            </w:r>
          </w:p>
        </w:tc>
        <w:tc>
          <w:tcPr>
            <w:tcW w:w="2268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5493</w:t>
            </w:r>
          </w:p>
        </w:tc>
      </w:tr>
    </w:tbl>
    <w:p w:rsidR="00C76474" w:rsidRPr="00575C8B" w:rsidRDefault="00C76474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t>4.</w:t>
      </w:r>
      <w:r w:rsidRPr="00575C8B">
        <w:rPr>
          <w:color w:val="000000"/>
        </w:rPr>
        <w:t xml:space="preserve"> Kitos aplinkosaugos priemonės, kurioms įgyvendinti panaudotos Programos lėšos: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71"/>
        <w:gridCol w:w="5125"/>
        <w:gridCol w:w="1381"/>
      </w:tblGrid>
      <w:tr w:rsidR="00575C8B" w:rsidRPr="00575C8B" w:rsidTr="00AF532D">
        <w:trPr>
          <w:tblHeader/>
        </w:trPr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Panaudota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Aplinkos kokybės gerinimo ir apsaugos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4.1.1.</w:t>
            </w:r>
          </w:p>
        </w:tc>
        <w:tc>
          <w:tcPr>
            <w:tcW w:w="2771" w:type="dxa"/>
          </w:tcPr>
          <w:p w:rsidR="00575C8B" w:rsidRDefault="004E0A9D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Valstybei ar savivaldybei priklausančių užtvankų remonto ir rekonstravimo darbai, tvenkinių naudojimo ir priežiūros taisyklių parengimas</w:t>
            </w: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3C5E2A" w:rsidRPr="00575C8B" w:rsidRDefault="003C5E2A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lastRenderedPageBreak/>
              <w:t>4.1.2.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Savivaldybės teritorijoje esančių valstybės saugomų teritorijų apsaugos ir tvarkymo darbai</w:t>
            </w:r>
          </w:p>
        </w:tc>
        <w:tc>
          <w:tcPr>
            <w:tcW w:w="5125" w:type="dxa"/>
          </w:tcPr>
          <w:p w:rsidR="00575C8B" w:rsidRDefault="00D83B47" w:rsidP="00D83B47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Asvejos regioninio parko direkcija </w:t>
            </w:r>
            <w:r w:rsidR="004E0A9D" w:rsidRPr="005F0A79">
              <w:t>2016</w:t>
            </w:r>
            <w:r w:rsidR="00575C8B" w:rsidRPr="005F0A79">
              <w:t xml:space="preserve"> m. skirtas lėšas panaudojo trumpalaikio sustojimo ir poilsio vietų, esančių parkų teritorijose, tvarkymui, aplinkos tvarkymo įrankiams įsigyti ir aplinkos tvarkymo technikai eksploatuoti.</w:t>
            </w:r>
          </w:p>
          <w:p w:rsidR="00D83B47" w:rsidRPr="00575C8B" w:rsidRDefault="00D83B47" w:rsidP="0023014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F0A79">
              <w:t xml:space="preserve">Aukštaitijos nacionalinio parko ir Labanoro </w:t>
            </w:r>
            <w:r>
              <w:t xml:space="preserve">regioninio parko direkcija </w:t>
            </w:r>
            <w:r w:rsidR="00230146">
              <w:t xml:space="preserve">2016 m. skirtas lėšas panaudojo rekreacinės infrastruktūros remonto darbams atlikti prie </w:t>
            </w:r>
            <w:proofErr w:type="spellStart"/>
            <w:r w:rsidR="00230146">
              <w:t>Rudesos</w:t>
            </w:r>
            <w:proofErr w:type="spellEnd"/>
            <w:r w:rsidR="00230146">
              <w:t xml:space="preserve"> ežero , Baltųjų Lakajų ežero, </w:t>
            </w:r>
            <w:proofErr w:type="spellStart"/>
            <w:r w:rsidR="00230146">
              <w:t>Strinių</w:t>
            </w:r>
            <w:proofErr w:type="spellEnd"/>
            <w:r w:rsidR="00230146">
              <w:t xml:space="preserve"> ežero, Kertuojų ežero esančiose stovyklavietėse, poilsiavietėse ir atokvėpio vietose. </w:t>
            </w:r>
          </w:p>
        </w:tc>
        <w:tc>
          <w:tcPr>
            <w:tcW w:w="1381" w:type="dxa"/>
          </w:tcPr>
          <w:p w:rsidR="00575C8B" w:rsidRPr="00575C8B" w:rsidRDefault="005D1FAD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21</w:t>
            </w:r>
            <w:r w:rsidR="00EF6F6D">
              <w:t>00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infrastruktūros plėtros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planų ir kitų dokumentų rengimas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575C8B" w:rsidRPr="00575C8B" w:rsidRDefault="00EF6F6D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Atliekų, kurių turėtojo nustatyti neįmanoma arba kuris nebeegzistuoja, tvarkymo priemonė: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5125" w:type="dxa"/>
          </w:tcPr>
          <w:p w:rsidR="00575C8B" w:rsidRPr="00575C8B" w:rsidRDefault="00425574" w:rsidP="00EF1F8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2016 m. buvo surinkta ir Utenos regiono nepavojingų atliekų sąvartyne pašalinta </w:t>
            </w:r>
            <w:r w:rsidR="00EF1F8B">
              <w:rPr>
                <w:color w:val="000000"/>
              </w:rPr>
              <w:t>44,26</w:t>
            </w:r>
            <w:r>
              <w:rPr>
                <w:color w:val="000000"/>
              </w:rPr>
              <w:t xml:space="preserve"> tonos bešeimininkių atliekų.</w:t>
            </w:r>
          </w:p>
        </w:tc>
        <w:tc>
          <w:tcPr>
            <w:tcW w:w="1381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2999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Aplinkos monitoringo, prevencinės, aplinkos atkūrimo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B50C0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4.4.1</w:t>
            </w:r>
            <w:r w:rsidR="00575C8B" w:rsidRPr="00575C8B">
              <w:t>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 xml:space="preserve">Ekstremalių ekologinių situacijų, avarijų, įvykių padarinių likvidavimo darbų, bei </w:t>
            </w:r>
            <w:proofErr w:type="spellStart"/>
            <w:r w:rsidRPr="00575C8B">
              <w:t>sorbentų</w:t>
            </w:r>
            <w:proofErr w:type="spellEnd"/>
            <w:r w:rsidRPr="00575C8B">
              <w:t xml:space="preserve"> ir kitų priemonių, reikalingų avarijų padariniams likviduoti įsigijimo finansavimas</w:t>
            </w:r>
          </w:p>
        </w:tc>
        <w:tc>
          <w:tcPr>
            <w:tcW w:w="5125" w:type="dxa"/>
          </w:tcPr>
          <w:p w:rsidR="00575C8B" w:rsidRPr="00575C8B" w:rsidRDefault="00575C8B" w:rsidP="00A6488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 xml:space="preserve">Molėtų rajono </w:t>
            </w:r>
            <w:r w:rsidR="00425574">
              <w:rPr>
                <w:color w:val="000000"/>
              </w:rPr>
              <w:t>savivaldybės administracija 2016</w:t>
            </w:r>
            <w:r w:rsidRPr="00575C8B">
              <w:rPr>
                <w:color w:val="000000"/>
              </w:rPr>
              <w:t xml:space="preserve"> m. gruodžio </w:t>
            </w:r>
            <w:r w:rsidR="00A64883">
              <w:rPr>
                <w:color w:val="000000"/>
              </w:rPr>
              <w:t>mėn.</w:t>
            </w:r>
            <w:r w:rsidRPr="00575C8B">
              <w:rPr>
                <w:color w:val="000000"/>
              </w:rPr>
              <w:t xml:space="preserve"> įsigijo ekstremalių ekologinių situacijų, avarijų, įvyki</w:t>
            </w:r>
            <w:r w:rsidR="00A64883">
              <w:rPr>
                <w:color w:val="000000"/>
              </w:rPr>
              <w:t xml:space="preserve">ų padarinių likvidavimo priemones: birių absorbentų, absorbuojančių </w:t>
            </w:r>
            <w:proofErr w:type="spellStart"/>
            <w:r w:rsidR="00A64883">
              <w:rPr>
                <w:color w:val="000000"/>
              </w:rPr>
              <w:t>bonų</w:t>
            </w:r>
            <w:proofErr w:type="spellEnd"/>
            <w:r w:rsidR="00A64883">
              <w:rPr>
                <w:color w:val="000000"/>
              </w:rPr>
              <w:t xml:space="preserve"> (5 vnt.), absorbuojančių kilimėlių (10 vnt.) ir specialią aprangą avarijų padariniams likviduoti.</w:t>
            </w:r>
          </w:p>
        </w:tc>
        <w:tc>
          <w:tcPr>
            <w:tcW w:w="1381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1499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Visuomenės švietimo ir mokymo aplinkosaugos klausimais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5125" w:type="dxa"/>
          </w:tcPr>
          <w:p w:rsidR="00575C8B" w:rsidRPr="00575C8B" w:rsidRDefault="00575C8B" w:rsidP="00F96DC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 xml:space="preserve">Molėtų rajono </w:t>
            </w:r>
            <w:r w:rsidR="00DF3B5F">
              <w:rPr>
                <w:color w:val="000000"/>
              </w:rPr>
              <w:t>savivaldybės administracija 2016</w:t>
            </w:r>
            <w:r w:rsidRPr="00575C8B">
              <w:rPr>
                <w:color w:val="000000"/>
              </w:rPr>
              <w:t xml:space="preserve"> m. </w:t>
            </w:r>
            <w:r w:rsidR="00DF3B5F">
              <w:rPr>
                <w:color w:val="000000"/>
              </w:rPr>
              <w:t>rugpjūčio 11 d. iš leidyklos „Lututė“  įsigijo 30 vnt. knygų „Lietuvos laukinės gamtos fotografija“, taip pat užsakė ir apmokėjo 2017</w:t>
            </w:r>
            <w:r w:rsidRPr="00575C8B">
              <w:rPr>
                <w:color w:val="000000"/>
              </w:rPr>
              <w:t xml:space="preserve"> m. aplinkosauginių leidinių („Žurnalas apie gamtą“, „Lututė“, „Paukščiai“, „Žū</w:t>
            </w:r>
            <w:r w:rsidR="00DF3B5F">
              <w:rPr>
                <w:color w:val="000000"/>
              </w:rPr>
              <w:t>klė“, „ Medžiotojas ir meškeriotojas</w:t>
            </w:r>
            <w:r w:rsidRPr="00575C8B">
              <w:rPr>
                <w:color w:val="000000"/>
              </w:rPr>
              <w:t>“,</w:t>
            </w:r>
            <w:r w:rsidR="00DF3B5F">
              <w:rPr>
                <w:color w:val="000000"/>
              </w:rPr>
              <w:t xml:space="preserve"> </w:t>
            </w:r>
            <w:r w:rsidRPr="00575C8B">
              <w:rPr>
                <w:color w:val="000000"/>
              </w:rPr>
              <w:t>„ Žalias</w:t>
            </w:r>
            <w:r w:rsidR="00DF3B5F">
              <w:rPr>
                <w:color w:val="000000"/>
              </w:rPr>
              <w:t>is pasaulis“</w:t>
            </w:r>
            <w:r w:rsidRPr="00575C8B">
              <w:rPr>
                <w:color w:val="000000"/>
              </w:rPr>
              <w:t>) prenumeratą švietimo įstaigoms ir bibliotekoms.</w:t>
            </w:r>
          </w:p>
        </w:tc>
        <w:tc>
          <w:tcPr>
            <w:tcW w:w="1381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964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4.5.2.</w:t>
            </w:r>
          </w:p>
        </w:tc>
        <w:tc>
          <w:tcPr>
            <w:tcW w:w="2771" w:type="dxa"/>
          </w:tcPr>
          <w:p w:rsidR="00575C8B" w:rsidRPr="00575C8B" w:rsidRDefault="004E1E59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„Žvejybos rojus“ informavimo sistemos kūrimas projekto įgyvendinimas</w:t>
            </w:r>
          </w:p>
        </w:tc>
        <w:tc>
          <w:tcPr>
            <w:tcW w:w="5125" w:type="dxa"/>
          </w:tcPr>
          <w:p w:rsidR="002A06D1" w:rsidRPr="00575C8B" w:rsidRDefault="00575C8B" w:rsidP="00F96DC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 xml:space="preserve">Molėtų rajono </w:t>
            </w:r>
            <w:r w:rsidR="004E1E59">
              <w:rPr>
                <w:color w:val="000000"/>
              </w:rPr>
              <w:t>savivaldybės administracija 2016</w:t>
            </w:r>
            <w:r w:rsidRPr="00575C8B">
              <w:rPr>
                <w:color w:val="000000"/>
              </w:rPr>
              <w:t xml:space="preserve"> m. </w:t>
            </w:r>
            <w:r w:rsidR="004E1E59">
              <w:rPr>
                <w:color w:val="000000"/>
              </w:rPr>
              <w:t xml:space="preserve">įgyvendino projektą „Žvejybos rojus“ informavimo sistemos kūrimas. </w:t>
            </w:r>
            <w:r w:rsidR="007C06C0">
              <w:rPr>
                <w:color w:val="000000"/>
              </w:rPr>
              <w:t>Projekto į</w:t>
            </w:r>
            <w:r w:rsidR="004E1E59">
              <w:rPr>
                <w:color w:val="000000"/>
              </w:rPr>
              <w:t xml:space="preserve">gyvendinimo metu buvo </w:t>
            </w:r>
            <w:r w:rsidR="007C06C0">
              <w:rPr>
                <w:color w:val="000000"/>
              </w:rPr>
              <w:t xml:space="preserve">sukurta mobilioji aplikacija skirta žvejams mėgėjams, sudaryti vandens telkinių </w:t>
            </w:r>
            <w:proofErr w:type="spellStart"/>
            <w:r w:rsidR="007C06C0">
              <w:rPr>
                <w:color w:val="000000"/>
              </w:rPr>
              <w:t>batimetriniai</w:t>
            </w:r>
            <w:proofErr w:type="spellEnd"/>
            <w:r w:rsidR="007C06C0">
              <w:rPr>
                <w:color w:val="000000"/>
              </w:rPr>
              <w:t xml:space="preserve"> planai, išleista leidinys „Žvejybos rojus“ (2000 egz.)ir žvejybos vietų žemėlapis (1000 egz.), pastatytos nuorodos(4 vnt.) ir stendai (14 vnt.) su informacija apie </w:t>
            </w:r>
            <w:r w:rsidR="0064765D">
              <w:rPr>
                <w:color w:val="000000"/>
              </w:rPr>
              <w:t>„</w:t>
            </w:r>
            <w:r w:rsidR="007C06C0">
              <w:rPr>
                <w:color w:val="000000"/>
              </w:rPr>
              <w:t>Žvejybos rojaus</w:t>
            </w:r>
            <w:r w:rsidR="0064765D">
              <w:rPr>
                <w:color w:val="000000"/>
              </w:rPr>
              <w:t>“</w:t>
            </w:r>
            <w:r w:rsidR="007C06C0">
              <w:rPr>
                <w:color w:val="000000"/>
              </w:rPr>
              <w:t xml:space="preserve"> ežerus.</w:t>
            </w:r>
            <w:bookmarkStart w:id="6" w:name="_GoBack"/>
            <w:bookmarkEnd w:id="6"/>
          </w:p>
        </w:tc>
        <w:tc>
          <w:tcPr>
            <w:tcW w:w="1381" w:type="dxa"/>
          </w:tcPr>
          <w:p w:rsidR="00575C8B" w:rsidRPr="00575C8B" w:rsidRDefault="005D1FAD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9000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lastRenderedPageBreak/>
              <w:t>4.6.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Želdynų ir želdinių apsaugos, tvarkymo, būklės stebėsenos, želdynų kūrimo, želdinių veisimo ir inventorizavimo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Naujų želdinių įsigijimas ir veisimas ir (arba) pavojų keliančių medžių šalinimo darbai</w:t>
            </w:r>
          </w:p>
        </w:tc>
        <w:tc>
          <w:tcPr>
            <w:tcW w:w="5125" w:type="dxa"/>
          </w:tcPr>
          <w:p w:rsidR="00575C8B" w:rsidRPr="00575C8B" w:rsidRDefault="002C2981" w:rsidP="004F72F2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Molėtų miesto teritorijoje</w:t>
            </w:r>
            <w:r w:rsidR="00875E6E">
              <w:rPr>
                <w:color w:val="000000"/>
              </w:rPr>
              <w:t xml:space="preserve"> 2016m. birželio mėn.</w:t>
            </w:r>
            <w:r>
              <w:rPr>
                <w:color w:val="000000"/>
              </w:rPr>
              <w:t xml:space="preserve"> buvo pasodinti 93</w:t>
            </w:r>
            <w:r w:rsidR="00875E6E">
              <w:rPr>
                <w:color w:val="000000"/>
              </w:rPr>
              <w:t xml:space="preserve"> vnt. medžių</w:t>
            </w:r>
            <w:r>
              <w:rPr>
                <w:color w:val="000000"/>
              </w:rPr>
              <w:t xml:space="preserve"> (80 tujų, 4 klevai, 2 </w:t>
            </w:r>
            <w:proofErr w:type="spellStart"/>
            <w:r>
              <w:rPr>
                <w:color w:val="000000"/>
              </w:rPr>
              <w:t>mažalapės</w:t>
            </w:r>
            <w:proofErr w:type="spellEnd"/>
            <w:r>
              <w:rPr>
                <w:color w:val="000000"/>
              </w:rPr>
              <w:t xml:space="preserve"> liepos, juodoji pušis, 5 kalninės pušys)</w:t>
            </w:r>
            <w:r w:rsidR="00770D0F">
              <w:rPr>
                <w:color w:val="000000"/>
              </w:rPr>
              <w:t xml:space="preserve">, pašalinti </w:t>
            </w:r>
            <w:r w:rsidR="00875E6E">
              <w:rPr>
                <w:color w:val="000000"/>
              </w:rPr>
              <w:t>28 vnt.</w:t>
            </w:r>
            <w:r w:rsidR="00770D0F">
              <w:rPr>
                <w:color w:val="000000"/>
              </w:rPr>
              <w:t xml:space="preserve"> </w:t>
            </w:r>
            <w:r w:rsidR="00875E6E">
              <w:rPr>
                <w:color w:val="000000"/>
              </w:rPr>
              <w:t>pavojų keliančių</w:t>
            </w:r>
            <w:r w:rsidR="00770D0F">
              <w:rPr>
                <w:color w:val="000000"/>
              </w:rPr>
              <w:t xml:space="preserve">, prastos būklės </w:t>
            </w:r>
            <w:r w:rsidR="00875E6E">
              <w:rPr>
                <w:color w:val="000000"/>
              </w:rPr>
              <w:t>medžių</w:t>
            </w:r>
            <w:r w:rsidR="00770D0F">
              <w:rPr>
                <w:color w:val="000000"/>
              </w:rPr>
              <w:t>,</w:t>
            </w:r>
            <w:r w:rsidR="00875E6E">
              <w:rPr>
                <w:color w:val="000000"/>
              </w:rPr>
              <w:t xml:space="preserve"> išvartų</w:t>
            </w:r>
            <w:r w:rsidR="004F72F2">
              <w:rPr>
                <w:color w:val="000000"/>
              </w:rPr>
              <w:t>,</w:t>
            </w:r>
            <w:r w:rsidR="00770D0F">
              <w:rPr>
                <w:color w:val="000000"/>
              </w:rPr>
              <w:t xml:space="preserve"> </w:t>
            </w:r>
            <w:r w:rsidR="00875E6E">
              <w:rPr>
                <w:color w:val="000000"/>
              </w:rPr>
              <w:t xml:space="preserve">bei atlikti </w:t>
            </w:r>
            <w:r w:rsidR="00770D0F">
              <w:rPr>
                <w:color w:val="000000"/>
              </w:rPr>
              <w:t>genėjimo darbai.</w:t>
            </w:r>
          </w:p>
        </w:tc>
        <w:tc>
          <w:tcPr>
            <w:tcW w:w="1381" w:type="dxa"/>
          </w:tcPr>
          <w:p w:rsidR="00575C8B" w:rsidRPr="00575C8B" w:rsidRDefault="0042557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4334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Iš viso: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20896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5. Ataskaitinio laikotarpio Programos lėšų likučiai (nepanaudotos lėšos):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"/>
        <w:gridCol w:w="7571"/>
        <w:gridCol w:w="1365"/>
      </w:tblGrid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Programos priemonių grupės pavadinimas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Lėšų likutis,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>Programos priemonių grupė, kuriai naudojamos lėšos, surinktos už medžiojamųjų gyvūnų išteklių naudojimą (1.8–2)</w:t>
            </w:r>
          </w:p>
        </w:tc>
        <w:tc>
          <w:tcPr>
            <w:tcW w:w="1382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1288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rPr>
                <w:color w:val="000000"/>
              </w:rPr>
              <w:t xml:space="preserve">Savivaldybės visuomenės sveikatos rėmimo specialioji programa </w:t>
            </w:r>
            <w:r w:rsidRPr="00575C8B">
              <w:t>(1.12–3)</w:t>
            </w:r>
          </w:p>
        </w:tc>
        <w:tc>
          <w:tcPr>
            <w:tcW w:w="1382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1228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Kitų Programos aplinkosaugos priemonių grupė (1.15–4)</w:t>
            </w:r>
          </w:p>
        </w:tc>
        <w:tc>
          <w:tcPr>
            <w:tcW w:w="1382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14928</w:t>
            </w:r>
          </w:p>
        </w:tc>
      </w:tr>
      <w:tr w:rsidR="00575C8B" w:rsidRPr="00575C8B" w:rsidTr="00AF532D">
        <w:tc>
          <w:tcPr>
            <w:tcW w:w="690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5.4.</w:t>
            </w:r>
          </w:p>
        </w:tc>
        <w:tc>
          <w:tcPr>
            <w:tcW w:w="7782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2" w:type="dxa"/>
          </w:tcPr>
          <w:p w:rsidR="00575C8B" w:rsidRPr="00575C8B" w:rsidRDefault="00811E1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17444</w:t>
            </w:r>
          </w:p>
        </w:tc>
      </w:tr>
    </w:tbl>
    <w:p w:rsidR="00575C8B" w:rsidRPr="00575C8B" w:rsidRDefault="00575C8B" w:rsidP="00575C8B">
      <w:pPr>
        <w:tabs>
          <w:tab w:val="left" w:pos="1674"/>
        </w:tabs>
      </w:pP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jc w:val="center"/>
      </w:pPr>
      <w:r w:rsidRPr="00575C8B">
        <w:t>___________________________</w:t>
      </w: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82" w:rsidRDefault="00A72082">
      <w:r>
        <w:separator/>
      </w:r>
    </w:p>
  </w:endnote>
  <w:endnote w:type="continuationSeparator" w:id="0">
    <w:p w:rsidR="00A72082" w:rsidRDefault="00A7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82" w:rsidRDefault="00A72082">
      <w:r>
        <w:separator/>
      </w:r>
    </w:p>
  </w:footnote>
  <w:footnote w:type="continuationSeparator" w:id="0">
    <w:p w:rsidR="00A72082" w:rsidRDefault="00A7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6DC5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2"/>
    <w:rsid w:val="001156B7"/>
    <w:rsid w:val="0012091C"/>
    <w:rsid w:val="00132437"/>
    <w:rsid w:val="00211F14"/>
    <w:rsid w:val="00230146"/>
    <w:rsid w:val="002541DD"/>
    <w:rsid w:val="002A06D1"/>
    <w:rsid w:val="002C2981"/>
    <w:rsid w:val="00305758"/>
    <w:rsid w:val="00341D56"/>
    <w:rsid w:val="00384B4D"/>
    <w:rsid w:val="003975CE"/>
    <w:rsid w:val="003A762C"/>
    <w:rsid w:val="003C5E2A"/>
    <w:rsid w:val="00425574"/>
    <w:rsid w:val="004968FC"/>
    <w:rsid w:val="004E0A9D"/>
    <w:rsid w:val="004E1E59"/>
    <w:rsid w:val="004F11F1"/>
    <w:rsid w:val="004F285B"/>
    <w:rsid w:val="004F72F2"/>
    <w:rsid w:val="00503B36"/>
    <w:rsid w:val="00504780"/>
    <w:rsid w:val="00561916"/>
    <w:rsid w:val="00575C8B"/>
    <w:rsid w:val="005A4424"/>
    <w:rsid w:val="005D1FAD"/>
    <w:rsid w:val="005F0A79"/>
    <w:rsid w:val="005F38B6"/>
    <w:rsid w:val="006038BD"/>
    <w:rsid w:val="006213AE"/>
    <w:rsid w:val="00632426"/>
    <w:rsid w:val="0064765D"/>
    <w:rsid w:val="006632A9"/>
    <w:rsid w:val="006C2B2C"/>
    <w:rsid w:val="00770D0F"/>
    <w:rsid w:val="00776F64"/>
    <w:rsid w:val="00794407"/>
    <w:rsid w:val="00794C2F"/>
    <w:rsid w:val="007951EA"/>
    <w:rsid w:val="00796C66"/>
    <w:rsid w:val="007A3F5C"/>
    <w:rsid w:val="007C06C0"/>
    <w:rsid w:val="007E4516"/>
    <w:rsid w:val="008108DC"/>
    <w:rsid w:val="00811E10"/>
    <w:rsid w:val="00872337"/>
    <w:rsid w:val="00875E6E"/>
    <w:rsid w:val="00895025"/>
    <w:rsid w:val="008A401C"/>
    <w:rsid w:val="008D28A8"/>
    <w:rsid w:val="0093412A"/>
    <w:rsid w:val="009B4614"/>
    <w:rsid w:val="009E70D9"/>
    <w:rsid w:val="00A64883"/>
    <w:rsid w:val="00A72082"/>
    <w:rsid w:val="00AE325A"/>
    <w:rsid w:val="00B50C0B"/>
    <w:rsid w:val="00BA65BB"/>
    <w:rsid w:val="00BB70B1"/>
    <w:rsid w:val="00BF238A"/>
    <w:rsid w:val="00C16EA1"/>
    <w:rsid w:val="00C76474"/>
    <w:rsid w:val="00CC1DF9"/>
    <w:rsid w:val="00CF2348"/>
    <w:rsid w:val="00CF46F3"/>
    <w:rsid w:val="00D03D5A"/>
    <w:rsid w:val="00D74773"/>
    <w:rsid w:val="00D8136A"/>
    <w:rsid w:val="00D83B47"/>
    <w:rsid w:val="00DB7660"/>
    <w:rsid w:val="00DC6469"/>
    <w:rsid w:val="00DF3B5F"/>
    <w:rsid w:val="00E032E8"/>
    <w:rsid w:val="00EE645F"/>
    <w:rsid w:val="00EF1F8B"/>
    <w:rsid w:val="00EF6F6D"/>
    <w:rsid w:val="00F54307"/>
    <w:rsid w:val="00F96DC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4D173112"/>
  <w15:docId w15:val="{7A66CAF6-0CC8-44FA-BDD3-E3DDB3E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72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720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A3F87121442B9B67134FDDB4D13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695469-2A74-4623-9878-D2DA4A8641B5}"/>
      </w:docPartPr>
      <w:docPartBody>
        <w:p w:rsidR="00CE61C6" w:rsidRDefault="00CE61C6">
          <w:pPr>
            <w:pStyle w:val="495A3F87121442B9B67134FDDB4D13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6"/>
    <w:rsid w:val="00C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5A3F87121442B9B67134FDDB4D1336">
    <w:name w:val="495A3F87121442B9B67134FDDB4D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103</TotalTime>
  <Pages>5</Pages>
  <Words>1083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4</cp:revision>
  <cp:lastPrinted>2017-01-19T14:22:00Z</cp:lastPrinted>
  <dcterms:created xsi:type="dcterms:W3CDTF">2017-02-07T07:35:00Z</dcterms:created>
  <dcterms:modified xsi:type="dcterms:W3CDTF">2017-02-14T13:22:00Z</dcterms:modified>
</cp:coreProperties>
</file>