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45A65" w:rsidRPr="00945A65" w:rsidRDefault="00945A65" w:rsidP="00945A65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r>
        <w:rPr>
          <w:noProof/>
        </w:rPr>
        <w:t>D</w:t>
      </w:r>
      <w:r w:rsidRPr="00945A65">
        <w:rPr>
          <w:noProof/>
        </w:rPr>
        <w:t>ėl pritarim</w:t>
      </w:r>
      <w:r>
        <w:rPr>
          <w:noProof/>
        </w:rPr>
        <w:t>o uždarajai akcinei bendrovei „M</w:t>
      </w:r>
      <w:r w:rsidRPr="00945A65">
        <w:rPr>
          <w:noProof/>
        </w:rPr>
        <w:t>olėtų vanduo“ imti paskolą</w:t>
      </w:r>
    </w:p>
    <w:p w:rsidR="00746386" w:rsidRPr="0048159A" w:rsidRDefault="00AC06DE" w:rsidP="00945A6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945A65" w:rsidRDefault="00945A65" w:rsidP="00945A65">
      <w:pPr>
        <w:spacing w:before="60" w:after="60" w:line="360" w:lineRule="auto"/>
        <w:ind w:firstLine="709"/>
        <w:jc w:val="both"/>
        <w:rPr>
          <w:rFonts w:eastAsia="Calibri"/>
          <w:szCs w:val="22"/>
          <w:lang w:val="lt-LT"/>
        </w:rPr>
      </w:pPr>
      <w:r w:rsidRPr="00945A65">
        <w:rPr>
          <w:lang w:val="lt-LT"/>
        </w:rPr>
        <w:t>Uždarosios akcinės bendrovės „Molėtų vanduo“</w:t>
      </w:r>
      <w:r>
        <w:rPr>
          <w:lang w:val="lt-LT"/>
        </w:rPr>
        <w:t xml:space="preserve"> (toliau-Bendrovė)</w:t>
      </w:r>
      <w:r w:rsidRPr="00945A65">
        <w:rPr>
          <w:lang w:val="lt-LT"/>
        </w:rPr>
        <w:t xml:space="preserve"> valdyb</w:t>
      </w:r>
      <w:r>
        <w:rPr>
          <w:lang w:val="lt-LT"/>
        </w:rPr>
        <w:t>a</w:t>
      </w:r>
      <w:r w:rsidRPr="00945A65">
        <w:rPr>
          <w:lang w:val="lt-LT"/>
        </w:rPr>
        <w:t xml:space="preserve"> 2016 m. gruodžio 12 d. rašt</w:t>
      </w:r>
      <w:r>
        <w:rPr>
          <w:lang w:val="lt-LT"/>
        </w:rPr>
        <w:t>u</w:t>
      </w:r>
      <w:r w:rsidRPr="00945A65">
        <w:rPr>
          <w:lang w:val="lt-LT"/>
        </w:rPr>
        <w:t xml:space="preserve"> Nr. IS-146 „Dėl pritarimo UAB „Molėtų vanduo“ valdybos sprendimui imti paskolą projekto įgyvendinimui, įkeičiant bendrovės turtą“</w:t>
      </w:r>
      <w:r>
        <w:rPr>
          <w:lang w:val="lt-LT"/>
        </w:rPr>
        <w:t xml:space="preserve"> (pridedama) kreipėsi į Molėtų rajono savivaldybės tarybą, prašydama pritarti </w:t>
      </w:r>
      <w:r w:rsidRPr="00945A65">
        <w:rPr>
          <w:lang w:val="lt-LT"/>
        </w:rPr>
        <w:t xml:space="preserve">valdybos sprendimui leisti imti Bendrovei iki 500 (penkių šimtų) tūkstančių </w:t>
      </w:r>
      <w:proofErr w:type="spellStart"/>
      <w:r w:rsidRPr="00945A65">
        <w:rPr>
          <w:lang w:val="lt-LT"/>
        </w:rPr>
        <w:t>Eur</w:t>
      </w:r>
      <w:proofErr w:type="spellEnd"/>
      <w:r w:rsidRPr="00945A65">
        <w:rPr>
          <w:lang w:val="lt-LT"/>
        </w:rPr>
        <w:t xml:space="preserve"> ilgalaikę paskolą </w:t>
      </w:r>
      <w:r w:rsidRPr="00945A65">
        <w:rPr>
          <w:rFonts w:eastAsia="Calibri"/>
          <w:szCs w:val="22"/>
          <w:lang w:val="lt-LT"/>
        </w:rPr>
        <w:t xml:space="preserve">projekto </w:t>
      </w:r>
      <w:r w:rsidRPr="00945A65">
        <w:rPr>
          <w:lang w:val="lt-LT"/>
        </w:rPr>
        <w:t>„Vandens tiekimo ir nuotekų tvarkymo infrastruktūros plėtra ir rekonstrukcija Molėtų rajone (Inturkėje (Pakrovų k.), Giedraičiuose, Alantoje)“</w:t>
      </w:r>
      <w:r w:rsidRPr="00945A65">
        <w:rPr>
          <w:rFonts w:eastAsia="Calibri"/>
          <w:szCs w:val="22"/>
          <w:lang w:val="lt-LT"/>
        </w:rPr>
        <w:t xml:space="preserve"> įgyvendinimui, įkeičiant bendrovės turtą</w:t>
      </w:r>
      <w:r>
        <w:rPr>
          <w:rFonts w:eastAsia="Calibri"/>
          <w:szCs w:val="22"/>
          <w:lang w:val="lt-LT"/>
        </w:rPr>
        <w:t xml:space="preserve">. </w:t>
      </w:r>
    </w:p>
    <w:p w:rsidR="00945A65" w:rsidRPr="00945A65" w:rsidRDefault="00945A65" w:rsidP="00613AEA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Molėtų rajono savivaldybės taryba </w:t>
      </w:r>
      <w:r w:rsidRPr="00945A65">
        <w:rPr>
          <w:lang w:val="lt-LT"/>
        </w:rPr>
        <w:t>2016</w:t>
      </w:r>
      <w:r w:rsidR="009A21DC">
        <w:rPr>
          <w:lang w:val="lt-LT"/>
        </w:rPr>
        <w:t xml:space="preserve"> m. kovo </w:t>
      </w:r>
      <w:r w:rsidRPr="00945A65">
        <w:rPr>
          <w:lang w:val="lt-LT"/>
        </w:rPr>
        <w:t>31 d. sprendimu Nr. B1-</w:t>
      </w:r>
      <w:r w:rsidR="007F4A38">
        <w:rPr>
          <w:lang w:val="lt-LT"/>
        </w:rPr>
        <w:t>80</w:t>
      </w:r>
      <w:r w:rsidRPr="00945A65">
        <w:rPr>
          <w:lang w:val="lt-LT"/>
        </w:rPr>
        <w:t xml:space="preserve"> „Dėl Molėtų rajono savivaldybės tarybos 2016 m. vasario 19 d. sp</w:t>
      </w:r>
      <w:r w:rsidR="007F4A38">
        <w:rPr>
          <w:lang w:val="lt-LT"/>
        </w:rPr>
        <w:t>rendimo Nr. B1-41 „Dėl projekto</w:t>
      </w:r>
      <w:r w:rsidRPr="00945A65">
        <w:rPr>
          <w:lang w:val="lt-LT"/>
        </w:rPr>
        <w:t xml:space="preserve"> „Molėtų rajono gyvenviečių geriamojo vandens tiekimo, nuotekų tvarkymo sistemų ir valymo įrenginių įrengimas bei rekonstrukcija“ įgyvendinimo“ pakeitimo</w:t>
      </w:r>
      <w:r w:rsidR="007F4A38">
        <w:rPr>
          <w:lang w:val="lt-LT"/>
        </w:rPr>
        <w:t>“</w:t>
      </w:r>
      <w:r w:rsidRPr="00945A65">
        <w:rPr>
          <w:lang w:val="lt-LT"/>
        </w:rPr>
        <w:t xml:space="preserve"> pritarė projekto „Vandens tiekimo ir nuotekų tvarkymo infrastruktūros plėtra ir rekonstrukcija Molėtų rajone (Inturkėje (Pakrovų km.), Giedraičiuose, Alantoje)“</w:t>
      </w:r>
      <w:r w:rsidR="007F4A38">
        <w:rPr>
          <w:lang w:val="lt-LT"/>
        </w:rPr>
        <w:t xml:space="preserve"> </w:t>
      </w:r>
      <w:r w:rsidR="00163673">
        <w:rPr>
          <w:lang w:val="lt-LT"/>
        </w:rPr>
        <w:t xml:space="preserve">(toliau – Projektas) </w:t>
      </w:r>
      <w:r w:rsidRPr="00945A65">
        <w:rPr>
          <w:lang w:val="lt-LT"/>
        </w:rPr>
        <w:t>įgyvendinimui</w:t>
      </w:r>
      <w:r w:rsidR="007F4A38">
        <w:rPr>
          <w:lang w:val="lt-LT"/>
        </w:rPr>
        <w:t>.</w:t>
      </w:r>
      <w:r w:rsidR="00163673">
        <w:rPr>
          <w:lang w:val="lt-LT"/>
        </w:rPr>
        <w:t xml:space="preserve"> </w:t>
      </w:r>
      <w:r w:rsidR="00613AEA">
        <w:rPr>
          <w:lang w:val="lt-LT"/>
        </w:rPr>
        <w:t xml:space="preserve">Projektas bus įgyvendinamas 2017-2019 metais, bendra Projekto vertė – 1614992 </w:t>
      </w:r>
      <w:proofErr w:type="spellStart"/>
      <w:r w:rsidR="00613AEA">
        <w:rPr>
          <w:lang w:val="lt-LT"/>
        </w:rPr>
        <w:t>Eur</w:t>
      </w:r>
      <w:proofErr w:type="spellEnd"/>
      <w:r w:rsidR="00613AEA">
        <w:rPr>
          <w:lang w:val="lt-LT"/>
        </w:rPr>
        <w:t xml:space="preserve">, iš jų: 1066332,00 </w:t>
      </w:r>
      <w:proofErr w:type="spellStart"/>
      <w:r w:rsidR="00613AEA">
        <w:rPr>
          <w:lang w:val="lt-LT"/>
        </w:rPr>
        <w:t>Eur</w:t>
      </w:r>
      <w:proofErr w:type="spellEnd"/>
      <w:r w:rsidR="00613AEA">
        <w:rPr>
          <w:lang w:val="lt-LT"/>
        </w:rPr>
        <w:t xml:space="preserve"> </w:t>
      </w:r>
      <w:r w:rsidR="00163673" w:rsidRPr="00163673">
        <w:rPr>
          <w:lang w:val="lt-LT"/>
        </w:rPr>
        <w:t>ES struktūrinės paramos lėš</w:t>
      </w:r>
      <w:r w:rsidR="00613AEA">
        <w:rPr>
          <w:lang w:val="lt-LT"/>
        </w:rPr>
        <w:t>os</w:t>
      </w:r>
      <w:r w:rsidR="00163673" w:rsidRPr="00163673">
        <w:rPr>
          <w:lang w:val="lt-LT"/>
        </w:rPr>
        <w:t xml:space="preserve"> ir </w:t>
      </w:r>
      <w:r w:rsidR="00613AEA" w:rsidRPr="00163673">
        <w:rPr>
          <w:lang w:val="lt-LT"/>
        </w:rPr>
        <w:t xml:space="preserve">548660,00 </w:t>
      </w:r>
      <w:proofErr w:type="spellStart"/>
      <w:r w:rsidR="00613AEA" w:rsidRPr="00163673">
        <w:rPr>
          <w:lang w:val="lt-LT"/>
        </w:rPr>
        <w:t>Eur</w:t>
      </w:r>
      <w:proofErr w:type="spellEnd"/>
      <w:r w:rsidR="00613AEA" w:rsidRPr="00163673">
        <w:rPr>
          <w:lang w:val="lt-LT"/>
        </w:rPr>
        <w:t xml:space="preserve"> </w:t>
      </w:r>
      <w:r w:rsidR="00163673" w:rsidRPr="00163673">
        <w:rPr>
          <w:lang w:val="lt-LT"/>
        </w:rPr>
        <w:t xml:space="preserve">Projekto Pareiškėjo </w:t>
      </w:r>
      <w:r w:rsidR="009A21DC">
        <w:rPr>
          <w:lang w:val="lt-LT"/>
        </w:rPr>
        <w:t xml:space="preserve">– Bendrovės </w:t>
      </w:r>
      <w:r w:rsidR="00613AEA">
        <w:rPr>
          <w:lang w:val="lt-LT"/>
        </w:rPr>
        <w:t>lėšos.</w:t>
      </w:r>
      <w:r w:rsidR="00163673" w:rsidRPr="00163673">
        <w:rPr>
          <w:lang w:val="lt-LT"/>
        </w:rPr>
        <w:t xml:space="preserve"> </w:t>
      </w:r>
      <w:r w:rsidR="00613AEA">
        <w:rPr>
          <w:lang w:val="lt-LT"/>
        </w:rPr>
        <w:t xml:space="preserve">Bendrovė per </w:t>
      </w:r>
      <w:r w:rsidR="00613AEA" w:rsidRPr="00613AEA">
        <w:rPr>
          <w:lang w:val="lt-LT"/>
        </w:rPr>
        <w:t>2017</w:t>
      </w:r>
      <w:r w:rsidR="00086875">
        <w:rPr>
          <w:lang w:val="lt-LT"/>
        </w:rPr>
        <w:t xml:space="preserve">, 2018 ir </w:t>
      </w:r>
      <w:r w:rsidR="00613AEA" w:rsidRPr="00613AEA">
        <w:rPr>
          <w:lang w:val="lt-LT"/>
        </w:rPr>
        <w:t>2019 m</w:t>
      </w:r>
      <w:r w:rsidR="00086875">
        <w:rPr>
          <w:lang w:val="lt-LT"/>
        </w:rPr>
        <w:t>etus</w:t>
      </w:r>
      <w:r w:rsidR="00613AEA" w:rsidRPr="00613AEA">
        <w:rPr>
          <w:lang w:val="lt-LT"/>
        </w:rPr>
        <w:t xml:space="preserve"> priskaitys apie 480</w:t>
      </w:r>
      <w:r w:rsidR="00086875">
        <w:rPr>
          <w:lang w:val="lt-LT"/>
        </w:rPr>
        <w:t xml:space="preserve"> </w:t>
      </w:r>
      <w:r w:rsidR="00613AEA" w:rsidRPr="00613AEA">
        <w:rPr>
          <w:lang w:val="lt-LT"/>
        </w:rPr>
        <w:t>t</w:t>
      </w:r>
      <w:r w:rsidR="00086875">
        <w:rPr>
          <w:lang w:val="lt-LT"/>
        </w:rPr>
        <w:t xml:space="preserve">ūkst. </w:t>
      </w:r>
      <w:proofErr w:type="spellStart"/>
      <w:r w:rsidR="00613AEA" w:rsidRPr="00613AEA">
        <w:rPr>
          <w:lang w:val="lt-LT"/>
        </w:rPr>
        <w:t>Eur</w:t>
      </w:r>
      <w:proofErr w:type="spellEnd"/>
      <w:r w:rsidR="00613AEA" w:rsidRPr="00613AEA">
        <w:rPr>
          <w:lang w:val="lt-LT"/>
        </w:rPr>
        <w:t xml:space="preserve"> privalomųjų atskaitymų ilgalaikio turto atstatymui</w:t>
      </w:r>
      <w:r w:rsidR="00086875">
        <w:rPr>
          <w:lang w:val="lt-LT"/>
        </w:rPr>
        <w:t>, tačiau šios lėšos bus panaudotos būtiniausioms Bendrovės investicijoms.</w:t>
      </w:r>
      <w:r w:rsidR="00FE7021">
        <w:rPr>
          <w:lang w:val="lt-LT"/>
        </w:rPr>
        <w:t xml:space="preserve"> Įvertinusi savo finansines galimybes</w:t>
      </w:r>
      <w:r w:rsidR="009A21DC">
        <w:rPr>
          <w:lang w:val="lt-LT"/>
        </w:rPr>
        <w:t xml:space="preserve">, </w:t>
      </w:r>
      <w:r w:rsidR="00FE7021">
        <w:rPr>
          <w:lang w:val="lt-LT"/>
        </w:rPr>
        <w:t xml:space="preserve">Bendrovė prašo leidimo imti ilgalaikę iki 500 tūkst. </w:t>
      </w:r>
      <w:proofErr w:type="spellStart"/>
      <w:r w:rsidR="00FE7021">
        <w:rPr>
          <w:lang w:val="lt-LT"/>
        </w:rPr>
        <w:t>Eur</w:t>
      </w:r>
      <w:proofErr w:type="spellEnd"/>
      <w:r w:rsidR="00FE7021">
        <w:rPr>
          <w:lang w:val="lt-LT"/>
        </w:rPr>
        <w:t xml:space="preserve"> paskolą. Šiuo metu Bendrovė vykdo Projekto </w:t>
      </w:r>
      <w:r w:rsidR="00CA7112">
        <w:rPr>
          <w:lang w:val="lt-LT"/>
        </w:rPr>
        <w:t>statybos darbų pirkimo procedūras, todėl nežinoma tiksli reikalingų skolintis lėšų suma.</w:t>
      </w:r>
    </w:p>
    <w:p w:rsidR="00352627" w:rsidRPr="00086875" w:rsidRDefault="00855E2B" w:rsidP="00086875">
      <w:pPr>
        <w:pStyle w:val="Sraopastraipa"/>
        <w:tabs>
          <w:tab w:val="left" w:pos="851"/>
          <w:tab w:val="num" w:pos="993"/>
        </w:tabs>
        <w:spacing w:line="360" w:lineRule="auto"/>
        <w:ind w:left="0" w:firstLine="709"/>
        <w:jc w:val="both"/>
        <w:rPr>
          <w:rFonts w:eastAsia="Calibri"/>
          <w:szCs w:val="22"/>
        </w:rPr>
      </w:pPr>
      <w:r w:rsidRPr="00F735FB">
        <w:t xml:space="preserve">Parengto sprendimo projekto tikslas – </w:t>
      </w:r>
      <w:r w:rsidR="00086875">
        <w:t xml:space="preserve">pritarti uždarosios akcinės bendrovės „Molėtų vanduo“ (toliau – Bendrovė) valdybos sprendimui leisti imti Bendrovei iki 500 (penkių šimtų) tūkstančių </w:t>
      </w:r>
      <w:proofErr w:type="spellStart"/>
      <w:r w:rsidR="00086875">
        <w:t>Eur</w:t>
      </w:r>
      <w:proofErr w:type="spellEnd"/>
      <w:r w:rsidR="00086875">
        <w:t xml:space="preserve"> ilgalaikę paskolą </w:t>
      </w:r>
      <w:r w:rsidR="00086875">
        <w:rPr>
          <w:rFonts w:eastAsia="Calibri"/>
          <w:szCs w:val="22"/>
        </w:rPr>
        <w:t xml:space="preserve">Projekto </w:t>
      </w:r>
      <w:r w:rsidR="00086875" w:rsidRPr="00B33F84">
        <w:rPr>
          <w:rFonts w:eastAsia="Calibri"/>
          <w:szCs w:val="22"/>
        </w:rPr>
        <w:t xml:space="preserve">įgyvendinimui, įkeičiant </w:t>
      </w:r>
      <w:r w:rsidR="00086875">
        <w:rPr>
          <w:rFonts w:eastAsia="Calibri"/>
          <w:szCs w:val="22"/>
        </w:rPr>
        <w:t>B</w:t>
      </w:r>
      <w:r w:rsidR="00086875" w:rsidRPr="00B33F84">
        <w:rPr>
          <w:rFonts w:eastAsia="Calibri"/>
          <w:szCs w:val="22"/>
        </w:rPr>
        <w:t>endrovės</w:t>
      </w:r>
      <w:r w:rsidR="00086875">
        <w:rPr>
          <w:rFonts w:eastAsia="Calibri"/>
          <w:szCs w:val="22"/>
        </w:rPr>
        <w:t xml:space="preserve"> nekilnojamąjį</w:t>
      </w:r>
      <w:r w:rsidR="00086875" w:rsidRPr="00B33F84">
        <w:rPr>
          <w:rFonts w:eastAsia="Calibri"/>
          <w:szCs w:val="22"/>
        </w:rPr>
        <w:t xml:space="preserve"> turtą.</w:t>
      </w:r>
    </w:p>
    <w:p w:rsidR="00746386" w:rsidRPr="00C10D49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C10D49">
        <w:rPr>
          <w:b/>
          <w:lang w:val="lt-LT"/>
        </w:rPr>
        <w:t xml:space="preserve">2. </w:t>
      </w:r>
      <w:r w:rsidR="007F3552" w:rsidRPr="00C10D49">
        <w:rPr>
          <w:b/>
          <w:lang w:val="lt-LT"/>
        </w:rPr>
        <w:t>Š</w:t>
      </w:r>
      <w:r w:rsidR="007F3552" w:rsidRPr="00C10D49">
        <w:rPr>
          <w:b/>
          <w:lang w:val="pt-BR"/>
        </w:rPr>
        <w:t>iuo metu esantis teisinis reglamentavimas</w:t>
      </w:r>
    </w:p>
    <w:p w:rsidR="00C10D49" w:rsidRDefault="00C10D49" w:rsidP="00C10D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10D49">
        <w:rPr>
          <w:lang w:val="lt-LT"/>
        </w:rPr>
        <w:t>Lietuvos Respublikos vietos savivaldos įstatymo 16 straipsnio 3 dalies 9 punkt</w:t>
      </w:r>
      <w:r>
        <w:rPr>
          <w:lang w:val="lt-LT"/>
        </w:rPr>
        <w:t>as</w:t>
      </w:r>
      <w:r w:rsidRPr="00C10D49">
        <w:rPr>
          <w:lang w:val="lt-LT"/>
        </w:rPr>
        <w:t>, 4 dali</w:t>
      </w:r>
      <w:r>
        <w:rPr>
          <w:lang w:val="lt-LT"/>
        </w:rPr>
        <w:t>s;</w:t>
      </w:r>
    </w:p>
    <w:p w:rsidR="00C10D49" w:rsidRDefault="00C10D49" w:rsidP="00C10D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C10D49">
        <w:rPr>
          <w:lang w:val="lt-LT"/>
        </w:rPr>
        <w:t>Lietuvos Respublikos akcinių bendrovių įstatymo 20 straipsnio 2 dali</w:t>
      </w:r>
      <w:r>
        <w:rPr>
          <w:lang w:val="lt-LT"/>
        </w:rPr>
        <w:t>s;</w:t>
      </w:r>
      <w:r w:rsidRPr="00C10D49">
        <w:rPr>
          <w:lang w:val="lt-LT"/>
        </w:rPr>
        <w:t xml:space="preserve"> </w:t>
      </w:r>
    </w:p>
    <w:p w:rsidR="00C10D49" w:rsidRDefault="00C10D49" w:rsidP="00C10D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DF6675">
        <w:rPr>
          <w:lang w:val="lt-LT"/>
        </w:rPr>
        <w:t>Uždarosios akcinės bendrovės „Molėtų vanduo“ įstatų, patvirtintų Molėtų rajono savivaldybės tarybos 2016 m. balandžio 29 d. sprendimu Nr. B1-91 „Dėl uždarosios akcinės bendrovės „Molėtų vanduo“ 2015 m. finansinių ataskaitų rinkinio tvirtinimo ir pelno (nuostolių) paskirstymo ir įstatinio kapitalo mažinimo“,</w:t>
      </w:r>
      <w:r w:rsidRPr="00C10D49">
        <w:rPr>
          <w:lang w:val="lt-LT"/>
        </w:rPr>
        <w:t xml:space="preserve"> 60 punkt</w:t>
      </w:r>
      <w:r>
        <w:rPr>
          <w:lang w:val="lt-LT"/>
        </w:rPr>
        <w:t>as.</w:t>
      </w:r>
      <w:r w:rsidR="00BF2A61" w:rsidRPr="00C10D49">
        <w:rPr>
          <w:b/>
          <w:lang w:val="lt-LT"/>
        </w:rPr>
        <w:tab/>
      </w:r>
    </w:p>
    <w:p w:rsidR="00C0625C" w:rsidRDefault="00C0625C" w:rsidP="00C10D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C0625C" w:rsidRDefault="00C0625C" w:rsidP="00C10D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C10D49" w:rsidRDefault="00746386" w:rsidP="00C10D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C10D49">
        <w:rPr>
          <w:b/>
          <w:lang w:val="lt-LT"/>
        </w:rPr>
        <w:lastRenderedPageBreak/>
        <w:t xml:space="preserve">3. </w:t>
      </w:r>
      <w:r w:rsidR="007F3552" w:rsidRPr="00C10D49">
        <w:rPr>
          <w:b/>
          <w:lang w:val="lt-LT"/>
        </w:rPr>
        <w:t>Galimos teigiamos ir neigiamos pasekmės priėmus siūlomą tarybos</w:t>
      </w:r>
      <w:r w:rsidR="007F3552" w:rsidRPr="00C10D49">
        <w:rPr>
          <w:b/>
          <w:lang w:val="pt-BR"/>
        </w:rPr>
        <w:t xml:space="preserve"> sprendimo projektą</w:t>
      </w:r>
      <w:r w:rsidRPr="00C10D49">
        <w:rPr>
          <w:b/>
          <w:lang w:val="lt-LT"/>
        </w:rPr>
        <w:t xml:space="preserve"> </w:t>
      </w:r>
    </w:p>
    <w:p w:rsidR="004961B9" w:rsidRPr="00C10D4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 w:rsidRPr="00C10D49">
        <w:rPr>
          <w:lang w:val="lt-LT"/>
        </w:rPr>
        <w:t>Teigiamos pasekmės –</w:t>
      </w:r>
      <w:r w:rsidR="00C10D49">
        <w:rPr>
          <w:lang w:val="lt-LT"/>
        </w:rPr>
        <w:t xml:space="preserve"> jeigu taryba </w:t>
      </w:r>
      <w:r w:rsidR="00A93650">
        <w:rPr>
          <w:lang w:val="lt-LT"/>
        </w:rPr>
        <w:t xml:space="preserve">pritars </w:t>
      </w:r>
      <w:r w:rsidR="00C10D49">
        <w:rPr>
          <w:lang w:val="lt-LT"/>
        </w:rPr>
        <w:t>Bendrovės</w:t>
      </w:r>
      <w:r w:rsidR="00C10D49" w:rsidRPr="00C10D49">
        <w:rPr>
          <w:lang w:val="lt-LT"/>
        </w:rPr>
        <w:t xml:space="preserve"> valdybos sprendimui leisti imti Bendrovei ilgalaikę paskolą </w:t>
      </w:r>
      <w:r w:rsidR="00C10D49" w:rsidRPr="00C10D49">
        <w:rPr>
          <w:rFonts w:eastAsia="Calibri"/>
          <w:szCs w:val="22"/>
          <w:lang w:val="lt-LT"/>
        </w:rPr>
        <w:t>Projekto įgyvendinimui, įkeičiant nekilnojamąjį turtą</w:t>
      </w:r>
      <w:r w:rsidR="00A93650">
        <w:rPr>
          <w:rFonts w:eastAsia="Calibri"/>
          <w:szCs w:val="22"/>
          <w:lang w:val="lt-LT"/>
        </w:rPr>
        <w:t>,</w:t>
      </w:r>
      <w:r w:rsidR="00B66B71" w:rsidRPr="00C10D49">
        <w:rPr>
          <w:lang w:val="lt-LT"/>
        </w:rPr>
        <w:t xml:space="preserve"> </w:t>
      </w:r>
      <w:r w:rsidR="00D57816">
        <w:rPr>
          <w:lang w:val="lt-LT"/>
        </w:rPr>
        <w:t>Bendrovė turės lė</w:t>
      </w:r>
      <w:r w:rsidR="00D57816" w:rsidRPr="00DF6675">
        <w:rPr>
          <w:lang w:val="lt-LT"/>
        </w:rPr>
        <w:t>š</w:t>
      </w:r>
      <w:r w:rsidR="00AD6BBD" w:rsidRPr="00DF6675">
        <w:rPr>
          <w:lang w:val="lt-LT"/>
        </w:rPr>
        <w:t>ų</w:t>
      </w:r>
      <w:bookmarkStart w:id="0" w:name="_GoBack"/>
      <w:bookmarkEnd w:id="0"/>
      <w:r w:rsidR="00C0625C">
        <w:rPr>
          <w:lang w:val="lt-LT"/>
        </w:rPr>
        <w:t xml:space="preserve">, kurios reikalingos </w:t>
      </w:r>
      <w:r w:rsidR="00C0625C" w:rsidRPr="00C0625C">
        <w:rPr>
          <w:lang w:val="lt-LT"/>
        </w:rPr>
        <w:t>sėkminga</w:t>
      </w:r>
      <w:r w:rsidR="00C0625C">
        <w:rPr>
          <w:lang w:val="lt-LT"/>
        </w:rPr>
        <w:t>i</w:t>
      </w:r>
      <w:r w:rsidR="00C0625C" w:rsidRPr="00C0625C">
        <w:rPr>
          <w:lang w:val="lt-LT"/>
        </w:rPr>
        <w:t xml:space="preserve"> įvykdy</w:t>
      </w:r>
      <w:r w:rsidR="00C0625C">
        <w:rPr>
          <w:lang w:val="lt-LT"/>
        </w:rPr>
        <w:t>ti Projektą.</w:t>
      </w:r>
      <w:r w:rsidR="00D57816">
        <w:rPr>
          <w:lang w:val="lt-LT"/>
        </w:rPr>
        <w:t xml:space="preserve">  </w:t>
      </w:r>
    </w:p>
    <w:p w:rsidR="009C5DB9" w:rsidRPr="00C10D49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C10D49">
        <w:rPr>
          <w:lang w:val="lt-LT"/>
        </w:rPr>
        <w:t>Neigiamų pasekm</w:t>
      </w:r>
      <w:r w:rsidR="00C0625C">
        <w:rPr>
          <w:lang w:val="lt-LT"/>
        </w:rPr>
        <w:t>ių</w:t>
      </w:r>
      <w:r w:rsidRPr="00C10D49">
        <w:rPr>
          <w:lang w:val="lt-LT"/>
        </w:rPr>
        <w:t xml:space="preserve"> ne</w:t>
      </w:r>
      <w:r w:rsidR="007C1BAB">
        <w:rPr>
          <w:lang w:val="lt-LT"/>
        </w:rPr>
        <w:t>numatoma, tik Bendrovė savo biudžete turės planuoti lėšas paskolos ir palūkanų gražinimui.</w:t>
      </w:r>
    </w:p>
    <w:p w:rsidR="00746386" w:rsidRPr="00C10D49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C10D49">
        <w:rPr>
          <w:b/>
          <w:lang w:val="lt-LT"/>
        </w:rPr>
        <w:tab/>
      </w:r>
      <w:r w:rsidR="00746386" w:rsidRPr="00C10D49">
        <w:rPr>
          <w:b/>
          <w:lang w:val="lt-LT"/>
        </w:rPr>
        <w:t xml:space="preserve">4. Priemonės </w:t>
      </w:r>
      <w:r w:rsidR="007F3552" w:rsidRPr="00C10D49">
        <w:rPr>
          <w:b/>
          <w:lang w:val="lt-LT"/>
        </w:rPr>
        <w:t>sprendimui</w:t>
      </w:r>
      <w:r w:rsidR="00324347" w:rsidRPr="00C10D49">
        <w:rPr>
          <w:b/>
          <w:lang w:val="lt-LT"/>
        </w:rPr>
        <w:t xml:space="preserve"> įgyvendinti</w:t>
      </w:r>
      <w:r w:rsidR="005B59C0" w:rsidRPr="00C10D49">
        <w:rPr>
          <w:b/>
          <w:lang w:val="lt-LT"/>
        </w:rPr>
        <w:t xml:space="preserve"> </w:t>
      </w:r>
    </w:p>
    <w:p w:rsidR="00C44EBB" w:rsidRPr="00C10D49" w:rsidRDefault="007C1BAB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>
        <w:rPr>
          <w:lang w:val="lt-LT"/>
        </w:rPr>
        <w:t>Bendrovės valdyba priims sprendimą leisti imti paskolą.</w:t>
      </w:r>
    </w:p>
    <w:p w:rsidR="008443D6" w:rsidRPr="00C10D49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10D49">
        <w:rPr>
          <w:b/>
          <w:lang w:val="lt-LT"/>
        </w:rPr>
        <w:tab/>
      </w:r>
      <w:r w:rsidR="00746386" w:rsidRPr="00C10D49">
        <w:rPr>
          <w:b/>
          <w:lang w:val="lt-LT"/>
        </w:rPr>
        <w:t>5.</w:t>
      </w:r>
      <w:r w:rsidR="008B5A5F" w:rsidRPr="00C10D49">
        <w:rPr>
          <w:b/>
          <w:lang w:val="lt-LT"/>
        </w:rPr>
        <w:t xml:space="preserve"> </w:t>
      </w:r>
      <w:r w:rsidR="00746386" w:rsidRPr="00C10D49">
        <w:rPr>
          <w:b/>
          <w:lang w:val="lt-LT"/>
        </w:rPr>
        <w:t>Lėšų poreikis ir jų šaltiniai (prireikus skaičiavimai ir išlaidų sąmatos)</w:t>
      </w:r>
      <w:r w:rsidR="00BC5BF6" w:rsidRPr="00C10D49">
        <w:rPr>
          <w:lang w:val="lt-LT"/>
        </w:rPr>
        <w:t xml:space="preserve"> </w:t>
      </w:r>
    </w:p>
    <w:p w:rsidR="006E03DF" w:rsidRPr="00C10D49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C10D49">
        <w:rPr>
          <w:lang w:val="lt-LT"/>
        </w:rPr>
        <w:t>Lėšų poreikio nėra.</w:t>
      </w:r>
    </w:p>
    <w:p w:rsidR="00746386" w:rsidRPr="00C10D49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C10D49">
        <w:rPr>
          <w:b/>
          <w:lang w:val="lt-LT"/>
        </w:rPr>
        <w:tab/>
      </w:r>
      <w:r w:rsidR="00746386" w:rsidRPr="00C10D49">
        <w:rPr>
          <w:b/>
          <w:lang w:val="lt-LT"/>
        </w:rPr>
        <w:t>6.</w:t>
      </w:r>
      <w:r w:rsidR="00F73236" w:rsidRPr="00C10D49">
        <w:rPr>
          <w:b/>
          <w:lang w:val="lt-LT"/>
        </w:rPr>
        <w:t xml:space="preserve"> </w:t>
      </w:r>
      <w:r w:rsidR="00746386" w:rsidRPr="00C10D49">
        <w:rPr>
          <w:b/>
          <w:lang w:val="lt-LT"/>
        </w:rPr>
        <w:t xml:space="preserve">Vykdytojai, įvykdymo terminai </w:t>
      </w:r>
    </w:p>
    <w:p w:rsidR="00CC50BC" w:rsidRDefault="003A0F0D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noProof/>
        </w:rPr>
        <w:t>Uždaroji akcinė bendrovė „M</w:t>
      </w:r>
      <w:r w:rsidRPr="00945A65">
        <w:rPr>
          <w:noProof/>
        </w:rPr>
        <w:t>olėtų vanduo“</w:t>
      </w:r>
      <w:r w:rsidR="00185F84" w:rsidRPr="00C10D49">
        <w:rPr>
          <w:lang w:val="lt-LT"/>
        </w:rPr>
        <w:t>.</w:t>
      </w:r>
    </w:p>
    <w:p w:rsidR="00ED61C7" w:rsidRDefault="00ED61C7" w:rsidP="00E46F20">
      <w:pPr>
        <w:tabs>
          <w:tab w:val="left" w:pos="1674"/>
        </w:tabs>
        <w:rPr>
          <w:lang w:val="lt-LT"/>
        </w:rPr>
      </w:pPr>
    </w:p>
    <w:sectPr w:rsidR="00ED61C7" w:rsidSect="00C0625C">
      <w:headerReference w:type="even" r:id="rId7"/>
      <w:headerReference w:type="default" r:id="rId8"/>
      <w:pgSz w:w="11906" w:h="16838"/>
      <w:pgMar w:top="1418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84" w:rsidRDefault="00B03F84">
      <w:r>
        <w:separator/>
      </w:r>
    </w:p>
  </w:endnote>
  <w:endnote w:type="continuationSeparator" w:id="0">
    <w:p w:rsidR="00B03F84" w:rsidRDefault="00B0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84" w:rsidRDefault="00B03F84">
      <w:r>
        <w:separator/>
      </w:r>
    </w:p>
  </w:footnote>
  <w:footnote w:type="continuationSeparator" w:id="0">
    <w:p w:rsidR="00B03F84" w:rsidRDefault="00B0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66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82891"/>
    <w:rsid w:val="00086875"/>
    <w:rsid w:val="00093E4A"/>
    <w:rsid w:val="000A6427"/>
    <w:rsid w:val="000C032D"/>
    <w:rsid w:val="000E699D"/>
    <w:rsid w:val="0010450A"/>
    <w:rsid w:val="00114D95"/>
    <w:rsid w:val="00131751"/>
    <w:rsid w:val="00161C90"/>
    <w:rsid w:val="00163673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80301"/>
    <w:rsid w:val="003931FD"/>
    <w:rsid w:val="003A0F0D"/>
    <w:rsid w:val="003A3571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8101B"/>
    <w:rsid w:val="005A2E0E"/>
    <w:rsid w:val="005B34EC"/>
    <w:rsid w:val="005B59C0"/>
    <w:rsid w:val="005C2FB6"/>
    <w:rsid w:val="005C3675"/>
    <w:rsid w:val="005C3ED0"/>
    <w:rsid w:val="005E53AF"/>
    <w:rsid w:val="005E6581"/>
    <w:rsid w:val="0060764C"/>
    <w:rsid w:val="00613AEA"/>
    <w:rsid w:val="006335AB"/>
    <w:rsid w:val="006400BC"/>
    <w:rsid w:val="00655BD6"/>
    <w:rsid w:val="00673B2B"/>
    <w:rsid w:val="006C48B9"/>
    <w:rsid w:val="006E03DF"/>
    <w:rsid w:val="006E4C47"/>
    <w:rsid w:val="00701DBC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C1BAB"/>
    <w:rsid w:val="007C7B5C"/>
    <w:rsid w:val="007D0CE9"/>
    <w:rsid w:val="007F3552"/>
    <w:rsid w:val="007F4A38"/>
    <w:rsid w:val="0083046E"/>
    <w:rsid w:val="00832633"/>
    <w:rsid w:val="008443D6"/>
    <w:rsid w:val="0084538A"/>
    <w:rsid w:val="00855E2B"/>
    <w:rsid w:val="008738D9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45A65"/>
    <w:rsid w:val="00956579"/>
    <w:rsid w:val="00957F63"/>
    <w:rsid w:val="00965079"/>
    <w:rsid w:val="0098475E"/>
    <w:rsid w:val="009A21DC"/>
    <w:rsid w:val="009A325B"/>
    <w:rsid w:val="009A6AE8"/>
    <w:rsid w:val="009C32F5"/>
    <w:rsid w:val="009C5DB9"/>
    <w:rsid w:val="009D13BF"/>
    <w:rsid w:val="009D7327"/>
    <w:rsid w:val="00A02A5D"/>
    <w:rsid w:val="00A75F23"/>
    <w:rsid w:val="00A91484"/>
    <w:rsid w:val="00A93650"/>
    <w:rsid w:val="00AA6D5A"/>
    <w:rsid w:val="00AC06DE"/>
    <w:rsid w:val="00AD6BBD"/>
    <w:rsid w:val="00B03F84"/>
    <w:rsid w:val="00B0674F"/>
    <w:rsid w:val="00B075F5"/>
    <w:rsid w:val="00B17ECF"/>
    <w:rsid w:val="00B66B71"/>
    <w:rsid w:val="00B73A87"/>
    <w:rsid w:val="00BC2764"/>
    <w:rsid w:val="00BC31AD"/>
    <w:rsid w:val="00BC5BF6"/>
    <w:rsid w:val="00BD50FD"/>
    <w:rsid w:val="00BE55D6"/>
    <w:rsid w:val="00BF2A61"/>
    <w:rsid w:val="00C02831"/>
    <w:rsid w:val="00C0625C"/>
    <w:rsid w:val="00C06BA3"/>
    <w:rsid w:val="00C10D49"/>
    <w:rsid w:val="00C258D5"/>
    <w:rsid w:val="00C406E6"/>
    <w:rsid w:val="00C42DDB"/>
    <w:rsid w:val="00C44EBB"/>
    <w:rsid w:val="00C55287"/>
    <w:rsid w:val="00C70A30"/>
    <w:rsid w:val="00C70D36"/>
    <w:rsid w:val="00C84B9F"/>
    <w:rsid w:val="00CA4C4B"/>
    <w:rsid w:val="00CA7112"/>
    <w:rsid w:val="00CA7B97"/>
    <w:rsid w:val="00CB023F"/>
    <w:rsid w:val="00CB31C3"/>
    <w:rsid w:val="00CC44AD"/>
    <w:rsid w:val="00CC50BC"/>
    <w:rsid w:val="00D20E36"/>
    <w:rsid w:val="00D23ED3"/>
    <w:rsid w:val="00D30531"/>
    <w:rsid w:val="00D36EAB"/>
    <w:rsid w:val="00D44CCE"/>
    <w:rsid w:val="00D46CD3"/>
    <w:rsid w:val="00D57816"/>
    <w:rsid w:val="00D57867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DF6675"/>
    <w:rsid w:val="00E1529D"/>
    <w:rsid w:val="00E17543"/>
    <w:rsid w:val="00E32DA4"/>
    <w:rsid w:val="00E46F20"/>
    <w:rsid w:val="00E51AE0"/>
    <w:rsid w:val="00E60C45"/>
    <w:rsid w:val="00E65270"/>
    <w:rsid w:val="00E942CC"/>
    <w:rsid w:val="00EA7650"/>
    <w:rsid w:val="00ED61C7"/>
    <w:rsid w:val="00EE10BA"/>
    <w:rsid w:val="00EF39F9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B3445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161C90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2016-12-13T14:48:00Z</dcterms:created>
  <dcterms:modified xsi:type="dcterms:W3CDTF">2016-12-13T14:51:00Z</dcterms:modified>
</cp:coreProperties>
</file>