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A8E7" w14:textId="77777777" w:rsidR="00FB07FE" w:rsidRDefault="00FB07FE" w:rsidP="00FB07FE">
      <w:pPr>
        <w:pStyle w:val="Betarp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81FA6">
        <w:rPr>
          <w:rFonts w:ascii="Times New Roman" w:hAnsi="Times New Roman" w:cs="Times New Roman"/>
          <w:sz w:val="24"/>
          <w:szCs w:val="24"/>
        </w:rPr>
        <w:t>PATVIRTINTA</w:t>
      </w:r>
    </w:p>
    <w:p w14:paraId="26B75B6B" w14:textId="77777777" w:rsidR="00FB07FE" w:rsidRDefault="00FB07FE" w:rsidP="00FB07F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Molėtų rajono savivaldybės tarybos</w:t>
      </w:r>
    </w:p>
    <w:p w14:paraId="633AE5DF" w14:textId="09AED34B" w:rsidR="00FB07FE" w:rsidRPr="00020810" w:rsidRDefault="00FB07FE" w:rsidP="00FB07F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2024 m. sausio </w:t>
      </w:r>
      <w:r w:rsidR="007B2DD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d. sprendimu Nr.B1-</w:t>
      </w:r>
      <w:r w:rsidR="007B2DD2">
        <w:rPr>
          <w:rFonts w:ascii="Times New Roman" w:hAnsi="Times New Roman" w:cs="Times New Roman"/>
          <w:sz w:val="24"/>
          <w:szCs w:val="24"/>
        </w:rPr>
        <w:t>22</w:t>
      </w:r>
    </w:p>
    <w:p w14:paraId="182ACAD1" w14:textId="77777777" w:rsidR="00FB07FE" w:rsidRDefault="00FB07FE" w:rsidP="00B2530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4DF11802" w14:textId="77777777" w:rsidR="00FB07FE" w:rsidRDefault="00FB07FE" w:rsidP="00B25303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7482E9B9" w14:textId="34C517F9" w:rsidR="008B6DC1" w:rsidRDefault="00D4202F" w:rsidP="00590956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02F">
        <w:rPr>
          <w:rFonts w:ascii="Times New Roman" w:hAnsi="Times New Roman" w:cs="Times New Roman"/>
          <w:b/>
          <w:bCs/>
          <w:sz w:val="24"/>
          <w:szCs w:val="24"/>
        </w:rPr>
        <w:t>MOLĖTŲ RAJONO SAVIVALDYBĖS TARYBOS KONTROLĖS KOMITETO 2024 M. VEIKLOS PROGRAMA</w:t>
      </w:r>
    </w:p>
    <w:p w14:paraId="0600008A" w14:textId="77777777" w:rsidR="00590956" w:rsidRPr="00FB07FE" w:rsidRDefault="00590956" w:rsidP="00590956">
      <w:pPr>
        <w:pStyle w:val="Betarp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4500"/>
        <w:gridCol w:w="2835"/>
        <w:gridCol w:w="1949"/>
      </w:tblGrid>
      <w:tr w:rsidR="008B6DC1" w:rsidRPr="00FB07FE" w14:paraId="3B98469C" w14:textId="77777777" w:rsidTr="00590956">
        <w:tc>
          <w:tcPr>
            <w:tcW w:w="570" w:type="dxa"/>
          </w:tcPr>
          <w:p w14:paraId="7B7394A2" w14:textId="77777777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28CDFA41" w14:textId="41409846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500" w:type="dxa"/>
          </w:tcPr>
          <w:p w14:paraId="01066988" w14:textId="6A481A25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Programoje numatytų atlikti priemonių, darbų pavadinimas</w:t>
            </w:r>
          </w:p>
        </w:tc>
        <w:tc>
          <w:tcPr>
            <w:tcW w:w="2835" w:type="dxa"/>
          </w:tcPr>
          <w:p w14:paraId="6E0B38AE" w14:textId="719C2F77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Atsakingi už įvykdymą asmenys</w:t>
            </w:r>
          </w:p>
        </w:tc>
        <w:tc>
          <w:tcPr>
            <w:tcW w:w="1949" w:type="dxa"/>
          </w:tcPr>
          <w:p w14:paraId="3F8A66D8" w14:textId="04FB363A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Įvykdymo data</w:t>
            </w:r>
          </w:p>
        </w:tc>
      </w:tr>
      <w:tr w:rsidR="00590956" w:rsidRPr="00FB07FE" w14:paraId="3518F8D3" w14:textId="77777777" w:rsidTr="00590956">
        <w:tc>
          <w:tcPr>
            <w:tcW w:w="570" w:type="dxa"/>
          </w:tcPr>
          <w:p w14:paraId="35A937D7" w14:textId="1A0E8E8C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37CFF9EA" w14:textId="3B7F46CF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0B3526F" w14:textId="1CCC44A6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14:paraId="3A6E50A7" w14:textId="637258CA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6DC1" w:rsidRPr="00FB07FE" w14:paraId="57421BC4" w14:textId="77777777" w:rsidTr="00590956">
        <w:trPr>
          <w:trHeight w:val="1173"/>
        </w:trPr>
        <w:tc>
          <w:tcPr>
            <w:tcW w:w="570" w:type="dxa"/>
          </w:tcPr>
          <w:p w14:paraId="5BD995DA" w14:textId="288E93D0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14:paraId="4556BB77" w14:textId="44D34308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Įvertinti savivaldybės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ontrolės ir audito tarnybos 2024 m. veiklos planui vykdyti reikalingus biudžeto asignavimus ir išvadą teikti savivaldybės tarybai </w:t>
            </w:r>
          </w:p>
        </w:tc>
        <w:tc>
          <w:tcPr>
            <w:tcW w:w="2835" w:type="dxa"/>
          </w:tcPr>
          <w:p w14:paraId="2B6293F5" w14:textId="3863A09A" w:rsidR="008B6DC1" w:rsidRPr="00FB07FE" w:rsidRDefault="00BE00F3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ir audito tarnybos vadov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, kontrolės komitet</w:t>
            </w:r>
            <w:r w:rsidR="007736E1" w:rsidRPr="00FB07FE">
              <w:rPr>
                <w:rFonts w:ascii="Times New Roman" w:hAnsi="Times New Roman" w:cs="Times New Roman"/>
                <w:sz w:val="24"/>
                <w:szCs w:val="24"/>
              </w:rPr>
              <w:t>o nariai</w:t>
            </w:r>
          </w:p>
        </w:tc>
        <w:tc>
          <w:tcPr>
            <w:tcW w:w="1949" w:type="dxa"/>
          </w:tcPr>
          <w:p w14:paraId="7FD2DBAB" w14:textId="480EDCA2" w:rsidR="008B6DC1" w:rsidRPr="00FB07FE" w:rsidRDefault="007736E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DC1" w:rsidRPr="00FB07FE" w14:paraId="3ACC3101" w14:textId="77777777" w:rsidTr="00590956">
        <w:tc>
          <w:tcPr>
            <w:tcW w:w="570" w:type="dxa"/>
          </w:tcPr>
          <w:p w14:paraId="1E3016BB" w14:textId="44498097" w:rsidR="008B6DC1" w:rsidRPr="00FB07FE" w:rsidRDefault="008B6DC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14:paraId="35E4C652" w14:textId="51B24D4F" w:rsidR="009145CC" w:rsidRPr="00FB07FE" w:rsidRDefault="008B6DC1" w:rsidP="00B07B4B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ontrolės komiteto 2024 m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veiklos programą ir ją pateikti svarstyti savivaldybės tarybai</w:t>
            </w:r>
          </w:p>
        </w:tc>
        <w:tc>
          <w:tcPr>
            <w:tcW w:w="2835" w:type="dxa"/>
          </w:tcPr>
          <w:p w14:paraId="24990F15" w14:textId="2EF12E4F" w:rsidR="008B6DC1" w:rsidRPr="00FB07FE" w:rsidRDefault="007736E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k</w:t>
            </w:r>
            <w:r w:rsidR="008C3C05" w:rsidRPr="00FB07FE">
              <w:rPr>
                <w:rFonts w:ascii="Times New Roman" w:hAnsi="Times New Roman" w:cs="Times New Roman"/>
                <w:sz w:val="24"/>
                <w:szCs w:val="24"/>
              </w:rPr>
              <w:t>omiteto pirmininkas, komiteto nariai</w:t>
            </w:r>
          </w:p>
        </w:tc>
        <w:tc>
          <w:tcPr>
            <w:tcW w:w="1949" w:type="dxa"/>
          </w:tcPr>
          <w:p w14:paraId="1EE4638F" w14:textId="733A557B" w:rsidR="008B6DC1" w:rsidRPr="00FB07FE" w:rsidRDefault="007736E1" w:rsidP="00B25303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45CC" w:rsidRPr="00FB07FE" w14:paraId="6FC3DD3A" w14:textId="77777777" w:rsidTr="00590956">
        <w:tc>
          <w:tcPr>
            <w:tcW w:w="570" w:type="dxa"/>
          </w:tcPr>
          <w:p w14:paraId="142B5D97" w14:textId="1C54315F" w:rsidR="009145CC" w:rsidRPr="00FB07FE" w:rsidRDefault="00211FBE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14:paraId="5EB21FE1" w14:textId="551B227F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Parengti savivaldybės tarybos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ontrolės komiteto 2024 m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veiklos programos įvykdymo ataskaitą ir ją pateikti savivaldybės tarybai </w:t>
            </w:r>
          </w:p>
        </w:tc>
        <w:tc>
          <w:tcPr>
            <w:tcW w:w="2835" w:type="dxa"/>
          </w:tcPr>
          <w:p w14:paraId="727DD327" w14:textId="5EABBA79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komiteto pirmininkas, komiteto nariai</w:t>
            </w:r>
          </w:p>
        </w:tc>
        <w:tc>
          <w:tcPr>
            <w:tcW w:w="1949" w:type="dxa"/>
          </w:tcPr>
          <w:p w14:paraId="601A65E5" w14:textId="4483B52D" w:rsidR="009145CC" w:rsidRPr="00FB07FE" w:rsidRDefault="00211FBE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45CC" w:rsidRPr="00FB07FE" w14:paraId="385A573A" w14:textId="77777777" w:rsidTr="00590956">
        <w:tc>
          <w:tcPr>
            <w:tcW w:w="570" w:type="dxa"/>
          </w:tcPr>
          <w:p w14:paraId="4680B4DA" w14:textId="7474AA8D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52A6DF98" w14:textId="7708DB8D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Svarstyti Kontrolės ir audito tarnybos 2024 m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veiklos plano vykdymo eigą</w:t>
            </w:r>
            <w:r w:rsidR="00211FBE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835" w:type="dxa"/>
          </w:tcPr>
          <w:p w14:paraId="66DCA03C" w14:textId="5267A8C1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Komiteto pirmininkas, kontrolės ir audito tarnybos vadov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949" w:type="dxa"/>
          </w:tcPr>
          <w:p w14:paraId="38FC0BB8" w14:textId="6109E853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Kartą per ketvirtį</w:t>
            </w:r>
          </w:p>
        </w:tc>
      </w:tr>
      <w:tr w:rsidR="004374C6" w:rsidRPr="00FB07FE" w14:paraId="2C6F3806" w14:textId="77777777" w:rsidTr="00590956">
        <w:tc>
          <w:tcPr>
            <w:tcW w:w="570" w:type="dxa"/>
          </w:tcPr>
          <w:p w14:paraId="62F119B7" w14:textId="3EA7E6FA" w:rsidR="004374C6" w:rsidRPr="00FB07FE" w:rsidRDefault="004374C6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14:paraId="56746D57" w14:textId="3084CCE5" w:rsidR="004374C6" w:rsidRPr="00FB07FE" w:rsidRDefault="004374C6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Svarstyti 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>2023 m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savivaldybės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ontrolės ir audito 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>tarnybos metinių ataskaitų rinkinį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pagrindu parengti ir teikti savivaldybės tarybai išvadą dėl šios tarnybos veiklos </w:t>
            </w:r>
          </w:p>
        </w:tc>
        <w:tc>
          <w:tcPr>
            <w:tcW w:w="2835" w:type="dxa"/>
          </w:tcPr>
          <w:p w14:paraId="4B937B52" w14:textId="4C20A3F6" w:rsidR="004374C6" w:rsidRPr="00FB07FE" w:rsidRDefault="004374C6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ir audito tarnybos vadov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, kontrolės komiteto nariai</w:t>
            </w:r>
          </w:p>
        </w:tc>
        <w:tc>
          <w:tcPr>
            <w:tcW w:w="1949" w:type="dxa"/>
          </w:tcPr>
          <w:p w14:paraId="73EED506" w14:textId="6AD788C2" w:rsidR="004374C6" w:rsidRPr="00FB07FE" w:rsidRDefault="004374C6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45CC" w:rsidRPr="00FB07FE" w14:paraId="1FF0A9BF" w14:textId="77777777" w:rsidTr="00590956">
        <w:tc>
          <w:tcPr>
            <w:tcW w:w="570" w:type="dxa"/>
          </w:tcPr>
          <w:p w14:paraId="4916EC6C" w14:textId="6ED7FA84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14:paraId="0F78C9CC" w14:textId="76270252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Svarstyti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ontrolės ir audito tarnybos 202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veiklos plano projektą ir teikti pasiūlymus tarnybai dėl šio plano projekto papildymo ar pakeitimo reglamento numatyta tvarka iki 202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819" w:rsidRPr="00FB0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5 grąžinti plano projektą savivaldybės kontrolier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iui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tvirtinti </w:t>
            </w:r>
          </w:p>
        </w:tc>
        <w:tc>
          <w:tcPr>
            <w:tcW w:w="2835" w:type="dxa"/>
          </w:tcPr>
          <w:p w14:paraId="27E2536E" w14:textId="23E2A210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ir audito tarnybos vadov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, komiteto pirmininkas, komiteto nariai</w:t>
            </w:r>
          </w:p>
        </w:tc>
        <w:tc>
          <w:tcPr>
            <w:tcW w:w="1949" w:type="dxa"/>
          </w:tcPr>
          <w:p w14:paraId="30A75EE8" w14:textId="6965907A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145CC" w:rsidRPr="00FB07FE" w14:paraId="1D0BC909" w14:textId="77777777" w:rsidTr="00590956">
        <w:tc>
          <w:tcPr>
            <w:tcW w:w="570" w:type="dxa"/>
          </w:tcPr>
          <w:p w14:paraId="6F6EDA56" w14:textId="77777777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0096CF95" w14:textId="31B5A9C2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4A64805" w14:textId="3568270B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Įvertinus savivaldybės įstaigų veiklos rezultatus, efektyvumo rodiklius rekomenduoti savivaldybės tarybai neefektyviai dirbančiose įstaigose atlikti auditą, pasitelkiant 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ontrolės ir audito tarnybą arba  samdant nepriklausomus auditorius</w:t>
            </w:r>
          </w:p>
        </w:tc>
        <w:tc>
          <w:tcPr>
            <w:tcW w:w="2835" w:type="dxa"/>
          </w:tcPr>
          <w:p w14:paraId="6A25A6D4" w14:textId="08550F2B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komiteto pirmininkas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>, komiteto nariai</w:t>
            </w:r>
          </w:p>
        </w:tc>
        <w:tc>
          <w:tcPr>
            <w:tcW w:w="1949" w:type="dxa"/>
          </w:tcPr>
          <w:p w14:paraId="417E1581" w14:textId="30AB25CF" w:rsidR="009145CC" w:rsidRPr="00FB07FE" w:rsidRDefault="004374C6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9145CC" w:rsidRPr="00FB07FE" w14:paraId="6EEB24B3" w14:textId="77777777" w:rsidTr="00590956">
        <w:tc>
          <w:tcPr>
            <w:tcW w:w="570" w:type="dxa"/>
          </w:tcPr>
          <w:p w14:paraId="229E377A" w14:textId="4391E66C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</w:tcPr>
          <w:p w14:paraId="2AC2FF57" w14:textId="77AEAA15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Išklausyti savivaldybės merą arba 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jo deleguotus 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administracijos atstovus kaip vykdomi ES, valstybės bei savivaldybės biudžeto lėšomis finansuojami projektai, kaip vykdomas savivaldybės biudžetas ir naudojami finansiniai ištekliai  </w:t>
            </w:r>
          </w:p>
        </w:tc>
        <w:tc>
          <w:tcPr>
            <w:tcW w:w="2835" w:type="dxa"/>
          </w:tcPr>
          <w:p w14:paraId="15CA730A" w14:textId="6544F72F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komiteto pirmininkas, administracijos atstovai, deleguoti mero</w:t>
            </w:r>
          </w:p>
        </w:tc>
        <w:tc>
          <w:tcPr>
            <w:tcW w:w="1949" w:type="dxa"/>
          </w:tcPr>
          <w:p w14:paraId="12AC1696" w14:textId="01624073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0956" w:rsidRPr="00FB07FE" w14:paraId="5276D697" w14:textId="77777777" w:rsidTr="00590956">
        <w:tc>
          <w:tcPr>
            <w:tcW w:w="570" w:type="dxa"/>
          </w:tcPr>
          <w:p w14:paraId="1C26E01D" w14:textId="341338FF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00" w:type="dxa"/>
          </w:tcPr>
          <w:p w14:paraId="1A707A66" w14:textId="607E55D1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81467EE" w14:textId="69AF2231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14:paraId="71E3FD3C" w14:textId="7EBFA7E2" w:rsidR="00590956" w:rsidRPr="00FB07FE" w:rsidRDefault="00590956" w:rsidP="00590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45CC" w:rsidRPr="00FB07FE" w14:paraId="706AAD75" w14:textId="77777777" w:rsidTr="00590956">
        <w:tc>
          <w:tcPr>
            <w:tcW w:w="570" w:type="dxa"/>
          </w:tcPr>
          <w:p w14:paraId="121B866D" w14:textId="2410D146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</w:tcPr>
          <w:p w14:paraId="4500B979" w14:textId="0A5902D3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Aptarti su savivaldybės institucijų, įstaigų, įmonių, kuriose </w:t>
            </w:r>
            <w:r w:rsidR="00590956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atlikti veiklos auditai vadovais kaip įgyvendinamos 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ontrolės ir audito tarnybos rekomendacijos bei kaip išnaudojamos galimybės įstaigų, įmonių veiklų gerinimui</w:t>
            </w:r>
          </w:p>
        </w:tc>
        <w:tc>
          <w:tcPr>
            <w:tcW w:w="2835" w:type="dxa"/>
          </w:tcPr>
          <w:p w14:paraId="47D82170" w14:textId="5DB95225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ir audito tarnybos vadov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, kontrolės komiteto pirmininkas</w:t>
            </w:r>
            <w:r w:rsidR="008440AE" w:rsidRPr="00FB07FE">
              <w:rPr>
                <w:rFonts w:ascii="Times New Roman" w:hAnsi="Times New Roman" w:cs="Times New Roman"/>
                <w:sz w:val="24"/>
                <w:szCs w:val="24"/>
              </w:rPr>
              <w:t>, komiteto nariai, įstaigų vadovai</w:t>
            </w:r>
          </w:p>
        </w:tc>
        <w:tc>
          <w:tcPr>
            <w:tcW w:w="1949" w:type="dxa"/>
          </w:tcPr>
          <w:p w14:paraId="49878E4B" w14:textId="1502BD7B" w:rsidR="009145CC" w:rsidRPr="00FB07FE" w:rsidRDefault="004374C6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9145CC" w:rsidRPr="00FB07FE" w14:paraId="7C0CFD9B" w14:textId="77777777" w:rsidTr="00590956">
        <w:tc>
          <w:tcPr>
            <w:tcW w:w="570" w:type="dxa"/>
          </w:tcPr>
          <w:p w14:paraId="6F79F91B" w14:textId="601C4446" w:rsidR="009145CC" w:rsidRPr="00FB07FE" w:rsidRDefault="00B07B4B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5CC" w:rsidRPr="00FB07F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00" w:type="dxa"/>
          </w:tcPr>
          <w:p w14:paraId="35566789" w14:textId="5BDD7418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Nagrinėti </w:t>
            </w:r>
            <w:r w:rsidR="00F4393F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iš asmenų gautus 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pranešimus ir pareiškimus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apie savivaldybės įstaigose fiksuojamus veiklos trūkumus, neefektyvų lėšų naudojimą, neefektyvią veiklą ir teikti siūlymus merui, tarybai dėl šių įstaigų veiklų tobulinimo ir atitikimo galiojantiems LR teisės aktams</w:t>
            </w:r>
          </w:p>
        </w:tc>
        <w:tc>
          <w:tcPr>
            <w:tcW w:w="2835" w:type="dxa"/>
          </w:tcPr>
          <w:p w14:paraId="4ECECDCF" w14:textId="683A0022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 komiteto pirmininkas</w:t>
            </w:r>
          </w:p>
        </w:tc>
        <w:tc>
          <w:tcPr>
            <w:tcW w:w="1949" w:type="dxa"/>
          </w:tcPr>
          <w:p w14:paraId="6EBA4C46" w14:textId="0897744E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Gavus pranešimus</w:t>
            </w:r>
            <w:r w:rsidR="00B07B4B" w:rsidRPr="00FB07FE">
              <w:rPr>
                <w:rFonts w:ascii="Times New Roman" w:hAnsi="Times New Roman" w:cs="Times New Roman"/>
                <w:sz w:val="24"/>
                <w:szCs w:val="24"/>
              </w:rPr>
              <w:t>, pareiškimus</w:t>
            </w:r>
          </w:p>
        </w:tc>
      </w:tr>
      <w:tr w:rsidR="009145CC" w:rsidRPr="00FB07FE" w14:paraId="044136FA" w14:textId="77777777" w:rsidTr="00590956">
        <w:tc>
          <w:tcPr>
            <w:tcW w:w="570" w:type="dxa"/>
          </w:tcPr>
          <w:p w14:paraId="4BF844DC" w14:textId="35105BC3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</w:tcPr>
          <w:p w14:paraId="0E768829" w14:textId="55FE85D4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Svarstyti savivaldybės administracijos </w:t>
            </w:r>
            <w:r w:rsidR="00F439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entralizuotos vidaus audito tarnybos 2024 m. atliktų auditų ir tikslinių patikrinimų išvadas ir teikti rekomendacijas merui, savivaldybės  tarybai, audituotų subjektų vadovams</w:t>
            </w:r>
          </w:p>
        </w:tc>
        <w:tc>
          <w:tcPr>
            <w:tcW w:w="2835" w:type="dxa"/>
          </w:tcPr>
          <w:p w14:paraId="7452575F" w14:textId="256C322D" w:rsidR="009145CC" w:rsidRPr="00FB07FE" w:rsidRDefault="009145CC" w:rsidP="00B07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Kontrolės</w:t>
            </w:r>
            <w:r w:rsidR="00B07B4B"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komiteto pirmininkas, savivaldybės administracijos 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entralizuot</w:t>
            </w:r>
            <w:r w:rsidR="009E661C" w:rsidRPr="00FB07FE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 xml:space="preserve"> vidaus audito tarnyb</w:t>
            </w:r>
            <w:r w:rsidR="009E661C" w:rsidRPr="00FB07FE">
              <w:rPr>
                <w:rFonts w:ascii="Times New Roman" w:hAnsi="Times New Roman" w:cs="Times New Roman"/>
                <w:sz w:val="24"/>
                <w:szCs w:val="24"/>
              </w:rPr>
              <w:t>os vadov</w:t>
            </w:r>
            <w:r w:rsidR="00D420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949" w:type="dxa"/>
          </w:tcPr>
          <w:p w14:paraId="15EEC67C" w14:textId="346EA552" w:rsidR="009145CC" w:rsidRPr="00FB07FE" w:rsidRDefault="009145CC" w:rsidP="009145CC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FE">
              <w:rPr>
                <w:rFonts w:ascii="Times New Roman" w:hAnsi="Times New Roman" w:cs="Times New Roman"/>
                <w:sz w:val="24"/>
                <w:szCs w:val="24"/>
              </w:rPr>
              <w:t>Kiekvieną metų ketvirtį</w:t>
            </w:r>
          </w:p>
        </w:tc>
      </w:tr>
    </w:tbl>
    <w:p w14:paraId="774B26F2" w14:textId="0B5DB9E0" w:rsidR="008B6DC1" w:rsidRDefault="00D4202F" w:rsidP="00D4202F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________________________________</w:t>
      </w:r>
    </w:p>
    <w:p w14:paraId="49A54B83" w14:textId="77777777" w:rsidR="008B6DC1" w:rsidRDefault="008B6DC1" w:rsidP="00B25303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BFBA0" w14:textId="77777777" w:rsidR="008B6DC1" w:rsidRDefault="008B6DC1" w:rsidP="00B25303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4860A" w14:textId="77777777" w:rsidR="008B6DC1" w:rsidRDefault="008B6DC1" w:rsidP="00B25303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40835" w14:textId="15E3EA94" w:rsidR="00BD01FB" w:rsidRPr="00F4393F" w:rsidRDefault="00590956" w:rsidP="001D374D">
      <w:pPr>
        <w:pStyle w:val="Betarp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BD01FB" w:rsidRPr="00F4393F" w:rsidSect="00590956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1699" w14:textId="77777777" w:rsidR="00590956" w:rsidRDefault="00590956" w:rsidP="00590956">
      <w:pPr>
        <w:spacing w:after="0" w:line="240" w:lineRule="auto"/>
      </w:pPr>
      <w:r>
        <w:separator/>
      </w:r>
    </w:p>
  </w:endnote>
  <w:endnote w:type="continuationSeparator" w:id="0">
    <w:p w14:paraId="2F17839D" w14:textId="77777777" w:rsidR="00590956" w:rsidRDefault="00590956" w:rsidP="0059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B9CA" w14:textId="77777777" w:rsidR="00590956" w:rsidRDefault="00590956" w:rsidP="00590956">
      <w:pPr>
        <w:spacing w:after="0" w:line="240" w:lineRule="auto"/>
      </w:pPr>
      <w:r>
        <w:separator/>
      </w:r>
    </w:p>
  </w:footnote>
  <w:footnote w:type="continuationSeparator" w:id="0">
    <w:p w14:paraId="330A983E" w14:textId="77777777" w:rsidR="00590956" w:rsidRDefault="00590956" w:rsidP="0059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392677"/>
      <w:docPartObj>
        <w:docPartGallery w:val="Page Numbers (Top of Page)"/>
        <w:docPartUnique/>
      </w:docPartObj>
    </w:sdtPr>
    <w:sdtEndPr/>
    <w:sdtContent>
      <w:p w14:paraId="2DA24013" w14:textId="3CD49199" w:rsidR="00590956" w:rsidRDefault="00590956">
        <w:pPr>
          <w:pStyle w:val="Antrats"/>
          <w:jc w:val="center"/>
        </w:pPr>
        <w:r w:rsidRPr="005909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09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09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90956">
          <w:rPr>
            <w:rFonts w:ascii="Times New Roman" w:hAnsi="Times New Roman" w:cs="Times New Roman"/>
            <w:sz w:val="24"/>
            <w:szCs w:val="24"/>
          </w:rPr>
          <w:t>2</w:t>
        </w:r>
        <w:r w:rsidRPr="005909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537AB7" w14:textId="77777777" w:rsidR="00590956" w:rsidRDefault="0059095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3E58"/>
    <w:multiLevelType w:val="hybridMultilevel"/>
    <w:tmpl w:val="8D94DA6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8412A"/>
    <w:multiLevelType w:val="hybridMultilevel"/>
    <w:tmpl w:val="32960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930DB"/>
    <w:multiLevelType w:val="hybridMultilevel"/>
    <w:tmpl w:val="8696AA7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390136">
    <w:abstractNumId w:val="0"/>
  </w:num>
  <w:num w:numId="2" w16cid:durableId="1164779582">
    <w:abstractNumId w:val="2"/>
  </w:num>
  <w:num w:numId="3" w16cid:durableId="521478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403"/>
    <w:rsid w:val="00132DC9"/>
    <w:rsid w:val="00176CAC"/>
    <w:rsid w:val="001D374D"/>
    <w:rsid w:val="00211FBE"/>
    <w:rsid w:val="00221CD5"/>
    <w:rsid w:val="002928CE"/>
    <w:rsid w:val="003656D4"/>
    <w:rsid w:val="004114BA"/>
    <w:rsid w:val="004374C6"/>
    <w:rsid w:val="0044782C"/>
    <w:rsid w:val="004F44D0"/>
    <w:rsid w:val="0050704C"/>
    <w:rsid w:val="00582837"/>
    <w:rsid w:val="00590956"/>
    <w:rsid w:val="006C5F8A"/>
    <w:rsid w:val="007736E1"/>
    <w:rsid w:val="00777BCB"/>
    <w:rsid w:val="007B2DD2"/>
    <w:rsid w:val="008440AE"/>
    <w:rsid w:val="008B6DC1"/>
    <w:rsid w:val="008C3C05"/>
    <w:rsid w:val="008D169E"/>
    <w:rsid w:val="009145CC"/>
    <w:rsid w:val="00943FE6"/>
    <w:rsid w:val="009A7723"/>
    <w:rsid w:val="009E661C"/>
    <w:rsid w:val="009F019D"/>
    <w:rsid w:val="00AF0BCF"/>
    <w:rsid w:val="00B07B4B"/>
    <w:rsid w:val="00B25303"/>
    <w:rsid w:val="00B4553C"/>
    <w:rsid w:val="00BA2D02"/>
    <w:rsid w:val="00BB2EB7"/>
    <w:rsid w:val="00BD01FB"/>
    <w:rsid w:val="00BE00F3"/>
    <w:rsid w:val="00C20C17"/>
    <w:rsid w:val="00CB7819"/>
    <w:rsid w:val="00D4202F"/>
    <w:rsid w:val="00D44403"/>
    <w:rsid w:val="00D540F5"/>
    <w:rsid w:val="00E0477D"/>
    <w:rsid w:val="00E826CF"/>
    <w:rsid w:val="00F4393F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675A"/>
  <w15:docId w15:val="{110F03D0-8866-48ED-91BA-69A3D7C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4403"/>
    <w:pPr>
      <w:ind w:left="720"/>
      <w:contextualSpacing/>
    </w:pPr>
  </w:style>
  <w:style w:type="paragraph" w:styleId="Betarp">
    <w:name w:val="No Spacing"/>
    <w:uiPriority w:val="1"/>
    <w:qFormat/>
    <w:rsid w:val="00BD01FB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8B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F4393F"/>
    <w:rPr>
      <w:i/>
      <w:iCs/>
    </w:rPr>
  </w:style>
  <w:style w:type="character" w:styleId="Grietas">
    <w:name w:val="Strong"/>
    <w:basedOn w:val="Numatytasispastraiposriftas"/>
    <w:uiPriority w:val="22"/>
    <w:qFormat/>
    <w:rsid w:val="00F4393F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590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0956"/>
  </w:style>
  <w:style w:type="paragraph" w:styleId="Porat">
    <w:name w:val="footer"/>
    <w:basedOn w:val="prastasis"/>
    <w:link w:val="PoratDiagrama"/>
    <w:uiPriority w:val="99"/>
    <w:unhideWhenUsed/>
    <w:rsid w:val="005909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9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F3B8-502C-4C13-A1FA-AB7D63ED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Asta Kanapienienė</cp:lastModifiedBy>
  <cp:revision>3</cp:revision>
  <dcterms:created xsi:type="dcterms:W3CDTF">2024-01-18T06:57:00Z</dcterms:created>
  <dcterms:modified xsi:type="dcterms:W3CDTF">2024-01-25T10:31:00Z</dcterms:modified>
</cp:coreProperties>
</file>