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37B80D85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A5EF2">
        <w:rPr>
          <w:rFonts w:ascii="Times New Roman" w:eastAsia="Times New Roman" w:hAnsi="Times New Roman" w:cs="Times New Roman"/>
          <w:sz w:val="24"/>
          <w:szCs w:val="24"/>
        </w:rPr>
        <w:t xml:space="preserve"> savivaldybės ir socialinius būstus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</w:t>
      </w:r>
      <w:r w:rsidR="00EC098C">
        <w:rPr>
          <w:rFonts w:ascii="Times New Roman" w:hAnsi="Times New Roman" w:cs="Times New Roman"/>
          <w:sz w:val="24"/>
          <w:szCs w:val="24"/>
        </w:rPr>
        <w:t>u</w:t>
      </w:r>
      <w:r w:rsidR="00BE4D92">
        <w:rPr>
          <w:rFonts w:ascii="Times New Roman" w:hAnsi="Times New Roman" w:cs="Times New Roman"/>
          <w:sz w:val="24"/>
          <w:szCs w:val="24"/>
        </w:rPr>
        <w:t>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2465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5D290D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A5EF2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C098C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Lina Leišytė</cp:lastModifiedBy>
  <cp:revision>5</cp:revision>
  <dcterms:created xsi:type="dcterms:W3CDTF">2023-12-07T09:11:00Z</dcterms:created>
  <dcterms:modified xsi:type="dcterms:W3CDTF">2023-12-07T11:24:00Z</dcterms:modified>
</cp:coreProperties>
</file>