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F597" w14:textId="57DF9393" w:rsidR="0080557C" w:rsidRDefault="0080557C" w:rsidP="00BB3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1DCC5CD" w14:textId="77777777" w:rsidR="00BB3AB2" w:rsidRPr="00D04E99" w:rsidRDefault="00BB3AB2" w:rsidP="000824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9DEE9" w14:textId="57F66074" w:rsidR="0080557C" w:rsidRDefault="0080557C" w:rsidP="000824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E99">
        <w:rPr>
          <w:rFonts w:ascii="Times New Roman" w:hAnsi="Times New Roman" w:cs="Times New Roman"/>
          <w:sz w:val="24"/>
          <w:szCs w:val="24"/>
        </w:rPr>
        <w:t xml:space="preserve">Dėl pritarimo </w:t>
      </w:r>
      <w:r w:rsidR="00512DF5">
        <w:rPr>
          <w:rFonts w:ascii="Times New Roman" w:hAnsi="Times New Roman" w:cs="Times New Roman"/>
          <w:sz w:val="24"/>
          <w:szCs w:val="24"/>
        </w:rPr>
        <w:t>Molėtų rajono savivaldybės administracijos dalyvavimui projekte ir jungtinės veiklos (partnerystės) sutarties pasirašymui</w:t>
      </w:r>
    </w:p>
    <w:p w14:paraId="3A898FF5" w14:textId="77777777" w:rsidR="00FC75F2" w:rsidRPr="00D04E99" w:rsidRDefault="00FC75F2" w:rsidP="00FC75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67B40" w14:textId="77777777" w:rsidR="0080557C" w:rsidRPr="00DE2E6E" w:rsidRDefault="0080557C" w:rsidP="00DE2E6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247C2B99" w14:textId="3FC606C9" w:rsidR="00BB3AB2" w:rsidRPr="00D17CC4" w:rsidRDefault="00BB3AB2" w:rsidP="00D17C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CC4">
        <w:rPr>
          <w:rFonts w:ascii="Times New Roman" w:hAnsi="Times New Roman" w:cs="Times New Roman"/>
          <w:sz w:val="24"/>
          <w:szCs w:val="24"/>
        </w:rPr>
        <w:t>Sprendimo tikslas – pritarti bendradarbiauti (partnerio teisėmis) įgyvendinant VšĮ Inovacijų agentūros projektą „</w:t>
      </w:r>
      <w:proofErr w:type="spellStart"/>
      <w:r w:rsidRPr="00D17CC4">
        <w:rPr>
          <w:rFonts w:ascii="Times New Roman" w:hAnsi="Times New Roman" w:cs="Times New Roman"/>
          <w:sz w:val="24"/>
          <w:szCs w:val="24"/>
        </w:rPr>
        <w:t>Inkubavimo</w:t>
      </w:r>
      <w:proofErr w:type="spellEnd"/>
      <w:r w:rsidRPr="00D17CC4">
        <w:rPr>
          <w:rFonts w:ascii="Times New Roman" w:hAnsi="Times New Roman" w:cs="Times New Roman"/>
          <w:sz w:val="24"/>
          <w:szCs w:val="24"/>
        </w:rPr>
        <w:t>, konsultavimo, mentorystės ir tinklaveikos programų vystymas, skatinant pradedančiųjų SVV subjektų kūrimąsi ir augimą regionuose“</w:t>
      </w:r>
      <w:r w:rsidR="00D17CC4" w:rsidRPr="00D17CC4">
        <w:rPr>
          <w:rFonts w:ascii="Times New Roman" w:hAnsi="Times New Roman" w:cs="Times New Roman"/>
          <w:sz w:val="24"/>
          <w:szCs w:val="24"/>
        </w:rPr>
        <w:t xml:space="preserve"> ir skirti iš savivaldybės biudžeto ne mažiau kaip 15 procentų visų tinkamų finansuoti projekto išlaidų, tenkančių </w:t>
      </w:r>
      <w:r w:rsidR="00D17CC4">
        <w:rPr>
          <w:rFonts w:ascii="Times New Roman" w:hAnsi="Times New Roman" w:cs="Times New Roman"/>
          <w:sz w:val="24"/>
          <w:szCs w:val="24"/>
        </w:rPr>
        <w:t>Molėtų rajono</w:t>
      </w:r>
      <w:r w:rsidR="00D17CC4" w:rsidRPr="00D17CC4">
        <w:rPr>
          <w:rFonts w:ascii="Times New Roman" w:hAnsi="Times New Roman" w:cs="Times New Roman"/>
          <w:sz w:val="24"/>
          <w:szCs w:val="24"/>
        </w:rPr>
        <w:t xml:space="preserve"> savivaldybei.</w:t>
      </w:r>
    </w:p>
    <w:p w14:paraId="60ECFDC5" w14:textId="1EE591D4" w:rsidR="0080557C" w:rsidRDefault="00FF681F" w:rsidP="00DE2E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E99">
        <w:rPr>
          <w:rFonts w:ascii="Times New Roman" w:hAnsi="Times New Roman" w:cs="Times New Roman"/>
          <w:sz w:val="24"/>
          <w:szCs w:val="24"/>
        </w:rPr>
        <w:t>VšĮ Inovacijų agentūros</w:t>
      </w:r>
      <w:r>
        <w:rPr>
          <w:b/>
        </w:rPr>
        <w:t xml:space="preserve"> </w:t>
      </w:r>
      <w:r w:rsidRPr="0025102C">
        <w:rPr>
          <w:bCs/>
        </w:rPr>
        <w:t>p</w:t>
      </w:r>
      <w:r w:rsidR="0080557C" w:rsidRPr="00FF681F">
        <w:rPr>
          <w:rFonts w:ascii="Times New Roman" w:hAnsi="Times New Roman" w:cs="Times New Roman"/>
          <w:sz w:val="24"/>
          <w:szCs w:val="24"/>
        </w:rPr>
        <w:t>rojektas rengiamas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6C" w:rsidRPr="00FF681F">
        <w:rPr>
          <w:rFonts w:ascii="Times New Roman" w:hAnsi="Times New Roman" w:cs="Times New Roman"/>
          <w:sz w:val="24"/>
          <w:szCs w:val="24"/>
        </w:rPr>
        <w:t>remiantis</w:t>
      </w:r>
      <w:r w:rsidRPr="00FF681F">
        <w:rPr>
          <w:rFonts w:ascii="Times New Roman" w:hAnsi="Times New Roman" w:cs="Times New Roman"/>
          <w:sz w:val="24"/>
          <w:szCs w:val="24"/>
        </w:rPr>
        <w:t xml:space="preserve"> 2022-2023 metų programos valdytojos Lietuvos Respublikos Ekonomikos ir inovacijų ministerijos ekonomikos transformacijos ir konkurencingumo plėtros programos pažangos priemonės Nr. 05-001-01-08-09 „Skatinti verslumą ir kurti paskatas įmonių augimui”</w:t>
      </w:r>
      <w:r w:rsidR="0025102C">
        <w:rPr>
          <w:rFonts w:ascii="Times New Roman" w:hAnsi="Times New Roman" w:cs="Times New Roman"/>
          <w:sz w:val="24"/>
          <w:szCs w:val="24"/>
        </w:rPr>
        <w:t xml:space="preserve"> </w:t>
      </w:r>
      <w:r w:rsidRPr="00FF681F">
        <w:rPr>
          <w:rFonts w:ascii="Times New Roman" w:hAnsi="Times New Roman" w:cs="Times New Roman"/>
          <w:sz w:val="24"/>
          <w:szCs w:val="24"/>
        </w:rPr>
        <w:t>kvietim</w:t>
      </w:r>
      <w:r>
        <w:rPr>
          <w:rFonts w:ascii="Times New Roman" w:hAnsi="Times New Roman" w:cs="Times New Roman"/>
          <w:sz w:val="24"/>
          <w:szCs w:val="24"/>
        </w:rPr>
        <w:t>o p</w:t>
      </w:r>
      <w:r w:rsidR="00FD68B6" w:rsidRPr="008750B2">
        <w:rPr>
          <w:rFonts w:ascii="Times New Roman" w:hAnsi="Times New Roman"/>
          <w:color w:val="000000" w:themeColor="text1"/>
          <w:sz w:val="24"/>
        </w:rPr>
        <w:t xml:space="preserve">atvirtintu </w:t>
      </w:r>
      <w:r w:rsidR="00753B6C" w:rsidRPr="008750B2">
        <w:rPr>
          <w:rFonts w:ascii="Times New Roman" w:hAnsi="Times New Roman"/>
          <w:color w:val="000000" w:themeColor="text1"/>
          <w:sz w:val="24"/>
        </w:rPr>
        <w:t>aprašu.</w:t>
      </w:r>
      <w:r w:rsidR="00DE2E6E">
        <w:rPr>
          <w:rFonts w:ascii="Times New Roman" w:hAnsi="Times New Roman" w:cs="Times New Roman"/>
          <w:sz w:val="24"/>
          <w:szCs w:val="24"/>
        </w:rPr>
        <w:t xml:space="preserve"> </w:t>
      </w:r>
      <w:r w:rsidR="00FE1420" w:rsidRPr="008750B2">
        <w:rPr>
          <w:rFonts w:ascii="Times New Roman" w:hAnsi="Times New Roman"/>
          <w:color w:val="000000" w:themeColor="text1"/>
          <w:sz w:val="24"/>
        </w:rPr>
        <w:t>Projekto finansavimo šaltinis:</w:t>
      </w:r>
      <w:r w:rsidR="0025102C">
        <w:rPr>
          <w:rFonts w:ascii="Times New Roman" w:hAnsi="Times New Roman"/>
          <w:color w:val="000000" w:themeColor="text1"/>
          <w:sz w:val="24"/>
        </w:rPr>
        <w:t xml:space="preserve"> </w:t>
      </w:r>
      <w:r w:rsidR="0025102C" w:rsidRPr="0025102C">
        <w:rPr>
          <w:rFonts w:ascii="Times New Roman" w:hAnsi="Times New Roman" w:cs="Times New Roman"/>
          <w:sz w:val="24"/>
          <w:szCs w:val="24"/>
        </w:rPr>
        <w:t>2021–2027 metų Europos Sąjungos fondų investicijų programa.</w:t>
      </w:r>
      <w:r w:rsidR="00FE1420" w:rsidRPr="002510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A79DA" w14:textId="70C72716" w:rsidR="008D15D4" w:rsidRDefault="00DE2E6E" w:rsidP="00082411">
      <w:pPr>
        <w:pStyle w:val="Sraopastraipa"/>
        <w:tabs>
          <w:tab w:val="left" w:pos="142"/>
        </w:tabs>
        <w:spacing w:line="36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uždaviniai: priimti sprendimą p</w:t>
      </w:r>
      <w:r w:rsidRPr="003A788E">
        <w:rPr>
          <w:rFonts w:ascii="Times New Roman" w:hAnsi="Times New Roman" w:cs="Times New Roman"/>
          <w:sz w:val="24"/>
          <w:szCs w:val="24"/>
        </w:rPr>
        <w:t>ritarti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88E">
        <w:rPr>
          <w:rFonts w:ascii="Times New Roman" w:hAnsi="Times New Roman" w:cs="Times New Roman"/>
          <w:sz w:val="24"/>
          <w:szCs w:val="24"/>
        </w:rPr>
        <w:t>jungtinės veiklos (partnerystės) sutarti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788E">
        <w:rPr>
          <w:rFonts w:ascii="Times New Roman" w:hAnsi="Times New Roman" w:cs="Times New Roman"/>
          <w:sz w:val="24"/>
          <w:szCs w:val="24"/>
        </w:rPr>
        <w:t>s (pridedama</w:t>
      </w:r>
      <w:r w:rsidR="0030210C">
        <w:rPr>
          <w:rFonts w:ascii="Times New Roman" w:hAnsi="Times New Roman" w:cs="Times New Roman"/>
          <w:sz w:val="24"/>
          <w:szCs w:val="24"/>
        </w:rPr>
        <w:t>s projektas</w:t>
      </w:r>
      <w:r w:rsidRPr="003A788E">
        <w:rPr>
          <w:rFonts w:ascii="Times New Roman" w:hAnsi="Times New Roman" w:cs="Times New Roman"/>
          <w:sz w:val="24"/>
          <w:szCs w:val="24"/>
        </w:rPr>
        <w:t xml:space="preserve">) su </w:t>
      </w:r>
      <w:r>
        <w:rPr>
          <w:rFonts w:ascii="Times New Roman" w:hAnsi="Times New Roman" w:cs="Times New Roman"/>
          <w:sz w:val="24"/>
          <w:szCs w:val="24"/>
        </w:rPr>
        <w:t>planuojamu P</w:t>
      </w:r>
      <w:r w:rsidRPr="003A788E">
        <w:rPr>
          <w:rFonts w:ascii="Times New Roman" w:hAnsi="Times New Roman" w:cs="Times New Roman"/>
          <w:sz w:val="24"/>
          <w:szCs w:val="24"/>
        </w:rPr>
        <w:t>rojekto pa</w:t>
      </w:r>
      <w:r>
        <w:rPr>
          <w:rFonts w:ascii="Times New Roman" w:hAnsi="Times New Roman" w:cs="Times New Roman"/>
          <w:sz w:val="24"/>
          <w:szCs w:val="24"/>
        </w:rPr>
        <w:t>reiškėju –</w:t>
      </w:r>
      <w:r w:rsidRPr="003A788E">
        <w:rPr>
          <w:rFonts w:ascii="Times New Roman" w:hAnsi="Times New Roman" w:cs="Times New Roman"/>
          <w:sz w:val="24"/>
          <w:szCs w:val="24"/>
        </w:rPr>
        <w:t xml:space="preserve"> </w:t>
      </w:r>
      <w:r w:rsidR="0030210C">
        <w:rPr>
          <w:rFonts w:ascii="Times New Roman" w:hAnsi="Times New Roman" w:cs="Times New Roman"/>
          <w:sz w:val="24"/>
          <w:szCs w:val="24"/>
        </w:rPr>
        <w:t>VšĮ Inovacijų agentūra</w:t>
      </w:r>
      <w:r w:rsidR="008D15D4">
        <w:rPr>
          <w:rFonts w:ascii="Times New Roman" w:hAnsi="Times New Roman" w:cs="Times New Roman"/>
          <w:sz w:val="24"/>
          <w:szCs w:val="24"/>
        </w:rPr>
        <w:t xml:space="preserve"> pasirašymui</w:t>
      </w:r>
      <w:r w:rsidR="00AC2524">
        <w:rPr>
          <w:rFonts w:ascii="Times New Roman" w:hAnsi="Times New Roman" w:cs="Times New Roman"/>
          <w:sz w:val="24"/>
          <w:szCs w:val="24"/>
        </w:rPr>
        <w:t xml:space="preserve">; priimti sprendimą skirti finansavimą tinkamoms bei būtinoms išlaidoms finansuoti </w:t>
      </w:r>
      <w:r w:rsidR="00AC2524" w:rsidRPr="00BB3AB2">
        <w:rPr>
          <w:rFonts w:ascii="Times New Roman" w:hAnsi="Times New Roman" w:cs="Times New Roman"/>
          <w:sz w:val="24"/>
          <w:szCs w:val="24"/>
        </w:rPr>
        <w:t>ne mažiau kaip 15 proc. nuosavomis lėšomis</w:t>
      </w:r>
      <w:r w:rsidR="00AC2524">
        <w:rPr>
          <w:rFonts w:ascii="Times New Roman" w:hAnsi="Times New Roman" w:cs="Times New Roman"/>
          <w:sz w:val="24"/>
          <w:szCs w:val="24"/>
        </w:rPr>
        <w:t>.</w:t>
      </w:r>
    </w:p>
    <w:p w14:paraId="25B39564" w14:textId="618F4156" w:rsidR="00DE2E6E" w:rsidRPr="008D15D4" w:rsidRDefault="0080557C" w:rsidP="008D15D4">
      <w:pPr>
        <w:pStyle w:val="Sraopastraipa"/>
        <w:numPr>
          <w:ilvl w:val="0"/>
          <w:numId w:val="3"/>
        </w:numPr>
        <w:tabs>
          <w:tab w:val="left" w:pos="142"/>
        </w:tabs>
        <w:spacing w:after="0" w:line="360" w:lineRule="auto"/>
        <w:ind w:left="141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15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Siūlomos teisinio reguliavimo nuostatos:</w:t>
      </w:r>
    </w:p>
    <w:p w14:paraId="70FD6A3B" w14:textId="2431CDDE" w:rsidR="00DE2E6E" w:rsidRPr="00DE2E6E" w:rsidRDefault="00DE2E6E" w:rsidP="00DE2E6E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449E58E0" w14:textId="76FE3DFC" w:rsidR="0080557C" w:rsidRPr="00DE2E6E" w:rsidRDefault="0080557C" w:rsidP="00DE2E6E">
      <w:pPr>
        <w:pStyle w:val="Sraopastraip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Laukiami rezultatai:</w:t>
      </w:r>
    </w:p>
    <w:p w14:paraId="2960763B" w14:textId="065DA57B" w:rsidR="0080557C" w:rsidRPr="008D15D4" w:rsidRDefault="00026983" w:rsidP="008D15D4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AB51C0">
        <w:rPr>
          <w:rFonts w:ascii="Times New Roman" w:hAnsi="Times New Roman" w:cs="Times New Roman"/>
          <w:sz w:val="24"/>
          <w:szCs w:val="24"/>
        </w:rPr>
        <w:t xml:space="preserve">Projekto įgyvendinimo pradžia numatoma 2024 m. I </w:t>
      </w:r>
      <w:proofErr w:type="spellStart"/>
      <w:r w:rsidRPr="00AB51C0">
        <w:rPr>
          <w:rFonts w:ascii="Times New Roman" w:hAnsi="Times New Roman" w:cs="Times New Roman"/>
          <w:sz w:val="24"/>
          <w:szCs w:val="24"/>
        </w:rPr>
        <w:t>ketv</w:t>
      </w:r>
      <w:proofErr w:type="spellEnd"/>
      <w:r w:rsidRPr="00AB51C0">
        <w:rPr>
          <w:rFonts w:ascii="Times New Roman" w:hAnsi="Times New Roman" w:cs="Times New Roman"/>
          <w:sz w:val="24"/>
          <w:szCs w:val="24"/>
        </w:rPr>
        <w:t xml:space="preserve">. </w:t>
      </w:r>
      <w:r w:rsidR="00AB51C0" w:rsidRPr="00AB51C0">
        <w:rPr>
          <w:rFonts w:ascii="Times New Roman" w:hAnsi="Times New Roman" w:cs="Times New Roman"/>
          <w:sz w:val="24"/>
          <w:szCs w:val="24"/>
        </w:rPr>
        <w:t xml:space="preserve">Numatyta, kad per visą projekto įgyvendinimo laikotarpį </w:t>
      </w:r>
      <w:r w:rsidR="008D15D4">
        <w:rPr>
          <w:rFonts w:ascii="Times New Roman" w:hAnsi="Times New Roman" w:cs="Times New Roman"/>
          <w:sz w:val="24"/>
          <w:szCs w:val="24"/>
        </w:rPr>
        <w:t xml:space="preserve">(36 mėn.) </w:t>
      </w:r>
      <w:r w:rsidR="00AB51C0" w:rsidRPr="00AB51C0">
        <w:rPr>
          <w:rFonts w:ascii="Times New Roman" w:hAnsi="Times New Roman" w:cs="Times New Roman"/>
          <w:sz w:val="24"/>
          <w:szCs w:val="24"/>
        </w:rPr>
        <w:t xml:space="preserve">projekte dalyvaus ne mažiau kaip 30 SVV subjektų, kuriems bus teikiamos mentorystės, </w:t>
      </w:r>
      <w:proofErr w:type="spellStart"/>
      <w:r w:rsidR="00AB51C0" w:rsidRPr="00AB51C0">
        <w:rPr>
          <w:rFonts w:ascii="Times New Roman" w:hAnsi="Times New Roman" w:cs="Times New Roman"/>
          <w:sz w:val="24"/>
          <w:szCs w:val="24"/>
        </w:rPr>
        <w:t>inkubavimo</w:t>
      </w:r>
      <w:proofErr w:type="spellEnd"/>
      <w:r w:rsidR="00AB51C0" w:rsidRPr="00AB51C0">
        <w:rPr>
          <w:rFonts w:ascii="Times New Roman" w:hAnsi="Times New Roman" w:cs="Times New Roman"/>
          <w:sz w:val="24"/>
          <w:szCs w:val="24"/>
        </w:rPr>
        <w:t xml:space="preserve"> paslaugos, ekspertinės konsultacijos, verslo partnerysčių mezgimo skatinimo priemonės.</w:t>
      </w:r>
      <w:r w:rsidR="008D1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B67AA" w14:textId="77777777" w:rsidR="0080557C" w:rsidRPr="00DE2E6E" w:rsidRDefault="0080557C" w:rsidP="00DE2E6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Lėšų poreikis ir jų šaltiniai:</w:t>
      </w:r>
    </w:p>
    <w:p w14:paraId="6EC5D774" w14:textId="1C78A3F8" w:rsidR="00D17CC4" w:rsidRPr="00B10AC6" w:rsidRDefault="00D17CC4" w:rsidP="00D17CC4">
      <w:pPr>
        <w:pStyle w:val="Pagrindinistekstas"/>
        <w:spacing w:line="360" w:lineRule="auto"/>
        <w:ind w:right="193" w:firstLine="709"/>
        <w:jc w:val="both"/>
      </w:pPr>
      <w:r>
        <w:t>Projektas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proc.</w:t>
      </w:r>
      <w:r>
        <w:rPr>
          <w:spacing w:val="1"/>
        </w:rPr>
        <w:t xml:space="preserve"> </w:t>
      </w:r>
      <w:r>
        <w:t>finansuojamas</w:t>
      </w:r>
      <w:r>
        <w:rPr>
          <w:spacing w:val="1"/>
        </w:rPr>
        <w:t xml:space="preserve"> </w:t>
      </w:r>
      <w:r>
        <w:t>2021–2027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Europos</w:t>
      </w:r>
      <w:r>
        <w:rPr>
          <w:spacing w:val="1"/>
        </w:rPr>
        <w:t xml:space="preserve"> </w:t>
      </w:r>
      <w:r>
        <w:t>Sąjungos</w:t>
      </w:r>
      <w:r>
        <w:rPr>
          <w:spacing w:val="1"/>
        </w:rPr>
        <w:t xml:space="preserve"> </w:t>
      </w:r>
      <w:r>
        <w:t>struktūrinių</w:t>
      </w:r>
      <w:r>
        <w:rPr>
          <w:spacing w:val="1"/>
        </w:rPr>
        <w:t xml:space="preserve"> </w:t>
      </w:r>
      <w:r>
        <w:t>fondų</w:t>
      </w:r>
      <w:r>
        <w:rPr>
          <w:spacing w:val="1"/>
        </w:rPr>
        <w:t xml:space="preserve"> </w:t>
      </w:r>
      <w:r>
        <w:t>lėšomis (Vidurio ir Vakarų Lietuvos regionas). Savivaldybės indėlis (15 proc.) iš savivaldybės</w:t>
      </w:r>
      <w:r>
        <w:rPr>
          <w:spacing w:val="1"/>
        </w:rPr>
        <w:t xml:space="preserve"> </w:t>
      </w:r>
      <w:r>
        <w:t>biudžeto</w:t>
      </w:r>
      <w:r>
        <w:rPr>
          <w:spacing w:val="-1"/>
        </w:rPr>
        <w:t xml:space="preserve"> </w:t>
      </w:r>
      <w:r>
        <w:t>sudarytų</w:t>
      </w:r>
      <w:r>
        <w:rPr>
          <w:spacing w:val="-2"/>
        </w:rPr>
        <w:t xml:space="preserve"> </w:t>
      </w:r>
      <w:r>
        <w:t>4 tūkst.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(1 metams)</w:t>
      </w:r>
      <w:r>
        <w:rPr>
          <w:spacing w:val="-2"/>
        </w:rPr>
        <w:t xml:space="preserve"> </w:t>
      </w:r>
      <w:r>
        <w:t>arba</w:t>
      </w:r>
      <w:r>
        <w:rPr>
          <w:spacing w:val="-2"/>
        </w:rPr>
        <w:t xml:space="preserve"> </w:t>
      </w:r>
      <w:r>
        <w:t>12 tūkst.</w:t>
      </w:r>
      <w:r>
        <w:rPr>
          <w:spacing w:val="-2"/>
        </w:rPr>
        <w:t xml:space="preserve"> </w:t>
      </w:r>
      <w:r>
        <w:t>Eur</w:t>
      </w:r>
      <w:r>
        <w:rPr>
          <w:spacing w:val="-2"/>
        </w:rPr>
        <w:t xml:space="preserve"> </w:t>
      </w:r>
      <w:r>
        <w:t>(3 metams).</w:t>
      </w:r>
    </w:p>
    <w:p w14:paraId="3B8B87A5" w14:textId="50DAD4A2" w:rsidR="008E490A" w:rsidRPr="00DE2E6E" w:rsidRDefault="0080557C" w:rsidP="00DE2E6E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E6E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 paaiškinimai.</w:t>
      </w:r>
    </w:p>
    <w:p w14:paraId="4378E4B5" w14:textId="53C34C94" w:rsidR="0025102C" w:rsidRPr="00B10AC6" w:rsidRDefault="0025102C" w:rsidP="00B10AC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Už </w:t>
      </w:r>
      <w:r w:rsidR="007A6F52">
        <w:rPr>
          <w:rFonts w:ascii="Times New Roman" w:eastAsia="Times New Roman" w:hAnsi="Times New Roman" w:cs="Times New Roman"/>
          <w:sz w:val="24"/>
          <w:szCs w:val="24"/>
        </w:rPr>
        <w:t xml:space="preserve">projektų dokumentų rengimą, 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veiklų, numatytų projekte įgyvendinimą ir rezultatų pasiekimą, atsakinga Inovacijų agentūra. </w:t>
      </w:r>
      <w:r w:rsidR="00BB3AB2" w:rsidRPr="00B10AC6">
        <w:rPr>
          <w:rFonts w:ascii="Times New Roman" w:eastAsia="Times New Roman" w:hAnsi="Times New Roman" w:cs="Times New Roman"/>
          <w:sz w:val="24"/>
          <w:szCs w:val="24"/>
        </w:rPr>
        <w:t>Savivaldybė</w:t>
      </w:r>
      <w:r w:rsidR="00B1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>prisidės</w:t>
      </w:r>
      <w:r w:rsidR="00B1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prie programos veiklų viešinimo, informacijos tiksliniams klientams apie projekto veiklas suteikimo, tinklaveikos renginių 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organizavimo ir kitų projekte veiklų įgyvendinimo. </w:t>
      </w:r>
      <w:r w:rsidR="00B10AC6">
        <w:rPr>
          <w:rFonts w:ascii="Times New Roman" w:eastAsia="Times New Roman" w:hAnsi="Times New Roman" w:cs="Times New Roman"/>
          <w:sz w:val="24"/>
          <w:szCs w:val="24"/>
        </w:rPr>
        <w:t>Taip pat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 įsipareigo</w:t>
      </w:r>
      <w:r w:rsidR="00AB51C0">
        <w:rPr>
          <w:rFonts w:ascii="Times New Roman" w:eastAsia="Times New Roman" w:hAnsi="Times New Roman" w:cs="Times New Roman"/>
          <w:sz w:val="24"/>
          <w:szCs w:val="24"/>
        </w:rPr>
        <w:t>jama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 suteikti projekte numatytoms veikloms tinkamas patalpas (pagal iš anksto suderintą veiklų grafiką) ir paskirti atsaking</w:t>
      </w:r>
      <w:r w:rsidR="00BB3AB2" w:rsidRPr="00B10AC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B10AC6">
        <w:rPr>
          <w:rFonts w:ascii="Times New Roman" w:eastAsia="Times New Roman" w:hAnsi="Times New Roman" w:cs="Times New Roman"/>
          <w:sz w:val="24"/>
          <w:szCs w:val="24"/>
        </w:rPr>
        <w:t xml:space="preserve"> už projektą asmenį.</w:t>
      </w:r>
    </w:p>
    <w:sectPr w:rsidR="0025102C" w:rsidRPr="00B10AC6" w:rsidSect="00696F3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4E8F150C"/>
    <w:multiLevelType w:val="hybridMultilevel"/>
    <w:tmpl w:val="9F6447D0"/>
    <w:lvl w:ilvl="0" w:tplc="BF9A1A2C">
      <w:start w:val="1"/>
      <w:numFmt w:val="decimal"/>
      <w:lvlText w:val="%1."/>
      <w:lvlJc w:val="left"/>
      <w:pPr>
        <w:ind w:left="1418" w:hanging="360"/>
      </w:pPr>
      <w:rPr>
        <w:b/>
        <w:bCs/>
      </w:rPr>
    </w:lvl>
    <w:lvl w:ilvl="1" w:tplc="04270019" w:tentative="1">
      <w:start w:val="1"/>
      <w:numFmt w:val="lowerLetter"/>
      <w:lvlText w:val="%2."/>
      <w:lvlJc w:val="left"/>
      <w:pPr>
        <w:ind w:left="2138" w:hanging="360"/>
      </w:pPr>
    </w:lvl>
    <w:lvl w:ilvl="2" w:tplc="0427001B" w:tentative="1">
      <w:start w:val="1"/>
      <w:numFmt w:val="lowerRoman"/>
      <w:lvlText w:val="%3."/>
      <w:lvlJc w:val="right"/>
      <w:pPr>
        <w:ind w:left="2858" w:hanging="180"/>
      </w:pPr>
    </w:lvl>
    <w:lvl w:ilvl="3" w:tplc="0427000F" w:tentative="1">
      <w:start w:val="1"/>
      <w:numFmt w:val="decimal"/>
      <w:lvlText w:val="%4."/>
      <w:lvlJc w:val="left"/>
      <w:pPr>
        <w:ind w:left="3578" w:hanging="360"/>
      </w:pPr>
    </w:lvl>
    <w:lvl w:ilvl="4" w:tplc="04270019" w:tentative="1">
      <w:start w:val="1"/>
      <w:numFmt w:val="lowerLetter"/>
      <w:lvlText w:val="%5."/>
      <w:lvlJc w:val="left"/>
      <w:pPr>
        <w:ind w:left="4298" w:hanging="360"/>
      </w:pPr>
    </w:lvl>
    <w:lvl w:ilvl="5" w:tplc="0427001B" w:tentative="1">
      <w:start w:val="1"/>
      <w:numFmt w:val="lowerRoman"/>
      <w:lvlText w:val="%6."/>
      <w:lvlJc w:val="right"/>
      <w:pPr>
        <w:ind w:left="5018" w:hanging="180"/>
      </w:pPr>
    </w:lvl>
    <w:lvl w:ilvl="6" w:tplc="0427000F" w:tentative="1">
      <w:start w:val="1"/>
      <w:numFmt w:val="decimal"/>
      <w:lvlText w:val="%7."/>
      <w:lvlJc w:val="left"/>
      <w:pPr>
        <w:ind w:left="5738" w:hanging="360"/>
      </w:pPr>
    </w:lvl>
    <w:lvl w:ilvl="7" w:tplc="04270019" w:tentative="1">
      <w:start w:val="1"/>
      <w:numFmt w:val="lowerLetter"/>
      <w:lvlText w:val="%8."/>
      <w:lvlJc w:val="left"/>
      <w:pPr>
        <w:ind w:left="6458" w:hanging="360"/>
      </w:pPr>
    </w:lvl>
    <w:lvl w:ilvl="8" w:tplc="0427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 w16cid:durableId="1568570121">
    <w:abstractNumId w:val="0"/>
  </w:num>
  <w:num w:numId="2" w16cid:durableId="1213931159">
    <w:abstractNumId w:val="2"/>
  </w:num>
  <w:num w:numId="3" w16cid:durableId="475226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7C"/>
    <w:rsid w:val="00011EDB"/>
    <w:rsid w:val="00026983"/>
    <w:rsid w:val="00082411"/>
    <w:rsid w:val="000E7080"/>
    <w:rsid w:val="0020526A"/>
    <w:rsid w:val="0025102C"/>
    <w:rsid w:val="00291B2F"/>
    <w:rsid w:val="002F7435"/>
    <w:rsid w:val="0030210C"/>
    <w:rsid w:val="003021E0"/>
    <w:rsid w:val="00421633"/>
    <w:rsid w:val="00457EE3"/>
    <w:rsid w:val="00481950"/>
    <w:rsid w:val="004D3205"/>
    <w:rsid w:val="00512DF5"/>
    <w:rsid w:val="00541F43"/>
    <w:rsid w:val="005B031D"/>
    <w:rsid w:val="005D584F"/>
    <w:rsid w:val="00640485"/>
    <w:rsid w:val="0065739C"/>
    <w:rsid w:val="00696F34"/>
    <w:rsid w:val="006E466A"/>
    <w:rsid w:val="00753B6C"/>
    <w:rsid w:val="007A6F52"/>
    <w:rsid w:val="00800D47"/>
    <w:rsid w:val="00803081"/>
    <w:rsid w:val="0080557C"/>
    <w:rsid w:val="00825400"/>
    <w:rsid w:val="008750B2"/>
    <w:rsid w:val="008D15D4"/>
    <w:rsid w:val="008E490A"/>
    <w:rsid w:val="00984B35"/>
    <w:rsid w:val="00A056FA"/>
    <w:rsid w:val="00AB51C0"/>
    <w:rsid w:val="00AC2524"/>
    <w:rsid w:val="00AF713B"/>
    <w:rsid w:val="00B1074B"/>
    <w:rsid w:val="00B10AC6"/>
    <w:rsid w:val="00B467E6"/>
    <w:rsid w:val="00B8306C"/>
    <w:rsid w:val="00BB3AB2"/>
    <w:rsid w:val="00C57EFF"/>
    <w:rsid w:val="00D04E99"/>
    <w:rsid w:val="00D17CC4"/>
    <w:rsid w:val="00D22365"/>
    <w:rsid w:val="00D47C3F"/>
    <w:rsid w:val="00D66B5F"/>
    <w:rsid w:val="00D91B83"/>
    <w:rsid w:val="00DD2BEB"/>
    <w:rsid w:val="00DE2E6E"/>
    <w:rsid w:val="00E83084"/>
    <w:rsid w:val="00E90C03"/>
    <w:rsid w:val="00E9610E"/>
    <w:rsid w:val="00EB6341"/>
    <w:rsid w:val="00ED1770"/>
    <w:rsid w:val="00F11508"/>
    <w:rsid w:val="00F57EC5"/>
    <w:rsid w:val="00FC75F2"/>
    <w:rsid w:val="00FD68B6"/>
    <w:rsid w:val="00FE1420"/>
    <w:rsid w:val="00FF1463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DF85"/>
  <w15:chartTrackingRefBased/>
  <w15:docId w15:val="{13259BE6-7CB5-44F5-82AA-DD1F848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5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557C"/>
    <w:pPr>
      <w:ind w:left="720"/>
      <w:contextualSpacing/>
    </w:pPr>
  </w:style>
  <w:style w:type="paragraph" w:customStyle="1" w:styleId="WW-BodyText2">
    <w:name w:val="WW-Body Text 2"/>
    <w:basedOn w:val="prastasis"/>
    <w:rsid w:val="008055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1"/>
    <w:qFormat/>
    <w:rsid w:val="00D17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17C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Vytaitė</dc:creator>
  <cp:keywords/>
  <dc:description/>
  <cp:lastModifiedBy>Živilė Žalienė</cp:lastModifiedBy>
  <cp:revision>10</cp:revision>
  <dcterms:created xsi:type="dcterms:W3CDTF">2023-11-15T09:10:00Z</dcterms:created>
  <dcterms:modified xsi:type="dcterms:W3CDTF">2023-11-22T11:43:00Z</dcterms:modified>
</cp:coreProperties>
</file>