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CA21" w14:textId="77777777" w:rsidR="00136B32" w:rsidRPr="00136B32" w:rsidRDefault="00136B32" w:rsidP="00136B32">
      <w:pPr>
        <w:pStyle w:val="Antrat1"/>
        <w:spacing w:before="0"/>
        <w:ind w:left="10370" w:firstLine="129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36B32">
        <w:rPr>
          <w:rFonts w:ascii="Times New Roman" w:hAnsi="Times New Roman" w:cs="Times New Roman"/>
          <w:b/>
          <w:bCs/>
          <w:color w:val="auto"/>
          <w:sz w:val="24"/>
          <w:szCs w:val="24"/>
        </w:rPr>
        <w:t>Projekto</w:t>
      </w:r>
    </w:p>
    <w:p w14:paraId="41FDC1D0" w14:textId="329DDA87" w:rsidR="006E1A1B" w:rsidRPr="00136B32" w:rsidRDefault="00900FC0" w:rsidP="00136B32">
      <w:pPr>
        <w:pStyle w:val="Antrat1"/>
        <w:spacing w:before="0"/>
        <w:ind w:left="10370" w:firstLine="129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36B32">
        <w:rPr>
          <w:rFonts w:ascii="Times New Roman" w:hAnsi="Times New Roman" w:cs="Times New Roman"/>
          <w:b/>
          <w:bCs/>
          <w:color w:val="auto"/>
          <w:sz w:val="24"/>
          <w:szCs w:val="24"/>
        </w:rPr>
        <w:t>lyginamasis variantas</w:t>
      </w:r>
    </w:p>
    <w:p w14:paraId="459415FD" w14:textId="77777777" w:rsidR="00F848E6" w:rsidRPr="00F848E6" w:rsidRDefault="00F848E6" w:rsidP="00F848E6"/>
    <w:p w14:paraId="3725225C" w14:textId="54F6DA75" w:rsidR="00ED22BC" w:rsidRPr="008435A0" w:rsidRDefault="00A45373" w:rsidP="00136B32">
      <w:pPr>
        <w:pStyle w:val="Sraopastraipa"/>
        <w:numPr>
          <w:ilvl w:val="0"/>
          <w:numId w:val="1"/>
        </w:numPr>
        <w:jc w:val="both"/>
      </w:pPr>
      <w:r>
        <w:t>Papildyti</w:t>
      </w:r>
      <w:r w:rsidR="00900FC0">
        <w:t xml:space="preserve"> </w:t>
      </w:r>
      <w:r w:rsidR="008435A0">
        <w:t xml:space="preserve">Molėtų rajono savivaldybės strateginio veiklos plano 2023-2025 metams </w:t>
      </w:r>
      <w:r w:rsidR="008435A0" w:rsidRPr="008435A0">
        <w:t>01. Verslo, ūkininkavimo sąlygų bei investicijų aplinkos gerinimo program</w:t>
      </w:r>
      <w:r w:rsidR="008435A0">
        <w:t xml:space="preserve">os </w:t>
      </w:r>
      <w:r w:rsidR="008435A0" w:rsidRPr="008435A0">
        <w:t xml:space="preserve">2.3.2. </w:t>
      </w:r>
      <w:r w:rsidR="008435A0">
        <w:t>uždavinį</w:t>
      </w:r>
      <w:r w:rsidR="008435A0" w:rsidRPr="008435A0">
        <w:t xml:space="preserve"> </w:t>
      </w:r>
      <w:r w:rsidR="008435A0">
        <w:t>„</w:t>
      </w:r>
      <w:r w:rsidR="008435A0" w:rsidRPr="008435A0">
        <w:t>Kurti rajone verslui bei investicijoms palankią mokestinę ir administracinės pagalbos aplinką</w:t>
      </w:r>
      <w:r w:rsidR="008435A0">
        <w:t xml:space="preserve">“ </w:t>
      </w:r>
      <w:r w:rsidR="008435A0" w:rsidRPr="008435A0">
        <w:t>01.2.3.2.6</w:t>
      </w:r>
      <w:r w:rsidR="008435A0">
        <w:t xml:space="preserve"> priemone „</w:t>
      </w:r>
      <w:proofErr w:type="spellStart"/>
      <w:r w:rsidR="008435A0" w:rsidRPr="008435A0">
        <w:t>Inkubavimo</w:t>
      </w:r>
      <w:proofErr w:type="spellEnd"/>
      <w:r w:rsidR="008435A0" w:rsidRPr="008435A0">
        <w:t>, konsultavimo, mentorystės ir tinklaveikos programų vystymas, skatinant pradedančiųjų SVV subjektų kūrimąsi ir augimą Molėtų rajone</w:t>
      </w:r>
      <w:r w:rsidR="008435A0">
        <w:t>“.</w:t>
      </w:r>
    </w:p>
    <w:tbl>
      <w:tblPr>
        <w:tblW w:w="15197" w:type="dxa"/>
        <w:tblInd w:w="108" w:type="dxa"/>
        <w:tblLook w:val="04A0" w:firstRow="1" w:lastRow="0" w:firstColumn="1" w:lastColumn="0" w:noHBand="0" w:noVBand="1"/>
      </w:tblPr>
      <w:tblGrid>
        <w:gridCol w:w="266"/>
        <w:gridCol w:w="174"/>
        <w:gridCol w:w="842"/>
        <w:gridCol w:w="3103"/>
        <w:gridCol w:w="708"/>
        <w:gridCol w:w="851"/>
        <w:gridCol w:w="850"/>
        <w:gridCol w:w="851"/>
        <w:gridCol w:w="1711"/>
        <w:gridCol w:w="654"/>
        <w:gridCol w:w="567"/>
        <w:gridCol w:w="622"/>
        <w:gridCol w:w="850"/>
        <w:gridCol w:w="1701"/>
        <w:gridCol w:w="1417"/>
        <w:gridCol w:w="30"/>
      </w:tblGrid>
      <w:tr w:rsidR="00B4507A" w:rsidRPr="00B4507A" w14:paraId="1901E221" w14:textId="77777777" w:rsidTr="009C6091">
        <w:trPr>
          <w:trHeight w:val="270"/>
        </w:trPr>
        <w:tc>
          <w:tcPr>
            <w:tcW w:w="15197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hideMark/>
          </w:tcPr>
          <w:p w14:paraId="58142CA7" w14:textId="7EF94494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2.3.2. UŽDAVINYS. Kurti rajone verslui bei investicijoms palankią mokestinę ir administracinės pagalbos aplinką</w:t>
            </w:r>
          </w:p>
        </w:tc>
      </w:tr>
      <w:tr w:rsidR="002A1A2A" w:rsidRPr="00B4507A" w14:paraId="52157C1A" w14:textId="77777777" w:rsidTr="009C6091">
        <w:trPr>
          <w:gridAfter w:val="1"/>
          <w:wAfter w:w="30" w:type="dxa"/>
          <w:trHeight w:val="529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hideMark/>
          </w:tcPr>
          <w:p w14:paraId="784CCF32" w14:textId="77777777" w:rsidR="00B4507A" w:rsidRPr="00B4507A" w:rsidRDefault="00B4507A" w:rsidP="00136B32">
            <w:pPr>
              <w:spacing w:after="0" w:line="240" w:lineRule="auto"/>
              <w:ind w:hanging="360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AEBF" w14:textId="77777777" w:rsidR="00B4507A" w:rsidRPr="00136B32" w:rsidRDefault="00B4507A" w:rsidP="00136B32">
            <w:pPr>
              <w:spacing w:after="0" w:line="240" w:lineRule="auto"/>
              <w:ind w:hanging="24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01.2.3.2.1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9959" w14:textId="372941FC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Investavimą skatinančių priemonių</w:t>
            </w:r>
            <w:r w:rsidR="00136B32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kūrimas ir įgyvendinimas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BB81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2B56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7C86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0B4E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6,0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7505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Priemonių skaičius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17CF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1359E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CAEF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09C4" w14:textId="77777777" w:rsidR="009C6091" w:rsidRDefault="00B4507A" w:rsidP="009C6091">
            <w:pPr>
              <w:spacing w:after="0" w:line="240" w:lineRule="auto"/>
              <w:ind w:left="-29" w:hanging="215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I</w:t>
            </w:r>
          </w:p>
          <w:p w14:paraId="145A54F0" w14:textId="68793C5F" w:rsidR="009C6091" w:rsidRDefault="00B4507A" w:rsidP="009C6091">
            <w:pPr>
              <w:spacing w:after="0" w:line="240" w:lineRule="auto"/>
              <w:ind w:left="-29" w:hanging="215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I.1.2.,</w:t>
            </w:r>
          </w:p>
          <w:p w14:paraId="0150192E" w14:textId="0E59568F" w:rsidR="00B4507A" w:rsidRPr="00B4507A" w:rsidRDefault="00B4507A" w:rsidP="009C6091">
            <w:pPr>
              <w:spacing w:after="0" w:line="240" w:lineRule="auto"/>
              <w:ind w:left="-29" w:hanging="215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II.1.3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B1FB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B4507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Kulienė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BD2D3D6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TVIC, Strateginio planavimo ir investicijų sk., Molėtų r. VVG</w:t>
            </w:r>
          </w:p>
        </w:tc>
      </w:tr>
      <w:tr w:rsidR="002A1A2A" w:rsidRPr="00B4507A" w14:paraId="1EE23F55" w14:textId="77777777" w:rsidTr="009C6091">
        <w:trPr>
          <w:gridAfter w:val="1"/>
          <w:wAfter w:w="30" w:type="dxa"/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hideMark/>
          </w:tcPr>
          <w:p w14:paraId="1D46D69A" w14:textId="77777777" w:rsidR="00B4507A" w:rsidRPr="00B4507A" w:rsidRDefault="00B4507A" w:rsidP="00136B32">
            <w:pPr>
              <w:spacing w:after="0" w:line="240" w:lineRule="auto"/>
              <w:ind w:hanging="360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8DAA" w14:textId="77777777" w:rsidR="00B4507A" w:rsidRPr="00136B32" w:rsidRDefault="00B4507A" w:rsidP="00136B32">
            <w:pPr>
              <w:spacing w:after="0" w:line="240" w:lineRule="auto"/>
              <w:ind w:hanging="24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01.2.3.2.2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83AE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Rajono pristatymas investuotojų mugėse, parodose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8AA5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AD03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3A75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89B2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960C9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Pristatymų skaičius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C0E1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6AFB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E0C0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D6C1" w14:textId="77777777" w:rsidR="00B4507A" w:rsidRPr="00B4507A" w:rsidRDefault="00B4507A" w:rsidP="009C6091">
            <w:pPr>
              <w:spacing w:after="0" w:line="240" w:lineRule="auto"/>
              <w:ind w:hanging="236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C02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B4507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Kulienė</w:t>
            </w:r>
            <w:proofErr w:type="spellEnd"/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D527C" w14:textId="77777777" w:rsidR="00B4507A" w:rsidRPr="00B4507A" w:rsidRDefault="00B4507A" w:rsidP="00136B32">
            <w:pPr>
              <w:spacing w:after="0" w:line="240" w:lineRule="auto"/>
              <w:ind w:hanging="360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A1A2A" w:rsidRPr="00B4507A" w14:paraId="367D3CBA" w14:textId="77777777" w:rsidTr="009C6091">
        <w:trPr>
          <w:gridAfter w:val="1"/>
          <w:wAfter w:w="30" w:type="dxa"/>
          <w:trHeight w:val="76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hideMark/>
          </w:tcPr>
          <w:p w14:paraId="68A46303" w14:textId="77777777" w:rsidR="00B4507A" w:rsidRPr="00B4507A" w:rsidRDefault="00B4507A" w:rsidP="00136B32">
            <w:pPr>
              <w:spacing w:after="0" w:line="240" w:lineRule="auto"/>
              <w:ind w:hanging="360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60B5" w14:textId="77777777" w:rsidR="00B4507A" w:rsidRPr="00136B32" w:rsidRDefault="00B4507A" w:rsidP="00136B32">
            <w:pPr>
              <w:spacing w:after="0" w:line="240" w:lineRule="auto"/>
              <w:ind w:hanging="24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01.2.3.2.3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A179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Smulkaus ir vidutinio verslo rėmimas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6EC1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CD1D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93B2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FC6A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45,0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045CD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Paramą gavusių SVV subjektų skaičius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9467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FF78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8672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B1C3" w14:textId="77777777" w:rsidR="009C6091" w:rsidRDefault="00B4507A" w:rsidP="009C6091">
            <w:pPr>
              <w:spacing w:after="0" w:line="240" w:lineRule="auto"/>
              <w:ind w:hanging="236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II.1.2.,</w:t>
            </w:r>
          </w:p>
          <w:p w14:paraId="648E8FD7" w14:textId="77777777" w:rsidR="009C6091" w:rsidRDefault="00B4507A" w:rsidP="009C6091">
            <w:pPr>
              <w:spacing w:after="0" w:line="240" w:lineRule="auto"/>
              <w:ind w:hanging="236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II.1.3.,</w:t>
            </w:r>
          </w:p>
          <w:p w14:paraId="145E93F7" w14:textId="2B9A968E" w:rsidR="00B4507A" w:rsidRPr="00B4507A" w:rsidRDefault="00B4507A" w:rsidP="009C6091">
            <w:pPr>
              <w:spacing w:after="0" w:line="240" w:lineRule="auto"/>
              <w:ind w:hanging="236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II.1.8.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2853" w14:textId="3BC8CDBD" w:rsidR="00B4507A" w:rsidRPr="00F848E6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F848E6">
              <w:rPr>
                <w:rFonts w:eastAsia="Times New Roman" w:cs="Times New Roman"/>
                <w:sz w:val="20"/>
                <w:szCs w:val="20"/>
                <w:lang w:eastAsia="lt-LT"/>
              </w:rPr>
              <w:t>V. Atkočiūnas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AB777" w14:textId="77777777" w:rsidR="00B4507A" w:rsidRPr="00B4507A" w:rsidRDefault="00B4507A" w:rsidP="00136B32">
            <w:pPr>
              <w:spacing w:after="0" w:line="240" w:lineRule="auto"/>
              <w:ind w:hanging="360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A1A2A" w:rsidRPr="00B4507A" w14:paraId="6EF792E9" w14:textId="77777777" w:rsidTr="009C6091">
        <w:trPr>
          <w:gridAfter w:val="1"/>
          <w:wAfter w:w="30" w:type="dxa"/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hideMark/>
          </w:tcPr>
          <w:p w14:paraId="7D8F8601" w14:textId="77777777" w:rsidR="00B4507A" w:rsidRPr="00B4507A" w:rsidRDefault="00B4507A" w:rsidP="00136B32">
            <w:pPr>
              <w:spacing w:after="0" w:line="240" w:lineRule="auto"/>
              <w:ind w:hanging="360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DDC9" w14:textId="77777777" w:rsidR="00B4507A" w:rsidRPr="00136B32" w:rsidRDefault="00B4507A" w:rsidP="00136B32">
            <w:pPr>
              <w:spacing w:after="0" w:line="240" w:lineRule="auto"/>
              <w:ind w:hanging="24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01.2.3.2.4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2097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Investuotojų pritraukimą skatinančių renginių organizavimas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2003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0728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4ADF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0F79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B7337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Suorganizuotų renginių skaičius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F24D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4E57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1555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529B" w14:textId="77777777" w:rsidR="009C6091" w:rsidRDefault="00B4507A" w:rsidP="009C6091">
            <w:pPr>
              <w:spacing w:after="0" w:line="240" w:lineRule="auto"/>
              <w:ind w:hanging="236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II.1.2.,</w:t>
            </w:r>
          </w:p>
          <w:p w14:paraId="22081A6C" w14:textId="20C16DD5" w:rsidR="00B4507A" w:rsidRPr="00B4507A" w:rsidRDefault="00B4507A" w:rsidP="009C6091">
            <w:pPr>
              <w:spacing w:after="0" w:line="240" w:lineRule="auto"/>
              <w:ind w:hanging="236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II.1.3.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7215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D. </w:t>
            </w:r>
            <w:proofErr w:type="spellStart"/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Kulienė</w:t>
            </w:r>
            <w:proofErr w:type="spellEnd"/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76918" w14:textId="77777777" w:rsidR="00B4507A" w:rsidRPr="00B4507A" w:rsidRDefault="00B4507A" w:rsidP="00136B32">
            <w:pPr>
              <w:spacing w:after="0" w:line="240" w:lineRule="auto"/>
              <w:ind w:hanging="360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A1A2A" w:rsidRPr="00B4507A" w14:paraId="54320BC9" w14:textId="77777777" w:rsidTr="009C6091">
        <w:trPr>
          <w:gridAfter w:val="1"/>
          <w:wAfter w:w="30" w:type="dxa"/>
          <w:trHeight w:val="10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hideMark/>
          </w:tcPr>
          <w:p w14:paraId="2ACBE2A4" w14:textId="77777777" w:rsidR="00B4507A" w:rsidRPr="00B4507A" w:rsidRDefault="00B4507A" w:rsidP="00136B32">
            <w:pPr>
              <w:spacing w:after="0" w:line="240" w:lineRule="auto"/>
              <w:ind w:hanging="360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79EE" w14:textId="77777777" w:rsidR="00B4507A" w:rsidRPr="00136B32" w:rsidRDefault="00B4507A" w:rsidP="00136B32">
            <w:pPr>
              <w:spacing w:after="0" w:line="240" w:lineRule="auto"/>
              <w:ind w:hanging="24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01.2.3.2.5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7CD2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Finansavimo priemonė „Novatoriško ūkio ir verslo kūrimas bei plėtra, efektyviai panaudojant turizmo potencialą ir kitus vietos išteklius“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6A91" w14:textId="394F812B" w:rsidR="00B4507A" w:rsidRPr="00B4507A" w:rsidRDefault="00136B32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>E</w:t>
            </w:r>
            <w:r w:rsidR="00B4507A"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1431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97BA3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DBE7" w14:textId="77777777" w:rsidR="00B4507A" w:rsidRPr="00B4507A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15E5" w14:textId="77777777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Įgyvendintų projektų skaičius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B807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A31C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3659" w14:textId="77777777" w:rsidR="00B4507A" w:rsidRPr="00B4507A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D19F" w14:textId="77777777" w:rsidR="00B4507A" w:rsidRPr="00B4507A" w:rsidRDefault="00B4507A" w:rsidP="009C6091">
            <w:pPr>
              <w:spacing w:after="0" w:line="240" w:lineRule="auto"/>
              <w:ind w:hanging="236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79B5" w14:textId="47F8CD28" w:rsidR="00B4507A" w:rsidRPr="00B4507A" w:rsidRDefault="00B4507A" w:rsidP="00136B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D.</w:t>
            </w:r>
            <w:r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B4507A">
              <w:rPr>
                <w:rFonts w:eastAsia="Times New Roman" w:cs="Times New Roman"/>
                <w:sz w:val="20"/>
                <w:szCs w:val="20"/>
                <w:lang w:eastAsia="lt-LT"/>
              </w:rPr>
              <w:t>Mikelinskienė</w:t>
            </w:r>
            <w:proofErr w:type="spellEnd"/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BF063" w14:textId="77777777" w:rsidR="00B4507A" w:rsidRPr="00B4507A" w:rsidRDefault="00B4507A" w:rsidP="00136B32">
            <w:pPr>
              <w:spacing w:after="0" w:line="240" w:lineRule="auto"/>
              <w:ind w:hanging="360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B4507A" w14:paraId="29F954D2" w14:textId="77777777" w:rsidTr="009C6091">
        <w:trPr>
          <w:gridAfter w:val="1"/>
          <w:wAfter w:w="30" w:type="dxa"/>
          <w:trHeight w:val="114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hideMark/>
          </w:tcPr>
          <w:p w14:paraId="1EFB07BF" w14:textId="77777777" w:rsidR="00B4507A" w:rsidRPr="00B4507A" w:rsidRDefault="00B4507A" w:rsidP="00136B32">
            <w:pPr>
              <w:spacing w:after="0" w:line="240" w:lineRule="auto"/>
              <w:ind w:hanging="360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B4507A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E92E" w14:textId="77777777" w:rsidR="00B4507A" w:rsidRPr="009C6091" w:rsidRDefault="00B4507A" w:rsidP="00136B32">
            <w:pPr>
              <w:spacing w:after="0" w:line="240" w:lineRule="auto"/>
              <w:ind w:hanging="24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C60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01.2.3.2.6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456D" w14:textId="77777777" w:rsidR="00B4507A" w:rsidRPr="00136B32" w:rsidRDefault="00B4507A" w:rsidP="00136B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bookmarkStart w:id="0" w:name="_Hlk151551138"/>
            <w:proofErr w:type="spellStart"/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Inkubavimo</w:t>
            </w:r>
            <w:proofErr w:type="spellEnd"/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, konsultavimo, mentorystės ir tinklaveikos programų vystymas, skatinant pradedančiųjų SVV subjektų kūrimąsi ir augimą Molėtų rajone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5DE2" w14:textId="77777777" w:rsidR="00B4507A" w:rsidRPr="00136B32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8788" w14:textId="77777777" w:rsidR="00B4507A" w:rsidRPr="00136B32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63D8" w14:textId="77777777" w:rsidR="00B4507A" w:rsidRPr="00136B32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1DA1" w14:textId="77777777" w:rsidR="00B4507A" w:rsidRPr="00136B32" w:rsidRDefault="00B4507A" w:rsidP="00136B32">
            <w:pPr>
              <w:spacing w:after="0" w:line="240" w:lineRule="auto"/>
              <w:ind w:hanging="23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59E5" w14:textId="77777777" w:rsidR="00B4507A" w:rsidRPr="00136B32" w:rsidRDefault="00B4507A" w:rsidP="00136B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Paslaugas gavusių SVV subjektų skaičius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66B5" w14:textId="77777777" w:rsidR="00B4507A" w:rsidRPr="00136B32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F04B" w14:textId="77777777" w:rsidR="00B4507A" w:rsidRPr="00136B32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02C1D" w14:textId="77777777" w:rsidR="00B4507A" w:rsidRPr="00136B32" w:rsidRDefault="00B4507A" w:rsidP="009C6091">
            <w:pPr>
              <w:spacing w:after="0" w:line="240" w:lineRule="auto"/>
              <w:ind w:hanging="36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436A" w14:textId="77777777" w:rsidR="009C6091" w:rsidRDefault="00B4507A" w:rsidP="009C6091">
            <w:pPr>
              <w:spacing w:after="0" w:line="240" w:lineRule="auto"/>
              <w:ind w:hanging="23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II.1.2.,</w:t>
            </w:r>
          </w:p>
          <w:p w14:paraId="2B11042E" w14:textId="77777777" w:rsidR="009C6091" w:rsidRDefault="00B4507A" w:rsidP="009C6091">
            <w:pPr>
              <w:spacing w:after="0" w:line="240" w:lineRule="auto"/>
              <w:ind w:hanging="23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II.1.3.,</w:t>
            </w:r>
          </w:p>
          <w:p w14:paraId="61E91738" w14:textId="2DC9A022" w:rsidR="00B4507A" w:rsidRPr="00136B32" w:rsidRDefault="00B4507A" w:rsidP="009C6091">
            <w:pPr>
              <w:spacing w:after="0" w:line="240" w:lineRule="auto"/>
              <w:ind w:hanging="236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II.1.8.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B282" w14:textId="77777777" w:rsidR="00B4507A" w:rsidRPr="00136B32" w:rsidRDefault="00B4507A" w:rsidP="00136B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Ž. Žalienė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90609" w14:textId="77777777" w:rsidR="00B4507A" w:rsidRPr="00B4507A" w:rsidRDefault="00B4507A" w:rsidP="00136B32">
            <w:pPr>
              <w:spacing w:after="0" w:line="240" w:lineRule="auto"/>
              <w:ind w:hanging="360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14:paraId="1DE404EE" w14:textId="77777777" w:rsidTr="009C6091">
        <w:trPr>
          <w:trHeight w:val="335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hideMark/>
          </w:tcPr>
          <w:p w14:paraId="5822E69E" w14:textId="77777777" w:rsidR="002D0514" w:rsidRDefault="002D0514" w:rsidP="00136B32">
            <w:pPr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4DF60DAB" w14:textId="77777777" w:rsidR="002D0514" w:rsidRDefault="002D0514" w:rsidP="00136B32">
            <w:pPr>
              <w:ind w:hanging="23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uždaviniui: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737743E4" w14:textId="77777777" w:rsidR="002D0514" w:rsidRDefault="002D0514" w:rsidP="009C6091">
            <w:pPr>
              <w:ind w:hanging="2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41747BD0" w14:textId="77777777" w:rsidR="002D0514" w:rsidRDefault="002D0514" w:rsidP="009C6091">
            <w:pPr>
              <w:ind w:hanging="2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hideMark/>
          </w:tcPr>
          <w:p w14:paraId="2CBEA950" w14:textId="77777777" w:rsidR="002D0514" w:rsidRDefault="002D0514" w:rsidP="009C6091">
            <w:pPr>
              <w:ind w:hanging="2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64,0</w:t>
            </w:r>
          </w:p>
        </w:tc>
        <w:tc>
          <w:tcPr>
            <w:tcW w:w="75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hideMark/>
          </w:tcPr>
          <w:p w14:paraId="2972383B" w14:textId="77777777" w:rsidR="002D0514" w:rsidRDefault="002D0514" w:rsidP="00136B32">
            <w:p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73F590C3" w14:textId="77777777" w:rsidR="008435A0" w:rsidRDefault="008435A0" w:rsidP="00136B32">
      <w:pPr>
        <w:ind w:hanging="360"/>
        <w:jc w:val="both"/>
        <w:rPr>
          <w:b/>
          <w:bCs/>
        </w:rPr>
      </w:pPr>
    </w:p>
    <w:p w14:paraId="3E1EA891" w14:textId="4FB5774B" w:rsidR="00B4507A" w:rsidRPr="008435A0" w:rsidRDefault="008435A0" w:rsidP="00136B32">
      <w:pPr>
        <w:pStyle w:val="Sraopastraipa"/>
        <w:numPr>
          <w:ilvl w:val="0"/>
          <w:numId w:val="1"/>
        </w:numPr>
        <w:jc w:val="both"/>
      </w:pPr>
      <w:bookmarkStart w:id="1" w:name="_Hlk151552868"/>
      <w:r w:rsidRPr="008435A0">
        <w:t>Papildyti Molėtų rajono savivaldybės strateginio veiklos plano 2023-2025 metams 02. Savivaldybės institucijų ir viešojo administravimo veiklų program</w:t>
      </w:r>
      <w:r>
        <w:t xml:space="preserve">os </w:t>
      </w:r>
      <w:r w:rsidRPr="008435A0">
        <w:t xml:space="preserve">1.6.2. </w:t>
      </w:r>
      <w:r>
        <w:t>uždavinį</w:t>
      </w:r>
      <w:r w:rsidRPr="008435A0">
        <w:t xml:space="preserve"> </w:t>
      </w:r>
      <w:r>
        <w:t>„</w:t>
      </w:r>
      <w:r w:rsidRPr="008435A0">
        <w:t>Gerinti savivaldybės teikiamų paslaugų ir funkcijų vykdymo kokybę, diegiant pažangius vadybos principus</w:t>
      </w:r>
      <w:r>
        <w:t xml:space="preserve">“ </w:t>
      </w:r>
      <w:r w:rsidRPr="008435A0">
        <w:t>02.1.6.2.16</w:t>
      </w:r>
      <w:r>
        <w:t xml:space="preserve"> </w:t>
      </w:r>
      <w:r w:rsidRPr="008435A0">
        <w:t>priemon</w:t>
      </w:r>
      <w:r>
        <w:t>e</w:t>
      </w:r>
      <w:r w:rsidRPr="008435A0">
        <w:t xml:space="preserve"> „Funkcinės zonos formavimas ir strategijos rengimas“</w:t>
      </w:r>
      <w:r>
        <w:t>.</w:t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266"/>
        <w:gridCol w:w="1116"/>
        <w:gridCol w:w="3003"/>
        <w:gridCol w:w="708"/>
        <w:gridCol w:w="997"/>
        <w:gridCol w:w="850"/>
        <w:gridCol w:w="851"/>
        <w:gridCol w:w="1594"/>
        <w:gridCol w:w="567"/>
        <w:gridCol w:w="567"/>
        <w:gridCol w:w="516"/>
        <w:gridCol w:w="700"/>
        <w:gridCol w:w="1726"/>
        <w:gridCol w:w="1405"/>
        <w:gridCol w:w="18"/>
      </w:tblGrid>
      <w:tr w:rsidR="002D0514" w:rsidRPr="002D0514" w14:paraId="3287C261" w14:textId="77777777" w:rsidTr="00AD667A">
        <w:trPr>
          <w:trHeight w:val="270"/>
        </w:trPr>
        <w:tc>
          <w:tcPr>
            <w:tcW w:w="14884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hideMark/>
          </w:tcPr>
          <w:bookmarkEnd w:id="1"/>
          <w:p w14:paraId="5EB0751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1.6.2. UŽDAVINYS. Gerinti savivaldybės teikiamų paslaugų ir funkcijų vykdymo kokybę, diegiant pažangius vadybos principus</w:t>
            </w:r>
          </w:p>
        </w:tc>
      </w:tr>
      <w:tr w:rsidR="002D0514" w:rsidRPr="002D0514" w14:paraId="7B2E59CE" w14:textId="77777777" w:rsidTr="00F848E6">
        <w:trPr>
          <w:gridAfter w:val="1"/>
          <w:wAfter w:w="18" w:type="dxa"/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1D38CC5F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16C7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02.1.6.2.1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A7F6" w14:textId="6919EA3B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Savivaldybės tarybos efektyvios veiklos </w:t>
            </w:r>
            <w:r w:rsidR="002A1A2A"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užtikrinimas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4FC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3CB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120,0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086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130,0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17CC1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135,0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DA5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Tarybos posėdžių skaičius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40D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DD3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E0C1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1C3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I.6.3.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C96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I. Sabaliauskienė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88DA5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Bendrasis skyrius</w:t>
            </w:r>
          </w:p>
        </w:tc>
      </w:tr>
      <w:tr w:rsidR="002D0514" w:rsidRPr="002D0514" w14:paraId="7F30C333" w14:textId="77777777" w:rsidTr="00F848E6">
        <w:trPr>
          <w:gridAfter w:val="1"/>
          <w:wAfter w:w="18" w:type="dxa"/>
          <w:trHeight w:val="10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3C38383C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2E23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02.1.6.2.2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D47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Savivaldybės kontrolės tarnybos veikla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050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3DB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6F46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88C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70,0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1C1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Auditų, tyrimų, išvadų skaičius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7E06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2DD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CFA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E9C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21BE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E. </w:t>
            </w:r>
            <w:proofErr w:type="spellStart"/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Putnienė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72D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Molėtų rajono savivaldybės kontrolės ir audito tarnyba</w:t>
            </w:r>
          </w:p>
        </w:tc>
      </w:tr>
      <w:tr w:rsidR="002D0514" w:rsidRPr="002D0514" w14:paraId="1C042C40" w14:textId="77777777" w:rsidTr="00F848E6">
        <w:trPr>
          <w:gridAfter w:val="1"/>
          <w:wAfter w:w="18" w:type="dxa"/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0CBD699A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E5FA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880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Savarankiškų savivaldybės funkcijų deleguotų administracijai vykdymas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571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485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4D01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14E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2 800,0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A1C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Funkcijų vykdymas. (proc.)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861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0E8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44E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64E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9A6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R. Vidžiūnienė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585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Buhalterinės apskaitos skyrius</w:t>
            </w:r>
          </w:p>
        </w:tc>
      </w:tr>
      <w:tr w:rsidR="002D0514" w:rsidRPr="002D0514" w14:paraId="1971A59C" w14:textId="77777777" w:rsidTr="00F848E6">
        <w:trPr>
          <w:gridAfter w:val="1"/>
          <w:wAfter w:w="18" w:type="dxa"/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672250EA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0DA8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02.1.6.2.4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A80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Valstybės deleguotų valdymo funkcijų savivaldybei vykdymas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88C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4CB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927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B256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1 000,0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3E3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Funkcijų vykdymas. (proc.)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43E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EE3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03D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D76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2A5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33B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2FBBD475" w14:textId="77777777" w:rsidTr="00F848E6">
        <w:trPr>
          <w:gridAfter w:val="1"/>
          <w:wAfter w:w="18" w:type="dxa"/>
          <w:trHeight w:val="76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37EB1914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F213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ACA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Savivaldybės administracijos darbo procesų analizė, darbuotojų pasitenkinimo kokybės tyrimas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5B4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94E1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266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F1E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67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Tyrimas, ataskaita. (vnt.)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640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841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EDE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5DE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922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I. Sabaliauskienė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D7B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Bendrasis skyrius</w:t>
            </w:r>
          </w:p>
        </w:tc>
      </w:tr>
      <w:tr w:rsidR="00AD667A" w:rsidRPr="002D0514" w14:paraId="061EF696" w14:textId="77777777" w:rsidTr="00F848E6">
        <w:trPr>
          <w:gridAfter w:val="1"/>
          <w:wAfter w:w="18" w:type="dxa"/>
          <w:trHeight w:val="76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53D24B98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DDCF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02.1.6.2.6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350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Gyventojų aptarnavimo kokybės tobulinimas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22E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EDD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06D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8FB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951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Parengtas ir įdiegtas klientų aptarnavimo standartas. Laikymosi stebėsena. (vnt.)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EC0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47C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17C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0FC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062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D1F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2D0514" w14:paraId="383E468E" w14:textId="77777777" w:rsidTr="00F848E6">
        <w:trPr>
          <w:gridAfter w:val="1"/>
          <w:wAfter w:w="18" w:type="dxa"/>
          <w:trHeight w:val="10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6CE68EE3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95B8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AC6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CF3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957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2B2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510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8B6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Savivaldybės teikiamų viešųjų paslaugų vartotojų poreikių patenkinimo tyrimai. (vnt.)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2A17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860A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03F5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6BD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9171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70A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2D0514" w14:paraId="27B591D7" w14:textId="77777777" w:rsidTr="00F848E6">
        <w:trPr>
          <w:gridAfter w:val="1"/>
          <w:wAfter w:w="18" w:type="dxa"/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48257C8B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BADC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660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Savivaldybės tarybos narių ir administracijos darbuotojų kompetencijų didinimas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3DA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40B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EC7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731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30,0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1B7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Darbuotojų dalyvavusių mokymuose skaičius. (vnt.)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8ED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2D3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7AA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AF3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9FB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900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2D0514" w14:paraId="614A43FA" w14:textId="77777777" w:rsidTr="00F848E6">
        <w:trPr>
          <w:gridAfter w:val="1"/>
          <w:wAfter w:w="18" w:type="dxa"/>
          <w:trHeight w:val="76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7BA8BB45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41ED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02.1.6.2.8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DE51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Efektyvus savivaldybės finansinių įsipareigojimų valdymas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8C4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C11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3F4D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5DA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130,7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AEE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Savalaikis palūkanų mokėjimas, paskolų ir dotacijų gražinimas (proc.)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CEA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CA7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2E9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3E5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II.1.6.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16C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R. Maigienė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AD7AB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Finansų skyrius</w:t>
            </w:r>
          </w:p>
        </w:tc>
      </w:tr>
      <w:tr w:rsidR="002D0514" w:rsidRPr="002D0514" w14:paraId="6B372F49" w14:textId="77777777" w:rsidTr="00F848E6">
        <w:trPr>
          <w:gridAfter w:val="1"/>
          <w:wAfter w:w="18" w:type="dxa"/>
          <w:trHeight w:val="25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791ECB52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1282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D9A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6A2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D763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101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83C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550,0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C2E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Paskolų dalies grąžinimas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448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9C2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44F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2FA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8ED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4C67C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34551523" w14:textId="77777777" w:rsidTr="00F848E6">
        <w:trPr>
          <w:gridAfter w:val="1"/>
          <w:wAfter w:w="18" w:type="dxa"/>
          <w:trHeight w:val="76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3F1E017A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715E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02.1.6.2.9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315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Racionalus savivaldybės turimo turto naudojimas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8D5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D9D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A60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539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559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Nenaudojamų pastatų ir patalpų nuoma, panauda (sutarčių sk.)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7EB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5AAB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261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301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I.6.3.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D5D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V. Aleksiejūnienė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D5B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Turto skyrius</w:t>
            </w:r>
          </w:p>
        </w:tc>
      </w:tr>
      <w:tr w:rsidR="002D0514" w:rsidRPr="002D0514" w14:paraId="23A32757" w14:textId="77777777" w:rsidTr="00F848E6">
        <w:trPr>
          <w:gridAfter w:val="1"/>
          <w:wAfter w:w="18" w:type="dxa"/>
          <w:trHeight w:val="76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3F18A2C7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7593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549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8DB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C2D7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91E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584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15,0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9F2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Nenaudojamo kilnojamo ir nekilnojamo turto pardavimas ( vnt.)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37F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0EE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2CF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443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A97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CA6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6F46F929" w14:textId="77777777" w:rsidTr="00F848E6">
        <w:trPr>
          <w:gridAfter w:val="1"/>
          <w:wAfter w:w="18" w:type="dxa"/>
          <w:trHeight w:val="102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4528FE7C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B8A2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F3A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D8A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C62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0617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8307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6,0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AA2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Veikiančių ir neveikiančių kapinių žemės sklypų projektavimas ir panaudos sutarčių sudarymas. (proc.)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D72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2F11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5F4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574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3030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A. Rusteikienė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CFA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6D1B96A0" w14:textId="77777777" w:rsidTr="00F848E6">
        <w:trPr>
          <w:gridAfter w:val="1"/>
          <w:wAfter w:w="18" w:type="dxa"/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10D18785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A2E7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4A7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7DB1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D8C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000B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815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A38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Pastatų paskirties keitimo projektavimas (vnt.)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3F1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8AF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A46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394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DFD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F19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1DCDA469" w14:textId="77777777" w:rsidTr="00F848E6">
        <w:trPr>
          <w:gridAfter w:val="1"/>
          <w:wAfter w:w="18" w:type="dxa"/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566E6CA3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946F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63C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BF8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69F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FC9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9D2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5A8A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Vandentiekio gręžinių likvidavimas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CD1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843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0B0F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ABE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85C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059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38C3DDA6" w14:textId="77777777" w:rsidTr="00F848E6">
        <w:trPr>
          <w:gridAfter w:val="1"/>
          <w:wAfter w:w="18" w:type="dxa"/>
          <w:trHeight w:val="76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75292436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242D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B63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ADC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9BE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13B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3ED5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A2E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bookmarkStart w:id="2" w:name="RANGE!K43"/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Savivaldybės turto saugojimas ir priežiūra, </w:t>
            </w:r>
            <w:proofErr w:type="spellStart"/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kompl</w:t>
            </w:r>
            <w:proofErr w:type="spellEnd"/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.</w:t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6DA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A10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D78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EFD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115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K. </w:t>
            </w:r>
            <w:proofErr w:type="spellStart"/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Andreikėnienė</w:t>
            </w:r>
            <w:proofErr w:type="spellEnd"/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56C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7D3D1F80" w14:textId="77777777" w:rsidTr="00F848E6">
        <w:trPr>
          <w:gridAfter w:val="1"/>
          <w:wAfter w:w="18" w:type="dxa"/>
          <w:trHeight w:val="25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4D1B07B7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CC3A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914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4FB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146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FB8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305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EE9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Vandentiekio ir nuotekų tinklų inventorizavimas (bylų sk.)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224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FDEF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C0C1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99F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30C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V. Aleksiejūnienė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4E4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27A69851" w14:textId="77777777" w:rsidTr="00F848E6">
        <w:trPr>
          <w:gridAfter w:val="1"/>
          <w:wAfter w:w="18" w:type="dxa"/>
          <w:trHeight w:val="25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2CEE766D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F010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860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A4A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F4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8E7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325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1BC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CD7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AAE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EA6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821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15F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25A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7DCCDB66" w14:textId="77777777" w:rsidTr="00F848E6">
        <w:trPr>
          <w:gridAfter w:val="1"/>
          <w:wAfter w:w="18" w:type="dxa"/>
          <w:trHeight w:val="87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3D2E1FB0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689F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72C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2B8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DCF1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EFE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666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16,0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766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Žemės sklypų kadastriniai matavimai ir panaudos sutarčių sudarymas. (vnt.)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1AD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DC3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D450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F30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37F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A. Rusteikienė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280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2C3F4C00" w14:textId="77777777" w:rsidTr="00F848E6">
        <w:trPr>
          <w:gridAfter w:val="1"/>
          <w:wAfter w:w="18" w:type="dxa"/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3709DB1B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68D0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AA69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567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B2C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67E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38F7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7,0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B40E" w14:textId="68C67C2C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Nekilnojamojo turto vertinimas, vnt</w:t>
            </w:r>
            <w:r w:rsidR="002A1A2A">
              <w:rPr>
                <w:rFonts w:eastAsia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3F2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5CC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A6B1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A5E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3AF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5B2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74420676" w14:textId="77777777" w:rsidTr="00F848E6">
        <w:trPr>
          <w:gridAfter w:val="1"/>
          <w:wAfter w:w="18" w:type="dxa"/>
          <w:trHeight w:val="25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13536B81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DCA1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02.1.6.2.10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B8C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Racionalus direktoriaus fondo naudojimas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44D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024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584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A15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27E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Įvykdymas procentais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AED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9895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299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6A2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6F3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S. Žvinys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8C025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Administracija</w:t>
            </w:r>
          </w:p>
        </w:tc>
      </w:tr>
      <w:tr w:rsidR="00AD667A" w:rsidRPr="002D0514" w14:paraId="75C4447C" w14:textId="77777777" w:rsidTr="00F848E6">
        <w:trPr>
          <w:gridAfter w:val="1"/>
          <w:wAfter w:w="18" w:type="dxa"/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noWrap/>
            <w:hideMark/>
          </w:tcPr>
          <w:p w14:paraId="23FED4AE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DBC6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F61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Molėtų miesto plėtros ir seniūnijų tinklo optimizavimas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F02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364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E0D1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26D0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24E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Miesto bendrojo plano ir seniūnijų ribų keitimas, proc.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A669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A35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384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8BB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7F4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FD0562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745132F8" w14:textId="77777777" w:rsidTr="00F848E6">
        <w:trPr>
          <w:gridAfter w:val="1"/>
          <w:wAfter w:w="18" w:type="dxa"/>
          <w:trHeight w:val="51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0584389E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CAB5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02.1.6.2.12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5C45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Astravo AE branduolinei avarijai pasirengti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86B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VB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683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976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D01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200,0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BAE1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Priemonių plano įgyvendinimas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3B7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AD2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B334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7E2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9453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D. Židonis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F42D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Administracija</w:t>
            </w:r>
          </w:p>
        </w:tc>
      </w:tr>
      <w:tr w:rsidR="002D0514" w:rsidRPr="002D0514" w14:paraId="35799F90" w14:textId="77777777" w:rsidTr="00F848E6">
        <w:trPr>
          <w:gridAfter w:val="1"/>
          <w:wAfter w:w="18" w:type="dxa"/>
          <w:trHeight w:val="510"/>
        </w:trPr>
        <w:tc>
          <w:tcPr>
            <w:tcW w:w="2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6A1D3F04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75E15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02.1.6.2.13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3F7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Strateginio plėtros plano parengimas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B18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D7E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4116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BB1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245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Parengtas strateginis plėtros planas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2C7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0CB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9D47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251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8660" w14:textId="5ACC6DF1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trike/>
                <w:sz w:val="20"/>
                <w:szCs w:val="20"/>
                <w:lang w:eastAsia="lt-LT"/>
              </w:rPr>
            </w:pPr>
            <w:r w:rsidRPr="00F848E6">
              <w:rPr>
                <w:rFonts w:eastAsia="Times New Roman" w:cs="Times New Roman"/>
                <w:sz w:val="20"/>
                <w:szCs w:val="20"/>
                <w:lang w:eastAsia="lt-LT"/>
              </w:rPr>
              <w:t>V.</w:t>
            </w:r>
            <w:r w:rsidRPr="002D0514">
              <w:rPr>
                <w:rFonts w:eastAsia="Times New Roman" w:cs="Times New Roman"/>
                <w:strike/>
                <w:sz w:val="20"/>
                <w:szCs w:val="20"/>
                <w:lang w:eastAsia="lt-LT"/>
              </w:rPr>
              <w:t xml:space="preserve"> </w:t>
            </w:r>
            <w:r w:rsidRPr="00F848E6">
              <w:rPr>
                <w:rFonts w:eastAsia="Times New Roman" w:cs="Times New Roman"/>
                <w:sz w:val="20"/>
                <w:szCs w:val="20"/>
                <w:lang w:eastAsia="lt-LT"/>
              </w:rPr>
              <w:t>Atkočiūnas</w:t>
            </w: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FD99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Strateginio planavimo ir investicijų skyrius</w:t>
            </w:r>
          </w:p>
        </w:tc>
      </w:tr>
      <w:tr w:rsidR="00AD667A" w:rsidRPr="002D0514" w14:paraId="59D342E3" w14:textId="77777777" w:rsidTr="00F848E6">
        <w:trPr>
          <w:gridAfter w:val="1"/>
          <w:wAfter w:w="18" w:type="dxa"/>
          <w:trHeight w:val="51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hideMark/>
          </w:tcPr>
          <w:p w14:paraId="15EB2E02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BC45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901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Strateginių trimečių veiklos planų parengimas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80E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AAE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89E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4ED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971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Parengtas strateginis veiklos planas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8F3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011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62D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B45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4C33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F00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2D0514" w14:paraId="20A12D1C" w14:textId="77777777" w:rsidTr="00F848E6">
        <w:trPr>
          <w:gridAfter w:val="1"/>
          <w:wAfter w:w="18" w:type="dxa"/>
          <w:trHeight w:val="300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18B9F288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0CBF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02.1.6.2.15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BDDA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Strateginio plėtros plano stebėsena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0C1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BB8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F68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1DCB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D2C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Parengta ataskaita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1AE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A8A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BF9F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419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A11E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AC2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3175C1AC" w14:textId="77777777" w:rsidTr="00F848E6">
        <w:trPr>
          <w:gridAfter w:val="1"/>
          <w:wAfter w:w="18" w:type="dxa"/>
          <w:trHeight w:val="52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hideMark/>
          </w:tcPr>
          <w:p w14:paraId="624C55F3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2FC2" w14:textId="77777777" w:rsidR="002D0514" w:rsidRPr="009C6091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bookmarkStart w:id="3" w:name="_Hlk151552790"/>
            <w:r w:rsidRPr="009C60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02.1.6.2.16</w:t>
            </w:r>
            <w:bookmarkEnd w:id="3"/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EF35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bookmarkStart w:id="4" w:name="_Hlk151551207"/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 xml:space="preserve">Funkcinės zonos formavimas ir strategijos rengimas </w:t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93E7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E1FA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2497" w14:textId="0F357328" w:rsidR="002D0514" w:rsidRPr="00136B32" w:rsidRDefault="00A45373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10</w:t>
            </w:r>
            <w:r w:rsidR="002D0514"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767F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9E1D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Parengta funkcinės zonos strategija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65F3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2E396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AFD6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5D04" w14:textId="78644474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I.6.3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25BD" w14:textId="77777777" w:rsidR="002D0514" w:rsidRPr="00136B32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Ž. Žalienė</w:t>
            </w: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A1D8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2D0514" w:rsidRPr="002D0514" w14:paraId="0C533057" w14:textId="77777777" w:rsidTr="00AD667A">
        <w:trPr>
          <w:trHeight w:val="270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14:paraId="0D93B409" w14:textId="77777777" w:rsidR="002D0514" w:rsidRPr="002D0514" w:rsidRDefault="002D0514" w:rsidP="002D051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Iš viso uždaviniui: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hideMark/>
          </w:tcPr>
          <w:p w14:paraId="766E7ADC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4 579,2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hideMark/>
          </w:tcPr>
          <w:p w14:paraId="076C2F9A" w14:textId="401CA34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5 00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  <w:r w:rsidRPr="002D051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hideMark/>
          </w:tcPr>
          <w:p w14:paraId="5C6AED27" w14:textId="77777777" w:rsidR="002D0514" w:rsidRPr="002D0514" w:rsidRDefault="002D0514" w:rsidP="002D05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4 997,9</w:t>
            </w:r>
          </w:p>
        </w:tc>
        <w:tc>
          <w:tcPr>
            <w:tcW w:w="709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hideMark/>
          </w:tcPr>
          <w:p w14:paraId="0D18D294" w14:textId="77777777" w:rsidR="002D0514" w:rsidRPr="002D0514" w:rsidRDefault="002D0514" w:rsidP="002D05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2D0514">
              <w:rPr>
                <w:rFonts w:eastAsia="Times New Roman" w:cs="Times New Roman"/>
                <w:strike/>
                <w:sz w:val="20"/>
                <w:szCs w:val="20"/>
                <w:lang w:eastAsia="lt-LT"/>
              </w:rPr>
              <w:t> </w:t>
            </w:r>
          </w:p>
        </w:tc>
      </w:tr>
    </w:tbl>
    <w:p w14:paraId="59F5D7C9" w14:textId="77777777" w:rsidR="00B4507A" w:rsidRDefault="00B4507A" w:rsidP="00B4507A">
      <w:pPr>
        <w:jc w:val="both"/>
        <w:rPr>
          <w:b/>
          <w:bCs/>
        </w:rPr>
      </w:pPr>
    </w:p>
    <w:p w14:paraId="403244DD" w14:textId="3AFA8061" w:rsidR="008435A0" w:rsidRPr="008435A0" w:rsidRDefault="008435A0" w:rsidP="00136B32">
      <w:pPr>
        <w:pStyle w:val="Sraopastraipa"/>
        <w:numPr>
          <w:ilvl w:val="0"/>
          <w:numId w:val="1"/>
        </w:numPr>
        <w:jc w:val="both"/>
      </w:pPr>
      <w:r w:rsidRPr="008435A0">
        <w:t>Papildyti Molėtų rajono savivaldybės strateginio veiklos plano 2023-2025 metams 04. Dalyvavimo demokratijos, bendruomeniškumo skatinimo, gyventojų sveikatinimo ir jų saugumo užtikrinimo program</w:t>
      </w:r>
      <w:r>
        <w:t xml:space="preserve">os </w:t>
      </w:r>
      <w:r w:rsidRPr="008435A0">
        <w:t>1.2.2.</w:t>
      </w:r>
      <w:r>
        <w:t xml:space="preserve"> uždavinį</w:t>
      </w:r>
      <w:r w:rsidRPr="008435A0">
        <w:t xml:space="preserve"> </w:t>
      </w:r>
      <w:r>
        <w:t>„</w:t>
      </w:r>
      <w:r w:rsidRPr="008435A0">
        <w:t>Padidinti asmens sveikatos priežiūros paslaugų kokybę ir prieinamumą“</w:t>
      </w:r>
      <w:r>
        <w:t xml:space="preserve"> </w:t>
      </w:r>
      <w:r w:rsidRPr="008435A0">
        <w:t>04.1.2.2.6</w:t>
      </w:r>
      <w:r>
        <w:t xml:space="preserve"> </w:t>
      </w:r>
      <w:r w:rsidRPr="008435A0">
        <w:t>priemone „Sveikatos centro sudėtyje teikiamų sveikatos priežiūros paslaugų  infrastruktūros modernizavimas“</w:t>
      </w:r>
      <w:r>
        <w:t xml:space="preserve"> ir </w:t>
      </w:r>
      <w:r w:rsidRPr="008435A0">
        <w:t>04.1.2.2.7</w:t>
      </w:r>
      <w:r>
        <w:t xml:space="preserve"> priemone „</w:t>
      </w:r>
      <w:r w:rsidRPr="008435A0">
        <w:t>Mobilios komandos aprūpinimas Molėtų rajone</w:t>
      </w:r>
      <w:r>
        <w:t>“.</w:t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428"/>
        <w:gridCol w:w="1016"/>
        <w:gridCol w:w="2915"/>
        <w:gridCol w:w="734"/>
        <w:gridCol w:w="955"/>
        <w:gridCol w:w="885"/>
        <w:gridCol w:w="666"/>
        <w:gridCol w:w="6"/>
        <w:gridCol w:w="1835"/>
        <w:gridCol w:w="567"/>
        <w:gridCol w:w="567"/>
        <w:gridCol w:w="567"/>
        <w:gridCol w:w="709"/>
        <w:gridCol w:w="1599"/>
        <w:gridCol w:w="1425"/>
      </w:tblGrid>
      <w:tr w:rsidR="00AD667A" w:rsidRPr="00AD667A" w14:paraId="3456D24B" w14:textId="77777777" w:rsidTr="002A1A2A">
        <w:trPr>
          <w:trHeight w:val="270"/>
        </w:trPr>
        <w:tc>
          <w:tcPr>
            <w:tcW w:w="14874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hideMark/>
          </w:tcPr>
          <w:p w14:paraId="07DFEB69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bookmarkStart w:id="5" w:name="_Hlk151552920"/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1.2.2. UŽDAVINYS. Padidinti asmens sveikatos priežiūros paslaugų kokybę ir prieinamumą</w:t>
            </w:r>
          </w:p>
        </w:tc>
      </w:tr>
      <w:bookmarkEnd w:id="5"/>
      <w:tr w:rsidR="00AD667A" w:rsidRPr="00AD667A" w14:paraId="3C0CCA2F" w14:textId="77777777" w:rsidTr="002A1A2A">
        <w:trPr>
          <w:trHeight w:val="51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01CE551A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6F5B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04.1.2.2.1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3D6A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Reabilitacinių paslaugų plėtra VšĮ Molėtų ligoninėje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4798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48EB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40,0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29C7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78EF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A20CC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Atliktų darbų procentas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FFE3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6FC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BD45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DEB4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I.2.1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92E62AC" w14:textId="77777777" w:rsidR="00AD667A" w:rsidRPr="00AD667A" w:rsidRDefault="00AD667A" w:rsidP="00AD66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M. </w:t>
            </w:r>
            <w:proofErr w:type="spellStart"/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Bareikytė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8C6509" w14:textId="77777777" w:rsidR="00AD667A" w:rsidRPr="00AD667A" w:rsidRDefault="00AD667A" w:rsidP="00AD66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Savivaldybės gydytojas</w:t>
            </w:r>
          </w:p>
        </w:tc>
      </w:tr>
      <w:tr w:rsidR="00AD667A" w:rsidRPr="00AD667A" w14:paraId="7F9B271D" w14:textId="77777777" w:rsidTr="002A1A2A">
        <w:trPr>
          <w:trHeight w:val="289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51B54497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34B1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04.1.2.2.2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329FD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Psichikos dienos stacionaro įkūrimas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B7E3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4560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150,0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3968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3A33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79443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Įkurtas psichikos  dienos stacionaras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FB118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9CEFE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C7FC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BCA2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DB3B2A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9897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AD667A" w14:paraId="0AE05E34" w14:textId="77777777" w:rsidTr="002A1A2A">
        <w:trPr>
          <w:trHeight w:val="289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7E388D0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2B5F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AFA9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9932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F2DA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4705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8300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7E53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2280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5501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CC4D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5DA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425B3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1D90B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AD667A" w14:paraId="32D10A40" w14:textId="77777777" w:rsidTr="002A1A2A">
        <w:trPr>
          <w:trHeight w:val="289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5C8AB73F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DB3B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3D20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D489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526E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0474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9C59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E3BD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A899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AE61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8CF0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BAE4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67F4A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E1825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AD667A" w14:paraId="3901F17F" w14:textId="77777777" w:rsidTr="002A1A2A">
        <w:trPr>
          <w:trHeight w:val="51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188305AE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A22C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04.1.2.2.3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7A80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Sveikatos priežiūros specialistų pritraukimas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7EE8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4E3E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70B2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16,0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4424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16,0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ED00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Įdarbintų sveikatos specialistų skaičius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DD42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1905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D252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772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59ABD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E056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AD667A" w14:paraId="3E98C0F8" w14:textId="77777777" w:rsidTr="002A1A2A">
        <w:trPr>
          <w:trHeight w:val="289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1A9A6E01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E02D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04.1.2.2.4</w:t>
            </w:r>
          </w:p>
        </w:tc>
        <w:tc>
          <w:tcPr>
            <w:tcW w:w="2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E095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Ambulatorinių paslaugų plėtra VšĮ Molėtų ligoninėje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A3DA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8F00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E4AB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20,0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3CBA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185C8" w14:textId="42ECDD4E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Atnaujintas </w:t>
            </w:r>
            <w:r w:rsidR="002A1A2A"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endoskopijos</w:t>
            </w: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kabinetas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3E2C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E2C5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6FAC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C444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D5A0A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4283F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AD667A" w14:paraId="04535E60" w14:textId="77777777" w:rsidTr="002A1A2A">
        <w:trPr>
          <w:trHeight w:val="51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052FB9E5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4AD4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692D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CC19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B25F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D7CE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5E3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D7D50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Atnaujinta LOR ir skubios pagalbos skyriaus įranga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5CD3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E0BE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CDE8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4B4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C77FE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45AFC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AD667A" w14:paraId="407BFB8E" w14:textId="77777777" w:rsidTr="00F848E6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hideMark/>
          </w:tcPr>
          <w:p w14:paraId="0D5840C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B2BE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sz w:val="20"/>
                <w:szCs w:val="20"/>
                <w:lang w:eastAsia="lt-LT"/>
              </w:rPr>
              <w:t>04.1.2.2.5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C917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Metų sveikatos darbuotojo pagerbimas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3552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6CF2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57CF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562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1,8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9C141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Įteiktas apdovanojimas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9F19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5CAC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FD1D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1814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I.6.3</w:t>
            </w: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9893E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2B810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AD667A" w14:paraId="07612C90" w14:textId="77777777" w:rsidTr="00F848E6">
        <w:trPr>
          <w:trHeight w:val="81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6F6E43D6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4CFE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04.1.2.2.6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ADFA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bookmarkStart w:id="6" w:name="_Hlk151551824"/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Sveikatos centro sudėtyje teikiamų sveikatos priežiūros paslaugų  infrastruktūros modernizavimas</w:t>
            </w:r>
            <w:bookmarkEnd w:id="6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137A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3058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59814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400,0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17B3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558,0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FF19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Modernizuota sveikatos priežiūros paslaugų infrastruktūra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5073" w14:textId="46B88DB3" w:rsidR="00AD667A" w:rsidRPr="009C6091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C60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  <w:r w:rsidR="009C60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3AF9" w14:textId="655D48A3" w:rsidR="00AD667A" w:rsidRPr="009C6091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C60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  <w:r w:rsidR="009C60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2B36" w14:textId="3AC9A8CB" w:rsidR="00AD667A" w:rsidRPr="009C6091" w:rsidRDefault="009C6091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9EC4" w14:textId="77777777" w:rsidR="00AD667A" w:rsidRPr="009C6091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9C6091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I.2.1</w:t>
            </w: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BB179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45AEF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AD667A" w14:paraId="74FB6113" w14:textId="77777777" w:rsidTr="00F848E6">
        <w:trPr>
          <w:trHeight w:val="58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35F74A75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428B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04.1.2.2.7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B8BF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bookmarkStart w:id="7" w:name="_Hlk151551842"/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Mobilios komandos aprūpinimas Molėtų rajone</w:t>
            </w:r>
            <w:bookmarkEnd w:id="7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D40BF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ES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8C32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42577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74,0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3520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8DFDE" w14:textId="3BBC9481" w:rsidR="00AD667A" w:rsidRPr="00136B32" w:rsidRDefault="002A1A2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Aprūpinta</w:t>
            </w:r>
            <w:r w:rsidR="00AD667A"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 xml:space="preserve"> mobili komanda reikiama įranga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4049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BF515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E1D3" w14:textId="77777777" w:rsidR="00AD667A" w:rsidRPr="00136B32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136B32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222A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BC614F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EE172A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AD667A" w:rsidRPr="00AD667A" w14:paraId="3FE0AEAA" w14:textId="77777777" w:rsidTr="002A1A2A">
        <w:trPr>
          <w:trHeight w:val="27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hideMark/>
          </w:tcPr>
          <w:p w14:paraId="6AC8064B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hideMark/>
          </w:tcPr>
          <w:p w14:paraId="16A656C5" w14:textId="77777777" w:rsidR="00AD667A" w:rsidRPr="00AD667A" w:rsidRDefault="00AD667A" w:rsidP="00AD667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Iš viso uždaviniui: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hideMark/>
          </w:tcPr>
          <w:p w14:paraId="065B9039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207,8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hideMark/>
          </w:tcPr>
          <w:p w14:paraId="01B88738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511,8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hideMark/>
          </w:tcPr>
          <w:p w14:paraId="1F281EC7" w14:textId="77777777" w:rsidR="00AD667A" w:rsidRPr="00AD667A" w:rsidRDefault="00AD667A" w:rsidP="00AD667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b/>
                <w:bCs/>
                <w:sz w:val="20"/>
                <w:szCs w:val="20"/>
                <w:lang w:eastAsia="lt-LT"/>
              </w:rPr>
              <w:t>575,8</w:t>
            </w:r>
          </w:p>
        </w:tc>
        <w:tc>
          <w:tcPr>
            <w:tcW w:w="726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hideMark/>
          </w:tcPr>
          <w:p w14:paraId="61316AF2" w14:textId="77777777" w:rsidR="00AD667A" w:rsidRPr="00AD667A" w:rsidRDefault="00AD667A" w:rsidP="00AD66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D667A">
              <w:rPr>
                <w:rFonts w:eastAsia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</w:tbl>
    <w:p w14:paraId="78AF85DF" w14:textId="77777777" w:rsidR="00175470" w:rsidRDefault="00175470" w:rsidP="00175470"/>
    <w:sectPr w:rsidR="00175470" w:rsidSect="00136B32">
      <w:pgSz w:w="16838" w:h="11906" w:orient="landscape"/>
      <w:pgMar w:top="566" w:right="96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17D04"/>
    <w:multiLevelType w:val="hybridMultilevel"/>
    <w:tmpl w:val="DCBCD9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1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9BC"/>
    <w:rsid w:val="000029BC"/>
    <w:rsid w:val="00017F6E"/>
    <w:rsid w:val="00080591"/>
    <w:rsid w:val="00136B32"/>
    <w:rsid w:val="00175470"/>
    <w:rsid w:val="001F39A7"/>
    <w:rsid w:val="002A1A2A"/>
    <w:rsid w:val="002B32AB"/>
    <w:rsid w:val="002D0514"/>
    <w:rsid w:val="00303DEA"/>
    <w:rsid w:val="00355A3F"/>
    <w:rsid w:val="003814B0"/>
    <w:rsid w:val="003B757F"/>
    <w:rsid w:val="00414267"/>
    <w:rsid w:val="00441458"/>
    <w:rsid w:val="00453E38"/>
    <w:rsid w:val="00531E02"/>
    <w:rsid w:val="005370F4"/>
    <w:rsid w:val="00565C9A"/>
    <w:rsid w:val="006E1A1B"/>
    <w:rsid w:val="00835B4C"/>
    <w:rsid w:val="008435A0"/>
    <w:rsid w:val="00856B4A"/>
    <w:rsid w:val="008A763D"/>
    <w:rsid w:val="00900FC0"/>
    <w:rsid w:val="00925F60"/>
    <w:rsid w:val="009C6091"/>
    <w:rsid w:val="00A45373"/>
    <w:rsid w:val="00A6157E"/>
    <w:rsid w:val="00A80790"/>
    <w:rsid w:val="00AD667A"/>
    <w:rsid w:val="00B4507A"/>
    <w:rsid w:val="00B65CB8"/>
    <w:rsid w:val="00C2643B"/>
    <w:rsid w:val="00CE4762"/>
    <w:rsid w:val="00D20EF7"/>
    <w:rsid w:val="00ED22BC"/>
    <w:rsid w:val="00F24AEF"/>
    <w:rsid w:val="00F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34BF"/>
  <w15:docId w15:val="{44427AF2-49B4-4779-87B8-36AD2F23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3E38"/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5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56B4A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56B4A"/>
    <w:rPr>
      <w:color w:val="954F72"/>
      <w:u w:val="single"/>
    </w:rPr>
  </w:style>
  <w:style w:type="paragraph" w:customStyle="1" w:styleId="msonormal0">
    <w:name w:val="msonormal"/>
    <w:basedOn w:val="prastasis"/>
    <w:rsid w:val="00856B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2633">
    <w:name w:val="xl2633"/>
    <w:basedOn w:val="prastasis"/>
    <w:rsid w:val="00856B4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4">
    <w:name w:val="xl2634"/>
    <w:basedOn w:val="prastasis"/>
    <w:rsid w:val="00856B4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5">
    <w:name w:val="xl2635"/>
    <w:basedOn w:val="prastasis"/>
    <w:rsid w:val="00856B4A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6">
    <w:name w:val="xl2636"/>
    <w:basedOn w:val="prastasis"/>
    <w:rsid w:val="00856B4A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7">
    <w:name w:val="xl2637"/>
    <w:basedOn w:val="prastasis"/>
    <w:rsid w:val="00856B4A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8">
    <w:name w:val="xl2638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39">
    <w:name w:val="xl2639"/>
    <w:basedOn w:val="prastasis"/>
    <w:rsid w:val="00856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0">
    <w:name w:val="xl2640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1">
    <w:name w:val="xl2641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2">
    <w:name w:val="xl2642"/>
    <w:basedOn w:val="prastasis"/>
    <w:rsid w:val="00856B4A"/>
    <w:pPr>
      <w:pBdr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43">
    <w:name w:val="xl2643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4">
    <w:name w:val="xl2644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45">
    <w:name w:val="xl2645"/>
    <w:basedOn w:val="prastasis"/>
    <w:rsid w:val="00856B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6">
    <w:name w:val="xl2646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7">
    <w:name w:val="xl2647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48">
    <w:name w:val="xl2648"/>
    <w:basedOn w:val="prastasis"/>
    <w:rsid w:val="00856B4A"/>
    <w:pPr>
      <w:pBdr>
        <w:top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49">
    <w:name w:val="xl2649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0">
    <w:name w:val="xl2650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1">
    <w:name w:val="xl2651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2">
    <w:name w:val="xl2652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3">
    <w:name w:val="xl265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4">
    <w:name w:val="xl2654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55">
    <w:name w:val="xl2655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56">
    <w:name w:val="xl2656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57">
    <w:name w:val="xl2657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658">
    <w:name w:val="xl2658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659">
    <w:name w:val="xl2659"/>
    <w:basedOn w:val="prastasis"/>
    <w:rsid w:val="00856B4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60">
    <w:name w:val="xl2660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661">
    <w:name w:val="xl2661"/>
    <w:basedOn w:val="prastasis"/>
    <w:rsid w:val="00856B4A"/>
    <w:pPr>
      <w:pBdr>
        <w:top w:val="single" w:sz="8" w:space="0" w:color="auto"/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62">
    <w:name w:val="xl2662"/>
    <w:basedOn w:val="prastasis"/>
    <w:rsid w:val="00856B4A"/>
    <w:pPr>
      <w:pBdr>
        <w:top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63">
    <w:name w:val="xl2663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64">
    <w:name w:val="xl2664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65">
    <w:name w:val="xl2665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66">
    <w:name w:val="xl2666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67">
    <w:name w:val="xl2667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68">
    <w:name w:val="xl2668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69">
    <w:name w:val="xl2669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0">
    <w:name w:val="xl2670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71">
    <w:name w:val="xl2671"/>
    <w:basedOn w:val="prastasis"/>
    <w:rsid w:val="00856B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2">
    <w:name w:val="xl2672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73">
    <w:name w:val="xl2673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4">
    <w:name w:val="xl2674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5">
    <w:name w:val="xl2675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6">
    <w:name w:val="xl2676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677">
    <w:name w:val="xl2677"/>
    <w:basedOn w:val="prastasis"/>
    <w:rsid w:val="00856B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8">
    <w:name w:val="xl2678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79">
    <w:name w:val="xl2679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0">
    <w:name w:val="xl2680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1">
    <w:name w:val="xl2681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2">
    <w:name w:val="xl2682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3">
    <w:name w:val="xl2683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4">
    <w:name w:val="xl2684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5">
    <w:name w:val="xl2685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6">
    <w:name w:val="xl2686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7">
    <w:name w:val="xl2687"/>
    <w:basedOn w:val="prastasis"/>
    <w:rsid w:val="00856B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8">
    <w:name w:val="xl2688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89">
    <w:name w:val="xl2689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0">
    <w:name w:val="xl2690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1">
    <w:name w:val="xl2691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2">
    <w:name w:val="xl2692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3">
    <w:name w:val="xl2693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4">
    <w:name w:val="xl2694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695">
    <w:name w:val="xl2695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6">
    <w:name w:val="xl2696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7">
    <w:name w:val="xl2697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8">
    <w:name w:val="xl2698"/>
    <w:basedOn w:val="prastasis"/>
    <w:rsid w:val="00856B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699">
    <w:name w:val="xl2699"/>
    <w:basedOn w:val="prastasis"/>
    <w:rsid w:val="00856B4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0">
    <w:name w:val="xl2700"/>
    <w:basedOn w:val="prastasis"/>
    <w:rsid w:val="00856B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1">
    <w:name w:val="xl2701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2">
    <w:name w:val="xl2702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3">
    <w:name w:val="xl2703"/>
    <w:basedOn w:val="prastasis"/>
    <w:rsid w:val="00856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4">
    <w:name w:val="xl2704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5">
    <w:name w:val="xl2705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6">
    <w:name w:val="xl2706"/>
    <w:basedOn w:val="prastasis"/>
    <w:rsid w:val="00856B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7">
    <w:name w:val="xl2707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8">
    <w:name w:val="xl2708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09">
    <w:name w:val="xl2709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10">
    <w:name w:val="xl2710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1">
    <w:name w:val="xl2711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2">
    <w:name w:val="xl2712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3">
    <w:name w:val="xl271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4">
    <w:name w:val="xl2714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5">
    <w:name w:val="xl2715"/>
    <w:basedOn w:val="prastasis"/>
    <w:rsid w:val="00856B4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6">
    <w:name w:val="xl2716"/>
    <w:basedOn w:val="prastasis"/>
    <w:rsid w:val="0085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7">
    <w:name w:val="xl2717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8">
    <w:name w:val="xl2718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19">
    <w:name w:val="xl2719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20">
    <w:name w:val="xl2720"/>
    <w:basedOn w:val="prastasis"/>
    <w:rsid w:val="00856B4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21">
    <w:name w:val="xl2721"/>
    <w:basedOn w:val="prastasis"/>
    <w:rsid w:val="00856B4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2">
    <w:name w:val="xl2722"/>
    <w:basedOn w:val="prastasis"/>
    <w:rsid w:val="00856B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3">
    <w:name w:val="xl2723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4">
    <w:name w:val="xl2724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5">
    <w:name w:val="xl2725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6">
    <w:name w:val="xl2726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27">
    <w:name w:val="xl2727"/>
    <w:basedOn w:val="prastasis"/>
    <w:rsid w:val="00856B4A"/>
    <w:pPr>
      <w:shd w:val="clear" w:color="000000" w:fill="C6E0B4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28">
    <w:name w:val="xl2728"/>
    <w:basedOn w:val="prastasis"/>
    <w:rsid w:val="00856B4A"/>
    <w:pPr>
      <w:pBdr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29">
    <w:name w:val="xl2729"/>
    <w:basedOn w:val="prastasis"/>
    <w:rsid w:val="00856B4A"/>
    <w:pP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0">
    <w:name w:val="xl2730"/>
    <w:basedOn w:val="prastasis"/>
    <w:rsid w:val="00856B4A"/>
    <w:pPr>
      <w:pBdr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1">
    <w:name w:val="xl2731"/>
    <w:basedOn w:val="prastasis"/>
    <w:rsid w:val="00856B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2">
    <w:name w:val="xl2732"/>
    <w:basedOn w:val="prastasis"/>
    <w:rsid w:val="00856B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33">
    <w:name w:val="xl273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4">
    <w:name w:val="xl2734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5">
    <w:name w:val="xl2735"/>
    <w:basedOn w:val="prastasis"/>
    <w:rsid w:val="00856B4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36">
    <w:name w:val="xl2736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7">
    <w:name w:val="xl2737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8">
    <w:name w:val="xl2738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39">
    <w:name w:val="xl2739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0">
    <w:name w:val="xl2740"/>
    <w:basedOn w:val="prastasis"/>
    <w:rsid w:val="00856B4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1">
    <w:name w:val="xl2741"/>
    <w:basedOn w:val="prastasis"/>
    <w:rsid w:val="00856B4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2">
    <w:name w:val="xl2742"/>
    <w:basedOn w:val="prastasis"/>
    <w:rsid w:val="00856B4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3">
    <w:name w:val="xl274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4">
    <w:name w:val="xl2744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5">
    <w:name w:val="xl2745"/>
    <w:basedOn w:val="prastasis"/>
    <w:rsid w:val="00856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6">
    <w:name w:val="xl2746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7">
    <w:name w:val="xl2747"/>
    <w:basedOn w:val="prastasis"/>
    <w:rsid w:val="00856B4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8">
    <w:name w:val="xl2748"/>
    <w:basedOn w:val="prastasis"/>
    <w:rsid w:val="00856B4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49">
    <w:name w:val="xl2749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0">
    <w:name w:val="xl2750"/>
    <w:basedOn w:val="prastasis"/>
    <w:rsid w:val="00856B4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lt-LT"/>
    </w:rPr>
  </w:style>
  <w:style w:type="paragraph" w:customStyle="1" w:styleId="xl2751">
    <w:name w:val="xl2751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52">
    <w:name w:val="xl2752"/>
    <w:basedOn w:val="prastasis"/>
    <w:rsid w:val="00856B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53">
    <w:name w:val="xl2753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2754">
    <w:name w:val="xl2754"/>
    <w:basedOn w:val="prastasis"/>
    <w:rsid w:val="00856B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5">
    <w:name w:val="xl2755"/>
    <w:basedOn w:val="prastasis"/>
    <w:rsid w:val="0085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6">
    <w:name w:val="xl2756"/>
    <w:basedOn w:val="prastasis"/>
    <w:rsid w:val="00856B4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7">
    <w:name w:val="xl2757"/>
    <w:basedOn w:val="prastasis"/>
    <w:rsid w:val="00856B4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8">
    <w:name w:val="xl2758"/>
    <w:basedOn w:val="prastasis"/>
    <w:rsid w:val="00856B4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59">
    <w:name w:val="xl2759"/>
    <w:basedOn w:val="prastasis"/>
    <w:rsid w:val="00856B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0">
    <w:name w:val="xl2760"/>
    <w:basedOn w:val="prastasis"/>
    <w:rsid w:val="00856B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1">
    <w:name w:val="xl2761"/>
    <w:basedOn w:val="prastasis"/>
    <w:rsid w:val="00856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2">
    <w:name w:val="xl2762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3">
    <w:name w:val="xl2763"/>
    <w:basedOn w:val="prastasis"/>
    <w:rsid w:val="00856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64">
    <w:name w:val="xl2764"/>
    <w:basedOn w:val="prastasis"/>
    <w:rsid w:val="00856B4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65">
    <w:name w:val="xl2765"/>
    <w:basedOn w:val="prastasis"/>
    <w:rsid w:val="00856B4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66">
    <w:name w:val="xl2766"/>
    <w:basedOn w:val="prastasis"/>
    <w:rsid w:val="00856B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67">
    <w:name w:val="xl2767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8">
    <w:name w:val="xl2768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69">
    <w:name w:val="xl2769"/>
    <w:basedOn w:val="prastasis"/>
    <w:rsid w:val="00856B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0">
    <w:name w:val="xl2770"/>
    <w:basedOn w:val="prastasis"/>
    <w:rsid w:val="00856B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1">
    <w:name w:val="xl2771"/>
    <w:basedOn w:val="prastasis"/>
    <w:rsid w:val="00856B4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72">
    <w:name w:val="xl2772"/>
    <w:basedOn w:val="prastasis"/>
    <w:rsid w:val="00856B4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73">
    <w:name w:val="xl2773"/>
    <w:basedOn w:val="prastasis"/>
    <w:rsid w:val="00856B4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4">
    <w:name w:val="xl2774"/>
    <w:basedOn w:val="prastasis"/>
    <w:rsid w:val="00856B4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5">
    <w:name w:val="xl2775"/>
    <w:basedOn w:val="prastasis"/>
    <w:rsid w:val="00856B4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6">
    <w:name w:val="xl2776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7">
    <w:name w:val="xl2777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78">
    <w:name w:val="xl2778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79">
    <w:name w:val="xl2779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80">
    <w:name w:val="xl2780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781">
    <w:name w:val="xl2781"/>
    <w:basedOn w:val="prastasis"/>
    <w:rsid w:val="00856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782">
    <w:name w:val="xl2782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83">
    <w:name w:val="xl278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84">
    <w:name w:val="xl2784"/>
    <w:basedOn w:val="prastasis"/>
    <w:rsid w:val="00856B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2785">
    <w:name w:val="xl2785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86">
    <w:name w:val="xl2786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87">
    <w:name w:val="xl2787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788">
    <w:name w:val="xl2788"/>
    <w:basedOn w:val="prastasis"/>
    <w:rsid w:val="00856B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789">
    <w:name w:val="xl2789"/>
    <w:basedOn w:val="prastasis"/>
    <w:rsid w:val="00856B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90">
    <w:name w:val="xl2790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91">
    <w:name w:val="xl2791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92">
    <w:name w:val="xl2792"/>
    <w:basedOn w:val="prastasis"/>
    <w:rsid w:val="00856B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93">
    <w:name w:val="xl2793"/>
    <w:basedOn w:val="prastasis"/>
    <w:rsid w:val="00856B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94">
    <w:name w:val="xl2794"/>
    <w:basedOn w:val="prastasis"/>
    <w:rsid w:val="00856B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95">
    <w:name w:val="xl2795"/>
    <w:basedOn w:val="prastasis"/>
    <w:rsid w:val="003B7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0"/>
      <w:szCs w:val="20"/>
      <w:lang w:eastAsia="lt-LT"/>
    </w:rPr>
  </w:style>
  <w:style w:type="paragraph" w:customStyle="1" w:styleId="xl2796">
    <w:name w:val="xl2796"/>
    <w:basedOn w:val="prastasis"/>
    <w:rsid w:val="003B75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97">
    <w:name w:val="xl2797"/>
    <w:basedOn w:val="prastasis"/>
    <w:rsid w:val="003B75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798">
    <w:name w:val="xl2798"/>
    <w:basedOn w:val="prastasis"/>
    <w:rsid w:val="003B75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2799">
    <w:name w:val="xl2799"/>
    <w:basedOn w:val="prastasis"/>
    <w:rsid w:val="003B75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800">
    <w:name w:val="xl2800"/>
    <w:basedOn w:val="prastasis"/>
    <w:rsid w:val="003B75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2801">
    <w:name w:val="xl2801"/>
    <w:basedOn w:val="prastasis"/>
    <w:rsid w:val="003B757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5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A4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4752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Janina Leišienė</cp:lastModifiedBy>
  <cp:revision>4</cp:revision>
  <dcterms:created xsi:type="dcterms:W3CDTF">2022-10-18T13:29:00Z</dcterms:created>
  <dcterms:modified xsi:type="dcterms:W3CDTF">2023-11-22T12:43:00Z</dcterms:modified>
</cp:coreProperties>
</file>