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BDFA" w14:textId="77777777" w:rsidR="008A651D" w:rsidRDefault="008A651D" w:rsidP="008A651D">
      <w:pPr>
        <w:ind w:left="1296" w:firstLine="1296"/>
      </w:pPr>
      <w:r>
        <w:t>AIŠKINAMASIS RAŠTAS</w:t>
      </w:r>
    </w:p>
    <w:p w14:paraId="00B3ED00" w14:textId="77777777" w:rsidR="008A651D" w:rsidRDefault="008A651D" w:rsidP="008A651D"/>
    <w:p w14:paraId="1197CFED" w14:textId="6E749412" w:rsidR="008A651D" w:rsidRDefault="008A651D" w:rsidP="00156690">
      <w:pPr>
        <w:tabs>
          <w:tab w:val="left" w:pos="680"/>
          <w:tab w:val="left" w:pos="1206"/>
        </w:tabs>
        <w:spacing w:line="360" w:lineRule="auto"/>
        <w:jc w:val="center"/>
      </w:pPr>
      <w:r>
        <w:t xml:space="preserve">Dėl pavedimo </w:t>
      </w:r>
      <w:r w:rsidR="00156690">
        <w:t xml:space="preserve">Molėtų rajono </w:t>
      </w:r>
      <w:r>
        <w:t>savivaldybės kontro</w:t>
      </w:r>
      <w:r w:rsidR="00156690">
        <w:t>lės ir audito tarnybai</w:t>
      </w:r>
      <w:r>
        <w:t xml:space="preserve"> parengti išvadą</w:t>
      </w:r>
    </w:p>
    <w:p w14:paraId="0810700C" w14:textId="77777777" w:rsidR="008A651D" w:rsidRDefault="008A651D" w:rsidP="008A651D"/>
    <w:p w14:paraId="79A73D22" w14:textId="77777777" w:rsidR="008A651D" w:rsidRDefault="008A651D" w:rsidP="008A651D">
      <w:pPr>
        <w:tabs>
          <w:tab w:val="left" w:pos="720"/>
          <w:tab w:val="num" w:pos="3960"/>
        </w:tabs>
        <w:spacing w:line="360" w:lineRule="auto"/>
        <w:rPr>
          <w:b/>
          <w:lang w:val="pt-BR"/>
        </w:rPr>
      </w:pPr>
      <w:bookmarkStart w:id="0" w:name="_Hlk69286151"/>
      <w:r>
        <w:rPr>
          <w:b/>
        </w:rPr>
        <w:t>1. P</w:t>
      </w:r>
      <w:r>
        <w:rPr>
          <w:b/>
          <w:lang w:val="pt-BR"/>
        </w:rPr>
        <w:t xml:space="preserve">arengto tarybos sprendimo projekto tikslai ir uždaviniai </w:t>
      </w:r>
    </w:p>
    <w:bookmarkEnd w:id="0"/>
    <w:p w14:paraId="1FE12F76" w14:textId="3D3ABDB3" w:rsidR="00294856" w:rsidRDefault="008A651D" w:rsidP="008A651D">
      <w:pPr>
        <w:tabs>
          <w:tab w:val="left" w:pos="720"/>
          <w:tab w:val="num" w:pos="3960"/>
        </w:tabs>
        <w:spacing w:line="360" w:lineRule="auto"/>
        <w:jc w:val="both"/>
        <w:rPr>
          <w:lang w:val="pt-BR"/>
        </w:rPr>
      </w:pPr>
      <w:r>
        <w:rPr>
          <w:b/>
          <w:lang w:val="pt-BR"/>
        </w:rPr>
        <w:tab/>
      </w:r>
      <w:r w:rsidR="001C7CE7">
        <w:rPr>
          <w:b/>
          <w:lang w:val="pt-BR"/>
        </w:rPr>
        <w:t xml:space="preserve">  </w:t>
      </w:r>
      <w:r w:rsidR="001C7CE7" w:rsidRPr="001C7CE7">
        <w:rPr>
          <w:lang w:val="pt-BR"/>
        </w:rPr>
        <w:t>Lietuvos Respublikos vietos savivaldos įstatyme numatyta, kad savivaldybės taryba</w:t>
      </w:r>
      <w:r w:rsidR="005A25BB" w:rsidRPr="001C7CE7">
        <w:rPr>
          <w:lang w:val="pt-BR"/>
        </w:rPr>
        <w:t>,</w:t>
      </w:r>
      <w:r w:rsidR="005A25BB">
        <w:rPr>
          <w:lang w:val="pt-BR"/>
        </w:rPr>
        <w:t xml:space="preserve"> turėdama</w:t>
      </w:r>
      <w:r w:rsidR="00A90139">
        <w:rPr>
          <w:lang w:val="pt-BR"/>
        </w:rPr>
        <w:t xml:space="preserve"> </w:t>
      </w:r>
      <w:r w:rsidR="00CE0B50">
        <w:rPr>
          <w:lang w:val="pt-BR"/>
        </w:rPr>
        <w:t xml:space="preserve"> </w:t>
      </w:r>
      <w:bookmarkStart w:id="1" w:name="_Hlk69285662"/>
      <w:r w:rsidR="00CE0B50">
        <w:rPr>
          <w:lang w:val="pt-BR"/>
        </w:rPr>
        <w:t>Molėtų rajono k</w:t>
      </w:r>
      <w:r w:rsidR="005A25BB" w:rsidRPr="00A90139">
        <w:rPr>
          <w:lang w:val="pt-BR"/>
        </w:rPr>
        <w:t xml:space="preserve">ontrolės </w:t>
      </w:r>
      <w:r w:rsidR="00AD4E68">
        <w:rPr>
          <w:lang w:val="pt-BR"/>
        </w:rPr>
        <w:t xml:space="preserve">ir audito </w:t>
      </w:r>
      <w:r w:rsidR="005A25BB" w:rsidRPr="00A90139">
        <w:rPr>
          <w:lang w:val="pt-BR"/>
        </w:rPr>
        <w:t>tarnybos</w:t>
      </w:r>
      <w:r w:rsidR="005A25BB">
        <w:rPr>
          <w:lang w:val="pt-BR"/>
        </w:rPr>
        <w:t xml:space="preserve"> </w:t>
      </w:r>
      <w:bookmarkEnd w:id="1"/>
      <w:r w:rsidR="005A25BB">
        <w:rPr>
          <w:lang w:val="pt-BR"/>
        </w:rPr>
        <w:t xml:space="preserve">išvadą, </w:t>
      </w:r>
      <w:r w:rsidR="001C7CE7">
        <w:rPr>
          <w:lang w:val="pt-BR"/>
        </w:rPr>
        <w:t>gali primt</w:t>
      </w:r>
      <w:r w:rsidR="00636907">
        <w:rPr>
          <w:lang w:val="pt-BR"/>
        </w:rPr>
        <w:t>i sprendimus dėl paskolų ėmimo</w:t>
      </w:r>
      <w:r w:rsidR="005A25BB">
        <w:rPr>
          <w:lang w:val="pt-BR"/>
        </w:rPr>
        <w:t xml:space="preserve">, </w:t>
      </w:r>
      <w:r w:rsidR="001C7CE7">
        <w:rPr>
          <w:lang w:val="pt-BR"/>
        </w:rPr>
        <w:t>laikantis įstatymu nustatytų skolinimosi limitų</w:t>
      </w:r>
      <w:r w:rsidR="005A25BB">
        <w:rPr>
          <w:lang w:val="pt-BR"/>
        </w:rPr>
        <w:t>.</w:t>
      </w:r>
    </w:p>
    <w:p w14:paraId="6274940A" w14:textId="439757DC" w:rsidR="00806733" w:rsidRDefault="00636907" w:rsidP="00513CE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9C1266" w:rsidRPr="009C1266">
        <w:t>L</w:t>
      </w:r>
      <w:r w:rsidR="009C1266">
        <w:t xml:space="preserve">ietuvos </w:t>
      </w:r>
      <w:r w:rsidR="009C1266" w:rsidRPr="009C1266">
        <w:t>R</w:t>
      </w:r>
      <w:r w:rsidR="009C1266">
        <w:t>espublikos f</w:t>
      </w:r>
      <w:r w:rsidR="009C1266" w:rsidRPr="009C1266">
        <w:t>iskalinės sutarties įgyvendinimo konstitucini</w:t>
      </w:r>
      <w:r w:rsidR="009C1266">
        <w:t>ame</w:t>
      </w:r>
      <w:r w:rsidR="009C1266" w:rsidRPr="009C1266">
        <w:t xml:space="preserve"> įstatym</w:t>
      </w:r>
      <w:r w:rsidR="009C1266">
        <w:t>e ir</w:t>
      </w:r>
      <w:r w:rsidR="009C1266" w:rsidRPr="009C1266">
        <w:t xml:space="preserve"> </w:t>
      </w:r>
      <w:r>
        <w:t>20</w:t>
      </w:r>
      <w:r w:rsidR="008457A2">
        <w:t>2</w:t>
      </w:r>
      <w:r w:rsidR="001010A1">
        <w:t>3</w:t>
      </w:r>
      <w:r w:rsidR="008A651D">
        <w:t xml:space="preserve"> m. valstybės biudžeto ir savivaldybių biudžetų finansinių rodiklių patvirtinimo įstatyme</w:t>
      </w:r>
      <w:r w:rsidR="00AD4E68">
        <w:t xml:space="preserve"> (toliau – įstatymas)</w:t>
      </w:r>
      <w:r w:rsidR="008A651D">
        <w:t xml:space="preserve"> yra </w:t>
      </w:r>
      <w:r w:rsidR="00513CE4">
        <w:t>nustatyta</w:t>
      </w:r>
      <w:r w:rsidR="00806733">
        <w:t>:</w:t>
      </w:r>
    </w:p>
    <w:p w14:paraId="1CE68588" w14:textId="701DC062" w:rsidR="001D2786" w:rsidRDefault="00806733" w:rsidP="00513CE4">
      <w:pPr>
        <w:tabs>
          <w:tab w:val="left" w:pos="680"/>
          <w:tab w:val="left" w:pos="1206"/>
        </w:tabs>
        <w:spacing w:line="360" w:lineRule="auto"/>
        <w:jc w:val="both"/>
      </w:pPr>
      <w:r>
        <w:tab/>
        <w:t>1. K</w:t>
      </w:r>
      <w:r w:rsidR="00513CE4">
        <w:t xml:space="preserve">ad </w:t>
      </w:r>
      <w:r w:rsidR="001D2786">
        <w:t xml:space="preserve"> </w:t>
      </w:r>
      <w:r w:rsidR="00513CE4">
        <w:t>savivaldybės skola negali</w:t>
      </w:r>
      <w:r w:rsidR="001D2786">
        <w:t xml:space="preserve"> </w:t>
      </w:r>
      <w:r w:rsidR="00513CE4">
        <w:t xml:space="preserve">viršyti 60 procentų šio įstatymo </w:t>
      </w:r>
      <w:r w:rsidR="00822BDB">
        <w:t>5</w:t>
      </w:r>
      <w:r w:rsidR="00513CE4">
        <w:t xml:space="preserve"> priede nurodytų </w:t>
      </w:r>
      <w:r w:rsidR="001010A1" w:rsidRPr="001010A1">
        <w:t>prognozuojamų savivaldybės biudžeto pajamų iš gyventojų pajamų mokesčio ir 2022 metų savivaldybės biudžeto gautų pajamų, išskyrus pajamas iš gyventojų pajamų mokesčio ir valstybės biudžeto dotacijas, sumos</w:t>
      </w:r>
      <w:r w:rsidR="008C08AC">
        <w:t>;</w:t>
      </w:r>
    </w:p>
    <w:p w14:paraId="529D66B5" w14:textId="406A5EF2" w:rsidR="00007CE4" w:rsidRPr="00513CE4" w:rsidRDefault="00EB603E" w:rsidP="00513CE4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513CE4">
        <w:t>20</w:t>
      </w:r>
      <w:r w:rsidR="008457A2">
        <w:t>2</w:t>
      </w:r>
      <w:r w:rsidR="00864927">
        <w:t>3</w:t>
      </w:r>
      <w:r w:rsidR="00513CE4">
        <w:t xml:space="preserve"> m. savivaldybės </w:t>
      </w:r>
      <w:r w:rsidR="008C08AC">
        <w:t xml:space="preserve">prognozuojamų ir gautų pajamų </w:t>
      </w:r>
      <w:r w:rsidR="00513CE4">
        <w:t>duomenys (tūkst. Eur) pateikiami lentelėje:</w:t>
      </w:r>
      <w:r w:rsidR="004D34C6">
        <w:tab/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3260"/>
      </w:tblGrid>
      <w:tr w:rsidR="00864927" w:rsidRPr="00864927" w14:paraId="03B3BDA0" w14:textId="77777777" w:rsidTr="00864927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DD2E" w14:textId="77777777" w:rsidR="00864927" w:rsidRPr="00864927" w:rsidRDefault="00864927" w:rsidP="00864927">
            <w:pPr>
              <w:jc w:val="both"/>
            </w:pPr>
            <w:r w:rsidRPr="00864927">
              <w:t>Eil. Nr.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DA4B" w14:textId="77777777" w:rsidR="00864927" w:rsidRPr="00864927" w:rsidRDefault="00864927" w:rsidP="00864927">
            <w:pPr>
              <w:jc w:val="center"/>
            </w:pPr>
            <w:r w:rsidRPr="00864927">
              <w:t>Rodikliai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4C03" w14:textId="77777777" w:rsidR="00864927" w:rsidRPr="00864927" w:rsidRDefault="00864927" w:rsidP="00864927">
            <w:pPr>
              <w:jc w:val="center"/>
            </w:pPr>
            <w:r w:rsidRPr="00864927">
              <w:t>2023 m.</w:t>
            </w:r>
          </w:p>
        </w:tc>
      </w:tr>
      <w:tr w:rsidR="00864927" w:rsidRPr="00864927" w14:paraId="7686F7B8" w14:textId="77777777" w:rsidTr="00864927">
        <w:trPr>
          <w:trHeight w:val="129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4EE3" w14:textId="77777777" w:rsidR="00864927" w:rsidRPr="00864927" w:rsidRDefault="00864927" w:rsidP="00864927">
            <w:pPr>
              <w:jc w:val="both"/>
            </w:pPr>
            <w:r w:rsidRPr="00864927"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10F1" w14:textId="1DDE0EE2" w:rsidR="00864927" w:rsidRPr="00864927" w:rsidRDefault="00864927" w:rsidP="00864927">
            <w:pPr>
              <w:jc w:val="both"/>
            </w:pPr>
            <w:r w:rsidRPr="00864927">
              <w:t>2023 m. savivaldybės biudžeto prognozuojamų pajamų iš gyventojų pajamų mokesčio ir 2022 metų savivaldybės biudžeto gautų pajamų, išskyrus pajamas iš gyventojų pajamų mokesčio ir valstybės biudžeto dotacijas, suma (toliau- prognozuojamų ir gautų pajamų suma):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A30D" w14:textId="77777777" w:rsidR="00864927" w:rsidRPr="00864927" w:rsidRDefault="00864927" w:rsidP="00864927">
            <w:pPr>
              <w:jc w:val="center"/>
            </w:pPr>
            <w:r w:rsidRPr="00864927">
              <w:t>17521,4</w:t>
            </w:r>
          </w:p>
        </w:tc>
      </w:tr>
      <w:tr w:rsidR="00864927" w:rsidRPr="00864927" w14:paraId="59B83B1C" w14:textId="77777777" w:rsidTr="00864927">
        <w:trPr>
          <w:trHeight w:val="6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516B" w14:textId="77777777" w:rsidR="00864927" w:rsidRPr="00864927" w:rsidRDefault="00864927" w:rsidP="00864927">
            <w:pPr>
              <w:jc w:val="both"/>
            </w:pPr>
            <w:r w:rsidRPr="00864927">
              <w:t>1.1.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4E35" w14:textId="77777777" w:rsidR="00864927" w:rsidRPr="00864927" w:rsidRDefault="00864927" w:rsidP="00864927">
            <w:pPr>
              <w:jc w:val="both"/>
            </w:pPr>
            <w:r w:rsidRPr="00864927">
              <w:t xml:space="preserve">2023 m. savivaldybės biudžeto prognozuojamos pajamos iš gyventojų pajamų mokesčio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F4D60" w14:textId="77777777" w:rsidR="00864927" w:rsidRPr="00864927" w:rsidRDefault="00864927" w:rsidP="00864927">
            <w:pPr>
              <w:jc w:val="center"/>
            </w:pPr>
            <w:r w:rsidRPr="00864927">
              <w:t>15826</w:t>
            </w:r>
          </w:p>
        </w:tc>
      </w:tr>
      <w:tr w:rsidR="00864927" w:rsidRPr="00864927" w14:paraId="14F15CAC" w14:textId="77777777" w:rsidTr="00864927">
        <w:trPr>
          <w:trHeight w:val="7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75D8" w14:textId="77777777" w:rsidR="00864927" w:rsidRPr="00864927" w:rsidRDefault="00864927" w:rsidP="00864927">
            <w:pPr>
              <w:jc w:val="both"/>
            </w:pPr>
            <w:r w:rsidRPr="00864927">
              <w:t>1.2.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59CAF" w14:textId="00FF005A" w:rsidR="00864927" w:rsidRPr="00864927" w:rsidRDefault="00864927" w:rsidP="00864927">
            <w:pPr>
              <w:jc w:val="both"/>
            </w:pPr>
            <w:r w:rsidRPr="00864927">
              <w:t>2022 metų savivaldybės biudžeto gautų pajamų, išskyrus pajamas iš gyventojų pajamų mokesčio ir valstybės biudžeto dotacijas, suma, iš jų: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CEC6" w14:textId="77777777" w:rsidR="00864927" w:rsidRPr="00864927" w:rsidRDefault="00864927" w:rsidP="00864927">
            <w:pPr>
              <w:jc w:val="center"/>
            </w:pPr>
            <w:r w:rsidRPr="00864927">
              <w:t>1695,4</w:t>
            </w:r>
          </w:p>
        </w:tc>
      </w:tr>
      <w:tr w:rsidR="00864927" w:rsidRPr="00864927" w14:paraId="77F695F4" w14:textId="77777777" w:rsidTr="00864927">
        <w:trPr>
          <w:trHeight w:val="4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E4B1" w14:textId="77777777" w:rsidR="00864927" w:rsidRPr="00864927" w:rsidRDefault="00864927" w:rsidP="00864927">
            <w:pPr>
              <w:jc w:val="both"/>
            </w:pPr>
            <w:r w:rsidRPr="00864927">
              <w:t>1.2.1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023C" w14:textId="45D04898" w:rsidR="00864927" w:rsidRPr="00864927" w:rsidRDefault="00864927" w:rsidP="00864927">
            <w:pPr>
              <w:rPr>
                <w:color w:val="000000"/>
              </w:rPr>
            </w:pPr>
            <w:r w:rsidRPr="00864927">
              <w:rPr>
                <w:color w:val="000000"/>
              </w:rPr>
              <w:t>pajamos iš mokesčių, gaunamos į savivaldybių biudžetus pagal įstatymus ir kitus teisės aktus;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8B0E1" w14:textId="77777777" w:rsidR="00864927" w:rsidRPr="00864927" w:rsidRDefault="00864927" w:rsidP="00864927">
            <w:pPr>
              <w:jc w:val="center"/>
            </w:pPr>
            <w:r w:rsidRPr="00864927">
              <w:t>609,6</w:t>
            </w:r>
          </w:p>
        </w:tc>
      </w:tr>
      <w:tr w:rsidR="00864927" w:rsidRPr="00864927" w14:paraId="02A84CAE" w14:textId="77777777" w:rsidTr="0086492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B943" w14:textId="77777777" w:rsidR="00864927" w:rsidRPr="00864927" w:rsidRDefault="00864927" w:rsidP="00864927">
            <w:pPr>
              <w:jc w:val="both"/>
            </w:pPr>
            <w:r w:rsidRPr="00864927">
              <w:t>1.2.2.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107D" w14:textId="77777777" w:rsidR="00864927" w:rsidRPr="00864927" w:rsidRDefault="00864927" w:rsidP="00864927">
            <w:pPr>
              <w:rPr>
                <w:color w:val="000000"/>
              </w:rPr>
            </w:pPr>
            <w:r w:rsidRPr="00864927">
              <w:rPr>
                <w:color w:val="000000"/>
              </w:rPr>
              <w:t>pajamos iš savivaldybių turto;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5A64" w14:textId="77777777" w:rsidR="00864927" w:rsidRPr="00864927" w:rsidRDefault="00864927" w:rsidP="00864927">
            <w:pPr>
              <w:jc w:val="center"/>
            </w:pPr>
            <w:r w:rsidRPr="00864927">
              <w:t>130,7</w:t>
            </w:r>
          </w:p>
        </w:tc>
      </w:tr>
      <w:tr w:rsidR="00864927" w:rsidRPr="00864927" w14:paraId="4A7ED1C7" w14:textId="77777777" w:rsidTr="0086492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51FB" w14:textId="77777777" w:rsidR="00864927" w:rsidRPr="00864927" w:rsidRDefault="00864927" w:rsidP="00864927">
            <w:pPr>
              <w:jc w:val="both"/>
            </w:pPr>
            <w:r w:rsidRPr="00864927">
              <w:t>1.2.3.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D3F3" w14:textId="77777777" w:rsidR="00864927" w:rsidRPr="00864927" w:rsidRDefault="00864927" w:rsidP="00864927">
            <w:pPr>
              <w:rPr>
                <w:color w:val="000000"/>
              </w:rPr>
            </w:pPr>
            <w:r w:rsidRPr="00864927">
              <w:rPr>
                <w:color w:val="000000"/>
              </w:rPr>
              <w:t>savivaldybių biudžetinių įstaigų pajamos;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E098" w14:textId="77777777" w:rsidR="00864927" w:rsidRPr="00864927" w:rsidRDefault="00864927" w:rsidP="00864927">
            <w:pPr>
              <w:jc w:val="center"/>
            </w:pPr>
            <w:r w:rsidRPr="00864927">
              <w:t>634,1</w:t>
            </w:r>
          </w:p>
        </w:tc>
      </w:tr>
      <w:tr w:rsidR="00864927" w:rsidRPr="00864927" w14:paraId="46641AD9" w14:textId="77777777" w:rsidTr="00864927">
        <w:trPr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9FB9" w14:textId="77777777" w:rsidR="00864927" w:rsidRPr="00864927" w:rsidRDefault="00864927" w:rsidP="00864927">
            <w:pPr>
              <w:jc w:val="both"/>
            </w:pPr>
            <w:r w:rsidRPr="00864927">
              <w:t>1.2.4.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73A4" w14:textId="51BD2994" w:rsidR="00864927" w:rsidRPr="00864927" w:rsidRDefault="00864927" w:rsidP="00864927">
            <w:pPr>
              <w:rPr>
                <w:color w:val="000000"/>
              </w:rPr>
            </w:pPr>
            <w:r w:rsidRPr="00864927">
              <w:rPr>
                <w:color w:val="000000"/>
              </w:rPr>
              <w:t>pajamos, gautos už išnuomotą arba suteiktą naudotis valstybinę žemę, valstybinio vidaus vandenų fondo vandens telkinius ir įstatymų nustatyta tvarka paskirsčius lėšas už parduotus valstybinės žemės sklypus;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F4918" w14:textId="77777777" w:rsidR="00864927" w:rsidRPr="00864927" w:rsidRDefault="00864927" w:rsidP="00864927">
            <w:pPr>
              <w:jc w:val="center"/>
            </w:pPr>
            <w:r w:rsidRPr="00864927">
              <w:t>130,4</w:t>
            </w:r>
          </w:p>
        </w:tc>
      </w:tr>
      <w:tr w:rsidR="00864927" w:rsidRPr="00864927" w14:paraId="2A70D2A6" w14:textId="77777777" w:rsidTr="00864927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DDDD" w14:textId="77777777" w:rsidR="00864927" w:rsidRPr="00864927" w:rsidRDefault="00864927" w:rsidP="00864927">
            <w:pPr>
              <w:jc w:val="both"/>
            </w:pPr>
            <w:r w:rsidRPr="00864927">
              <w:t>1.2.5.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1165" w14:textId="77777777" w:rsidR="00864927" w:rsidRPr="00864927" w:rsidRDefault="00864927" w:rsidP="00864927">
            <w:pPr>
              <w:rPr>
                <w:color w:val="000000"/>
              </w:rPr>
            </w:pPr>
            <w:r w:rsidRPr="00864927">
              <w:rPr>
                <w:color w:val="000000"/>
              </w:rPr>
              <w:t>įmokos už ilgalaikio materialiojo ir nematerialiojo turto realizavimą.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A2CAD" w14:textId="77777777" w:rsidR="00864927" w:rsidRPr="00864927" w:rsidRDefault="00864927" w:rsidP="00864927">
            <w:pPr>
              <w:jc w:val="center"/>
            </w:pPr>
            <w:r w:rsidRPr="00864927">
              <w:t>190,6</w:t>
            </w:r>
          </w:p>
        </w:tc>
      </w:tr>
    </w:tbl>
    <w:p w14:paraId="7EAC7D75" w14:textId="70E84046" w:rsidR="009C1266" w:rsidRDefault="00AF5C32" w:rsidP="0000714E">
      <w:pPr>
        <w:tabs>
          <w:tab w:val="left" w:pos="1021"/>
          <w:tab w:val="left" w:pos="1077"/>
        </w:tabs>
        <w:spacing w:line="360" w:lineRule="auto"/>
        <w:ind w:firstLine="720"/>
        <w:jc w:val="both"/>
      </w:pPr>
      <w:r w:rsidRPr="00AF5C32">
        <w:t xml:space="preserve">          </w:t>
      </w:r>
    </w:p>
    <w:p w14:paraId="18F69F70" w14:textId="019814A6" w:rsidR="008C08AC" w:rsidRDefault="008C08AC" w:rsidP="008C08AC">
      <w:pPr>
        <w:tabs>
          <w:tab w:val="left" w:pos="1021"/>
          <w:tab w:val="left" w:pos="1077"/>
        </w:tabs>
        <w:spacing w:line="360" w:lineRule="auto"/>
        <w:jc w:val="both"/>
      </w:pPr>
      <w:r>
        <w:tab/>
        <w:t>2023 m. savivaldybės skolinimosi limitai ir skola procentais pateikiama lentelėje: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6"/>
        <w:gridCol w:w="6160"/>
        <w:gridCol w:w="1116"/>
        <w:gridCol w:w="1776"/>
      </w:tblGrid>
      <w:tr w:rsidR="009C1266" w:rsidRPr="009C1266" w14:paraId="561A8E52" w14:textId="77777777" w:rsidTr="009C1266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D906" w14:textId="5EB11E74" w:rsidR="009C1266" w:rsidRPr="009C1266" w:rsidRDefault="008C08AC" w:rsidP="009C1266">
            <w:pPr>
              <w:jc w:val="both"/>
            </w:pPr>
            <w:r>
              <w:lastRenderedPageBreak/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959F" w14:textId="77777777" w:rsidR="009C1266" w:rsidRPr="009C1266" w:rsidRDefault="009C1266" w:rsidP="009C1266">
            <w:pPr>
              <w:jc w:val="both"/>
            </w:pPr>
            <w:r w:rsidRPr="009C1266">
              <w:t>2023 metų finansinių rodiklių patvirtinimo įstatymo 13 straipsnyje nustatyti savivaldybių skolinimosi limitai: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03CF" w14:textId="77777777" w:rsidR="008C08AC" w:rsidRDefault="009C1266" w:rsidP="009C1266">
            <w:pPr>
              <w:jc w:val="center"/>
            </w:pPr>
            <w:r w:rsidRPr="009C1266">
              <w:t xml:space="preserve">Limitas </w:t>
            </w:r>
            <w:r w:rsidRPr="009C1266">
              <w:br/>
              <w:t xml:space="preserve">2023 m. </w:t>
            </w:r>
          </w:p>
          <w:p w14:paraId="3E0DB174" w14:textId="0B14CA99" w:rsidR="009C1266" w:rsidRPr="009C1266" w:rsidRDefault="008C08AC" w:rsidP="009C1266">
            <w:pPr>
              <w:jc w:val="center"/>
            </w:pPr>
            <w:r>
              <w:t xml:space="preserve"> 60 proc.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8DED" w14:textId="77777777" w:rsidR="009C1266" w:rsidRPr="009C1266" w:rsidRDefault="009C1266" w:rsidP="009C1266">
            <w:pPr>
              <w:jc w:val="center"/>
            </w:pPr>
            <w:r w:rsidRPr="009C1266">
              <w:t>Savivaldybės skola</w:t>
            </w:r>
          </w:p>
        </w:tc>
      </w:tr>
      <w:tr w:rsidR="009C1266" w:rsidRPr="009C1266" w14:paraId="1C01E2F4" w14:textId="77777777" w:rsidTr="009C126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B5BB" w14:textId="77777777" w:rsidR="009C1266" w:rsidRPr="009C1266" w:rsidRDefault="009C1266" w:rsidP="009C126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2ADE2" w14:textId="77777777" w:rsidR="009C1266" w:rsidRPr="009C1266" w:rsidRDefault="009C1266" w:rsidP="009C126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A6F7" w14:textId="77777777" w:rsidR="009C1266" w:rsidRPr="009C1266" w:rsidRDefault="009C1266" w:rsidP="009C126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5933" w14:textId="77777777" w:rsidR="009C1266" w:rsidRPr="009C1266" w:rsidRDefault="009C1266" w:rsidP="009C1266">
            <w:pPr>
              <w:jc w:val="center"/>
            </w:pPr>
            <w:r w:rsidRPr="009C1266">
              <w:t>2022-12-31</w:t>
            </w:r>
          </w:p>
        </w:tc>
      </w:tr>
      <w:tr w:rsidR="009C1266" w:rsidRPr="009C1266" w14:paraId="03E0DEF1" w14:textId="77777777" w:rsidTr="009C126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7400" w14:textId="731D49B6" w:rsidR="009C1266" w:rsidRPr="009C1266" w:rsidRDefault="008C08AC" w:rsidP="009C1266">
            <w:pPr>
              <w:jc w:val="both"/>
            </w:pPr>
            <w:r>
              <w:t>1</w:t>
            </w:r>
            <w:r w:rsidR="009C1266" w:rsidRPr="009C1266">
              <w:t>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D0CE" w14:textId="77777777" w:rsidR="009C1266" w:rsidRPr="009C1266" w:rsidRDefault="009C1266" w:rsidP="009C1266">
            <w:pPr>
              <w:jc w:val="both"/>
            </w:pPr>
            <w:r w:rsidRPr="009C1266">
              <w:t>savivaldybės skola negali viršyti 60 proc. prognozuojamų ir gautų  pajamų sumos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6081" w14:textId="77777777" w:rsidR="009C1266" w:rsidRPr="009C1266" w:rsidRDefault="009C1266" w:rsidP="009C1266">
            <w:pPr>
              <w:jc w:val="right"/>
            </w:pPr>
            <w:r w:rsidRPr="009C1266">
              <w:t>10512,84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FD66" w14:textId="77777777" w:rsidR="009C1266" w:rsidRPr="009C1266" w:rsidRDefault="009C1266" w:rsidP="009C1266">
            <w:pPr>
              <w:jc w:val="right"/>
            </w:pPr>
            <w:r w:rsidRPr="009C1266">
              <w:t>4070,5</w:t>
            </w:r>
          </w:p>
        </w:tc>
      </w:tr>
      <w:tr w:rsidR="009C1266" w:rsidRPr="009C1266" w14:paraId="44695425" w14:textId="77777777" w:rsidTr="009C126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6F75" w14:textId="68DFB31B" w:rsidR="009C1266" w:rsidRPr="009C1266" w:rsidRDefault="008C08AC" w:rsidP="009C1266">
            <w:pPr>
              <w:jc w:val="both"/>
            </w:pPr>
            <w:r>
              <w:t>1</w:t>
            </w:r>
            <w:r w:rsidR="009C1266" w:rsidRPr="009C1266">
              <w:t>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C646" w14:textId="77777777" w:rsidR="009C1266" w:rsidRPr="009C1266" w:rsidRDefault="009C1266" w:rsidP="009C1266">
            <w:pPr>
              <w:jc w:val="both"/>
            </w:pPr>
            <w:r w:rsidRPr="009C1266">
              <w:t>Savivaldybės skola procentais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656B" w14:textId="77777777" w:rsidR="009C1266" w:rsidRPr="009C1266" w:rsidRDefault="009C1266" w:rsidP="009C1266">
            <w:pPr>
              <w:jc w:val="right"/>
            </w:pPr>
            <w:r w:rsidRPr="009C126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6242" w14:textId="77777777" w:rsidR="009C1266" w:rsidRPr="009C1266" w:rsidRDefault="009C1266" w:rsidP="009C1266">
            <w:pPr>
              <w:jc w:val="right"/>
            </w:pPr>
            <w:r w:rsidRPr="009C1266">
              <w:t>23,23</w:t>
            </w:r>
          </w:p>
        </w:tc>
      </w:tr>
    </w:tbl>
    <w:p w14:paraId="3535A9CD" w14:textId="20127202" w:rsidR="0000714E" w:rsidRDefault="00AF5C32" w:rsidP="0000714E">
      <w:pPr>
        <w:tabs>
          <w:tab w:val="left" w:pos="1021"/>
          <w:tab w:val="left" w:pos="1077"/>
        </w:tabs>
        <w:spacing w:line="360" w:lineRule="auto"/>
        <w:ind w:firstLine="720"/>
        <w:jc w:val="both"/>
      </w:pPr>
      <w:r w:rsidRPr="00AF5C32">
        <w:t xml:space="preserve"> </w:t>
      </w:r>
    </w:p>
    <w:p w14:paraId="644403B1" w14:textId="0C9A4D04" w:rsidR="0000714E" w:rsidRDefault="00C95F79" w:rsidP="0000714E">
      <w:pPr>
        <w:tabs>
          <w:tab w:val="left" w:pos="1021"/>
          <w:tab w:val="left" w:pos="1077"/>
        </w:tabs>
        <w:spacing w:line="360" w:lineRule="auto"/>
        <w:ind w:firstLine="720"/>
        <w:jc w:val="both"/>
        <w:rPr>
          <w:rFonts w:eastAsia="Calibri"/>
        </w:rPr>
      </w:pPr>
      <w:bookmarkStart w:id="2" w:name="_Hlk69286608"/>
      <w:r>
        <w:t xml:space="preserve"> </w:t>
      </w:r>
      <w:r w:rsidR="0000714E">
        <w:t>2.</w:t>
      </w:r>
      <w:r w:rsidR="0000714E">
        <w:tab/>
      </w:r>
      <w:r w:rsidR="0000714E">
        <w:rPr>
          <w:color w:val="000000"/>
        </w:rPr>
        <w:t>Savivaldybės biudžetas planuojamas, tvirtinamas, keičiamas ir vykdomas vadovaujantis Fiskalinės sutarties įgyvendinimo konstitucinio įstatymo 4 straipsnio 4 dalies nuostatomis, metinio grynojo skolinimosi suma negali viršyti 1,5 procento biudžeto pajamų dėl 202</w:t>
      </w:r>
      <w:r w:rsidR="009C1266">
        <w:rPr>
          <w:color w:val="000000"/>
        </w:rPr>
        <w:t>3</w:t>
      </w:r>
      <w:r w:rsidR="0000714E">
        <w:rPr>
          <w:color w:val="000000"/>
        </w:rPr>
        <w:t xml:space="preserve"> metams prognozuojamo neigiamo produkcijos atotrūkio nuo potencialo</w:t>
      </w:r>
      <w:r w:rsidR="00B60D1D">
        <w:rPr>
          <w:color w:val="000000"/>
        </w:rPr>
        <w:t>. Skaičiavimas pateikiamas lentelėje: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6822"/>
        <w:gridCol w:w="1281"/>
        <w:gridCol w:w="852"/>
      </w:tblGrid>
      <w:tr w:rsidR="00864927" w:rsidRPr="00864927" w14:paraId="2CD263A5" w14:textId="77777777" w:rsidTr="0086492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p w14:paraId="04748299" w14:textId="77777777" w:rsidR="00864927" w:rsidRPr="00864927" w:rsidRDefault="00864927" w:rsidP="00864927">
            <w:pPr>
              <w:jc w:val="both"/>
            </w:pPr>
            <w:r w:rsidRPr="00864927">
              <w:t>Eil. Nr.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E9AD" w14:textId="77777777" w:rsidR="00864927" w:rsidRPr="00864927" w:rsidRDefault="00864927" w:rsidP="00864927">
            <w:pPr>
              <w:jc w:val="center"/>
            </w:pPr>
            <w:r w:rsidRPr="00864927">
              <w:t>Rodikliai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3DE5" w14:textId="77777777" w:rsidR="00864927" w:rsidRPr="00864927" w:rsidRDefault="00864927" w:rsidP="00864927">
            <w:pPr>
              <w:jc w:val="center"/>
            </w:pPr>
            <w:r w:rsidRPr="00864927">
              <w:t>2023 m. duomenys</w:t>
            </w:r>
          </w:p>
        </w:tc>
      </w:tr>
      <w:tr w:rsidR="00864927" w:rsidRPr="00864927" w14:paraId="264D50D6" w14:textId="77777777" w:rsidTr="00864927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81A4" w14:textId="77777777" w:rsidR="00864927" w:rsidRPr="00864927" w:rsidRDefault="00864927" w:rsidP="00864927">
            <w:pPr>
              <w:jc w:val="center"/>
            </w:pPr>
            <w:r w:rsidRPr="00864927">
              <w:t xml:space="preserve">1.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3C1A" w14:textId="000B2845" w:rsidR="00864927" w:rsidRPr="00864927" w:rsidRDefault="00864927" w:rsidP="00864927">
            <w:r w:rsidRPr="00864927">
              <w:t xml:space="preserve">Vadovaujantis </w:t>
            </w:r>
            <w:r w:rsidR="00A53F17">
              <w:t xml:space="preserve">LR </w:t>
            </w:r>
            <w:r w:rsidRPr="00864927">
              <w:t xml:space="preserve">Fiskalinės sutarties įgyvendinimo konstitucinio įstatymo 4 straipsnio 4 dalies nuostatomis, metinio grynojo skolinimosi suma negali viršyti 1,5 procento biudžeto pajamų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B53E" w14:textId="77777777" w:rsidR="00864927" w:rsidRPr="00864927" w:rsidRDefault="00864927" w:rsidP="00864927">
            <w:pPr>
              <w:jc w:val="center"/>
            </w:pPr>
            <w:r w:rsidRPr="00864927">
              <w:t>2023 m. pajamos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F8D7" w14:textId="77777777" w:rsidR="00864927" w:rsidRPr="00864927" w:rsidRDefault="00864927" w:rsidP="00864927">
            <w:pPr>
              <w:jc w:val="center"/>
            </w:pPr>
            <w:r w:rsidRPr="00864927">
              <w:t xml:space="preserve">1,5 proc. </w:t>
            </w:r>
          </w:p>
        </w:tc>
      </w:tr>
      <w:tr w:rsidR="00864927" w:rsidRPr="00864927" w14:paraId="233888E1" w14:textId="77777777" w:rsidTr="00864927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22D79D" w14:textId="77777777" w:rsidR="00864927" w:rsidRPr="00864927" w:rsidRDefault="00864927" w:rsidP="00864927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692E0" w14:textId="77777777" w:rsidR="00864927" w:rsidRPr="00864927" w:rsidRDefault="00864927" w:rsidP="00864927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8A7E" w14:textId="77777777" w:rsidR="00864927" w:rsidRPr="00864927" w:rsidRDefault="00864927" w:rsidP="00864927">
            <w:pPr>
              <w:jc w:val="right"/>
            </w:pPr>
            <w:r w:rsidRPr="00864927">
              <w:t>29939,6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EC00" w14:textId="77777777" w:rsidR="00864927" w:rsidRPr="00864927" w:rsidRDefault="00864927" w:rsidP="00864927">
            <w:pPr>
              <w:jc w:val="right"/>
            </w:pPr>
            <w:r w:rsidRPr="00864927">
              <w:t>449,1</w:t>
            </w:r>
          </w:p>
        </w:tc>
      </w:tr>
    </w:tbl>
    <w:p w14:paraId="6A48E07C" w14:textId="4E547320" w:rsidR="00513CE4" w:rsidRDefault="00513CE4" w:rsidP="00227623">
      <w:pPr>
        <w:spacing w:line="360" w:lineRule="auto"/>
        <w:jc w:val="both"/>
      </w:pPr>
    </w:p>
    <w:p w14:paraId="0E103AAA" w14:textId="0377E6D5" w:rsidR="002F421B" w:rsidRDefault="008873B4" w:rsidP="008873B4">
      <w:pPr>
        <w:spacing w:line="360" w:lineRule="auto"/>
        <w:jc w:val="both"/>
        <w:rPr>
          <w:rFonts w:eastAsia="Calibri"/>
        </w:rPr>
      </w:pPr>
      <w:r>
        <w:rPr>
          <w:bCs/>
        </w:rPr>
        <w:t xml:space="preserve">           </w:t>
      </w:r>
      <w:bookmarkStart w:id="3" w:name="_Hlk69286950"/>
      <w:r w:rsidR="0049586F">
        <w:rPr>
          <w:bCs/>
        </w:rPr>
        <w:t>Planuojama pasiskolinti 4</w:t>
      </w:r>
      <w:r w:rsidR="00864927">
        <w:rPr>
          <w:bCs/>
        </w:rPr>
        <w:t>5</w:t>
      </w:r>
      <w:r w:rsidR="0049586F">
        <w:rPr>
          <w:bCs/>
        </w:rPr>
        <w:t>0</w:t>
      </w:r>
      <w:r w:rsidRPr="00512A2B">
        <w:rPr>
          <w:bCs/>
        </w:rPr>
        <w:t xml:space="preserve"> tūkst. Eur </w:t>
      </w:r>
      <w:r w:rsidRPr="00512A2B">
        <w:t xml:space="preserve">paskola </w:t>
      </w:r>
      <w:r w:rsidR="00512A2B" w:rsidRPr="00512A2B">
        <w:t>bus skiriama</w:t>
      </w:r>
      <w:r w:rsidRPr="00512A2B">
        <w:t xml:space="preserve"> </w:t>
      </w:r>
      <w:bookmarkEnd w:id="3"/>
      <w:r w:rsidR="002F421B" w:rsidRPr="002F421B">
        <w:rPr>
          <w:rFonts w:eastAsia="Calibri"/>
        </w:rPr>
        <w:t>savivaldybės įgyvendinamiems projektams, numatytiems 202</w:t>
      </w:r>
      <w:r w:rsidR="002F421B">
        <w:rPr>
          <w:rFonts w:eastAsia="Calibri"/>
        </w:rPr>
        <w:t>3</w:t>
      </w:r>
      <w:r w:rsidR="002F421B" w:rsidRPr="002F421B">
        <w:rPr>
          <w:rFonts w:eastAsia="Calibri"/>
        </w:rPr>
        <w:t xml:space="preserve"> m. strateginiame veiklos plane</w:t>
      </w:r>
      <w:r w:rsidR="002F421B">
        <w:rPr>
          <w:rFonts w:eastAsia="Calibri"/>
        </w:rPr>
        <w:t xml:space="preserve">, pirmiausia paskolos dalį skiriant iš Europos Sąjungos finansinės paramos finansuojamiems projektams. </w:t>
      </w:r>
    </w:p>
    <w:p w14:paraId="29DF298F" w14:textId="70620509" w:rsidR="008C08AC" w:rsidRDefault="008C08AC" w:rsidP="008873B4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      Pateikiamas preliminarus iš paskolos apmokamų projektų sąrašas</w:t>
      </w:r>
      <w:r w:rsidR="00316150">
        <w:rPr>
          <w:rFonts w:eastAsia="Calibri"/>
        </w:rPr>
        <w:t xml:space="preserve"> (projektų sąrašas gali keistis, atsižvelgiant į vykdomų ES projektų finansavimo poreikį ir eiliškumą, vykdymo eigą)</w:t>
      </w:r>
      <w:r>
        <w:rPr>
          <w:rFonts w:eastAsia="Calibri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4"/>
        <w:gridCol w:w="3886"/>
        <w:gridCol w:w="750"/>
        <w:gridCol w:w="1176"/>
        <w:gridCol w:w="1563"/>
        <w:gridCol w:w="1559"/>
      </w:tblGrid>
      <w:tr w:rsidR="008C08AC" w:rsidRPr="008C08AC" w14:paraId="7D47E97E" w14:textId="77777777" w:rsidTr="008C08AC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B0CF1" w14:textId="10B16403" w:rsidR="008C08AC" w:rsidRPr="008C08AC" w:rsidRDefault="008C08AC" w:rsidP="008C08AC">
            <w:pPr>
              <w:jc w:val="center"/>
              <w:rPr>
                <w:color w:val="000000"/>
              </w:rPr>
            </w:pPr>
            <w:r w:rsidRPr="008C08AC">
              <w:rPr>
                <w:color w:val="000000"/>
              </w:rPr>
              <w:t>Eil.</w:t>
            </w:r>
            <w:r w:rsidRPr="008C08AC">
              <w:rPr>
                <w:color w:val="000000"/>
              </w:rPr>
              <w:br/>
              <w:t xml:space="preserve">Nr. 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C62AD" w14:textId="77777777" w:rsidR="008C08AC" w:rsidRPr="008C08AC" w:rsidRDefault="008C08AC" w:rsidP="008C08AC">
            <w:pPr>
              <w:jc w:val="center"/>
              <w:rPr>
                <w:color w:val="000000"/>
              </w:rPr>
            </w:pPr>
            <w:r w:rsidRPr="008C08AC">
              <w:rPr>
                <w:color w:val="000000"/>
              </w:rPr>
              <w:t xml:space="preserve">2023 m. pradedamų vykdyti ES ir </w:t>
            </w:r>
            <w:r w:rsidRPr="008C08AC">
              <w:rPr>
                <w:color w:val="000000"/>
              </w:rPr>
              <w:br/>
              <w:t>investicinių projektų pavadinimai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5A9E" w14:textId="77777777" w:rsidR="008C08AC" w:rsidRPr="008C08AC" w:rsidRDefault="008C08AC" w:rsidP="008C08AC">
            <w:pPr>
              <w:jc w:val="center"/>
              <w:rPr>
                <w:color w:val="000000"/>
              </w:rPr>
            </w:pPr>
            <w:r w:rsidRPr="008C08AC">
              <w:rPr>
                <w:color w:val="000000"/>
              </w:rPr>
              <w:t>Prog-</w:t>
            </w:r>
            <w:r w:rsidRPr="008C08AC">
              <w:rPr>
                <w:color w:val="000000"/>
              </w:rPr>
              <w:br/>
              <w:t>rama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B3C16" w14:textId="77777777" w:rsidR="008C08AC" w:rsidRPr="008C08AC" w:rsidRDefault="008C08AC" w:rsidP="008C08AC">
            <w:pPr>
              <w:jc w:val="center"/>
              <w:rPr>
                <w:color w:val="000000"/>
              </w:rPr>
            </w:pPr>
            <w:r w:rsidRPr="008C08AC">
              <w:rPr>
                <w:color w:val="000000"/>
              </w:rPr>
              <w:t>Priemonė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CE5EB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>Preliminarus paskolos lėšų poreikis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D3E9D" w14:textId="77777777" w:rsidR="008C08AC" w:rsidRPr="008C08AC" w:rsidRDefault="008C08AC" w:rsidP="008C08AC">
            <w:pPr>
              <w:jc w:val="center"/>
              <w:rPr>
                <w:color w:val="000000"/>
              </w:rPr>
            </w:pPr>
            <w:r w:rsidRPr="008C08AC">
              <w:rPr>
                <w:color w:val="000000"/>
              </w:rPr>
              <w:t>Pastabos</w:t>
            </w:r>
          </w:p>
        </w:tc>
      </w:tr>
      <w:tr w:rsidR="008C08AC" w:rsidRPr="008C08AC" w14:paraId="2CA5E4BD" w14:textId="77777777" w:rsidTr="008C08AC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58C85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>1.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CACFE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>Gatvių apšvietimo infrastruktūros modernizavimas (Molėtų rajono apšvietimo tinklų ir šviestuvų atnaujinimas)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594F2" w14:textId="77777777" w:rsidR="008C08AC" w:rsidRPr="008C08AC" w:rsidRDefault="008C08AC" w:rsidP="008C08AC">
            <w:pPr>
              <w:jc w:val="right"/>
              <w:rPr>
                <w:color w:val="000000"/>
              </w:rPr>
            </w:pPr>
            <w:r w:rsidRPr="008C08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FC760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>03.3.1.3.2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0A84E" w14:textId="77777777" w:rsidR="008C08AC" w:rsidRPr="008C08AC" w:rsidRDefault="008C08AC" w:rsidP="008C08AC">
            <w:pPr>
              <w:jc w:val="right"/>
              <w:rPr>
                <w:color w:val="000000"/>
              </w:rPr>
            </w:pPr>
            <w:r w:rsidRPr="008C08AC">
              <w:rPr>
                <w:color w:val="000000"/>
              </w:rPr>
              <w:t>214,4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5B10C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>ES projektas</w:t>
            </w:r>
          </w:p>
        </w:tc>
      </w:tr>
      <w:tr w:rsidR="008C08AC" w:rsidRPr="008C08AC" w14:paraId="67487F6E" w14:textId="77777777" w:rsidTr="008C08AC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4F628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>2.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45205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>Molėtų rajono Čiulėnų seniūnijos melioracijos statinių rekonstrukcija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B5C77" w14:textId="77777777" w:rsidR="008C08AC" w:rsidRPr="008C08AC" w:rsidRDefault="008C08AC" w:rsidP="008C08AC">
            <w:pPr>
              <w:jc w:val="right"/>
              <w:rPr>
                <w:color w:val="000000"/>
              </w:rPr>
            </w:pPr>
            <w:r w:rsidRPr="008C08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7021F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>01.2.1.3.7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91E47" w14:textId="77777777" w:rsidR="008C08AC" w:rsidRPr="008C08AC" w:rsidRDefault="008C08AC" w:rsidP="008C08AC">
            <w:pPr>
              <w:jc w:val="right"/>
              <w:rPr>
                <w:color w:val="000000"/>
              </w:rPr>
            </w:pPr>
            <w:r w:rsidRPr="008C08AC">
              <w:rPr>
                <w:color w:val="000000"/>
              </w:rPr>
              <w:t>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5A6B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>ES projektas</w:t>
            </w:r>
          </w:p>
        </w:tc>
      </w:tr>
      <w:tr w:rsidR="008C08AC" w:rsidRPr="008C08AC" w14:paraId="768C9B57" w14:textId="77777777" w:rsidTr="008C08AC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D8084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>3.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834D3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 xml:space="preserve">Fotovoltinių elektrinių įrengimas prie savivaldybės viešųjų pastatų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F5993" w14:textId="77777777" w:rsidR="008C08AC" w:rsidRPr="008C08AC" w:rsidRDefault="008C08AC" w:rsidP="008C08AC">
            <w:pPr>
              <w:jc w:val="right"/>
              <w:rPr>
                <w:color w:val="000000"/>
              </w:rPr>
            </w:pPr>
            <w:r w:rsidRPr="008C08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C047D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>03.2.1.2.1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51012" w14:textId="77777777" w:rsidR="008C08AC" w:rsidRPr="008C08AC" w:rsidRDefault="008C08AC" w:rsidP="008C08AC">
            <w:pPr>
              <w:jc w:val="right"/>
              <w:rPr>
                <w:color w:val="000000"/>
              </w:rPr>
            </w:pPr>
            <w:r w:rsidRPr="008C08AC">
              <w:rPr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5089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>Investicijos</w:t>
            </w:r>
          </w:p>
        </w:tc>
      </w:tr>
      <w:tr w:rsidR="008C08AC" w:rsidRPr="008C08AC" w14:paraId="502E0B72" w14:textId="77777777" w:rsidTr="008C08A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05750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>4.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25188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>Administracinio pastato, esančio Vilniaus g. 44 Molėtuose atnaujinimas (modernizavimas)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B476" w14:textId="77777777" w:rsidR="008C08AC" w:rsidRPr="008C08AC" w:rsidRDefault="008C08AC" w:rsidP="008C08AC">
            <w:pPr>
              <w:jc w:val="right"/>
              <w:rPr>
                <w:color w:val="000000"/>
              </w:rPr>
            </w:pPr>
            <w:r w:rsidRPr="008C08AC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DD57A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>03.3.1.3.1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39585" w14:textId="77777777" w:rsidR="008C08AC" w:rsidRPr="008C08AC" w:rsidRDefault="008C08AC" w:rsidP="008C08AC">
            <w:pPr>
              <w:jc w:val="right"/>
              <w:rPr>
                <w:color w:val="000000"/>
              </w:rPr>
            </w:pPr>
            <w:r w:rsidRPr="008C08AC">
              <w:rPr>
                <w:color w:val="00000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BDC46" w14:textId="77777777" w:rsidR="008C08AC" w:rsidRPr="008C08AC" w:rsidRDefault="008C08AC" w:rsidP="008C08AC">
            <w:pPr>
              <w:rPr>
                <w:color w:val="000000"/>
              </w:rPr>
            </w:pPr>
            <w:r w:rsidRPr="008C08AC">
              <w:rPr>
                <w:color w:val="000000"/>
              </w:rPr>
              <w:t>Investicijos</w:t>
            </w:r>
          </w:p>
        </w:tc>
      </w:tr>
      <w:tr w:rsidR="008C08AC" w:rsidRPr="008C08AC" w14:paraId="6C373B20" w14:textId="77777777" w:rsidTr="008C08AC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0017" w14:textId="77777777" w:rsidR="008C08AC" w:rsidRPr="008C08AC" w:rsidRDefault="008C08AC" w:rsidP="008C08AC">
            <w:pPr>
              <w:jc w:val="center"/>
              <w:rPr>
                <w:b/>
                <w:bCs/>
              </w:rPr>
            </w:pPr>
            <w:r w:rsidRPr="008C08AC">
              <w:rPr>
                <w:b/>
                <w:bCs/>
              </w:rPr>
              <w:t xml:space="preserve">Iš viso: 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2682" w14:textId="77777777" w:rsidR="008C08AC" w:rsidRPr="008C08AC" w:rsidRDefault="008C08AC" w:rsidP="008C08AC">
            <w:pPr>
              <w:jc w:val="right"/>
              <w:rPr>
                <w:b/>
                <w:bCs/>
              </w:rPr>
            </w:pPr>
            <w:r w:rsidRPr="008C08AC">
              <w:rPr>
                <w:b/>
                <w:bCs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0CE4" w14:textId="77777777" w:rsidR="008C08AC" w:rsidRPr="008C08AC" w:rsidRDefault="008C08AC" w:rsidP="008C08AC">
            <w:pPr>
              <w:rPr>
                <w:b/>
                <w:bCs/>
              </w:rPr>
            </w:pPr>
            <w:r w:rsidRPr="008C08AC">
              <w:rPr>
                <w:b/>
                <w:bCs/>
              </w:rPr>
              <w:t> </w:t>
            </w:r>
          </w:p>
        </w:tc>
      </w:tr>
    </w:tbl>
    <w:p w14:paraId="105B41D8" w14:textId="77777777" w:rsidR="008C08AC" w:rsidRDefault="008C08AC" w:rsidP="00A53F17">
      <w:pPr>
        <w:spacing w:line="360" w:lineRule="auto"/>
        <w:jc w:val="both"/>
        <w:rPr>
          <w:rFonts w:eastAsia="Calibri"/>
        </w:rPr>
      </w:pPr>
    </w:p>
    <w:p w14:paraId="2F5F4831" w14:textId="0056788C" w:rsidR="00A53F17" w:rsidRDefault="00A53F17" w:rsidP="00A53F1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           Atsižvelgiant į Lietuvos Respublikos  </w:t>
      </w:r>
      <w:r w:rsidRPr="00A53F17">
        <w:rPr>
          <w:rFonts w:eastAsia="Calibri"/>
        </w:rPr>
        <w:t xml:space="preserve">Fiskalinės sutarties įgyvendinimo konstitucinio įstatymo 4 straipsnio </w:t>
      </w:r>
      <w:r>
        <w:rPr>
          <w:rFonts w:eastAsia="Calibri"/>
        </w:rPr>
        <w:t>5</w:t>
      </w:r>
      <w:r w:rsidRPr="00A53F17">
        <w:rPr>
          <w:rFonts w:eastAsia="Calibri"/>
        </w:rPr>
        <w:t xml:space="preserve"> dalies nuostat</w:t>
      </w:r>
      <w:r>
        <w:rPr>
          <w:rFonts w:eastAsia="Calibri"/>
        </w:rPr>
        <w:t xml:space="preserve">as ir vertinant savivaldybės biudžeto sudarymo lankstumo taisyklę, savivaldybė gali </w:t>
      </w:r>
      <w:r w:rsidRPr="00A53F17">
        <w:rPr>
          <w:rFonts w:eastAsia="Calibri"/>
        </w:rPr>
        <w:t xml:space="preserve">iš asignavimų atimti asignavimus, skirtus Europos Sąjungos ir kitai tarptautinei </w:t>
      </w:r>
      <w:r w:rsidRPr="00A53F17">
        <w:rPr>
          <w:rFonts w:eastAsia="Calibri"/>
        </w:rPr>
        <w:lastRenderedPageBreak/>
        <w:t>finansinei paramai bendrai finansuoti, įskaitant tinkamų finansuoti išlaidų daliai tenkantį pridėtinės vertės mokestį, išskyrus iš valstybės biudžeto gautus asignavimus, skirtus Europos Sąjungos ir kitai tarptautinei finansinei paramai bendrai finansuoti</w:t>
      </w:r>
      <w:r>
        <w:rPr>
          <w:rFonts w:eastAsia="Calibri"/>
        </w:rPr>
        <w:t xml:space="preserve">. </w:t>
      </w:r>
      <w:r w:rsidR="00CE448B">
        <w:rPr>
          <w:rFonts w:eastAsia="Calibri"/>
        </w:rPr>
        <w:t xml:space="preserve">Tokiu atveju, mažėja asignavimų viršijančių pajamas procentas </w:t>
      </w:r>
      <w:r w:rsidR="00260BCB">
        <w:rPr>
          <w:rFonts w:eastAsia="Calibri"/>
        </w:rPr>
        <w:t xml:space="preserve">(leistinas iki 1,5 proc. kai yra numatomas neigiamas produkcijos atotrūkis nuo potencialo) </w:t>
      </w:r>
      <w:r w:rsidR="00CE448B">
        <w:rPr>
          <w:rFonts w:eastAsia="Calibri"/>
        </w:rPr>
        <w:t xml:space="preserve">ir </w:t>
      </w:r>
      <w:r w:rsidR="00260BCB">
        <w:rPr>
          <w:rFonts w:eastAsia="Calibri"/>
        </w:rPr>
        <w:t>išlaikomas savivaldybės biudžeto balanso rodiklis.</w:t>
      </w:r>
    </w:p>
    <w:p w14:paraId="18D174DC" w14:textId="4E7588DC" w:rsidR="00967F0C" w:rsidRDefault="008873B4" w:rsidP="008873B4">
      <w:pPr>
        <w:spacing w:line="360" w:lineRule="auto"/>
        <w:jc w:val="both"/>
      </w:pPr>
      <w:r>
        <w:t xml:space="preserve">           </w:t>
      </w:r>
      <w:r w:rsidR="00967F0C">
        <w:t xml:space="preserve">3. Be papildomų apribojimų savivaldybė gali skolintis </w:t>
      </w:r>
      <w:r w:rsidR="001A6EB2">
        <w:t>5</w:t>
      </w:r>
      <w:r w:rsidR="00864927">
        <w:t>5</w:t>
      </w:r>
      <w:r w:rsidR="001A6EB2">
        <w:t>0</w:t>
      </w:r>
      <w:r w:rsidR="00967F0C">
        <w:t xml:space="preserve"> tūkst. Eur., nes s</w:t>
      </w:r>
      <w:r w:rsidR="00967F0C" w:rsidRPr="00AF5C32">
        <w:t>avivaldybės grąžinama paskolų suma 20</w:t>
      </w:r>
      <w:r w:rsidR="00967F0C">
        <w:t>2</w:t>
      </w:r>
      <w:r w:rsidR="00864927">
        <w:t>3</w:t>
      </w:r>
      <w:r w:rsidR="00967F0C">
        <w:t xml:space="preserve"> </w:t>
      </w:r>
      <w:r w:rsidR="00967F0C" w:rsidRPr="00AF5C32">
        <w:t xml:space="preserve">m. yra </w:t>
      </w:r>
      <w:r w:rsidR="00864927">
        <w:t>581,2</w:t>
      </w:r>
      <w:r w:rsidR="00967F0C">
        <w:t xml:space="preserve"> tūkst. Eur. </w:t>
      </w:r>
      <w:r w:rsidR="00967F0C" w:rsidRPr="00AF5C32">
        <w:t xml:space="preserve">Savivaldybė planuoja </w:t>
      </w:r>
      <w:r w:rsidR="00967F0C">
        <w:t xml:space="preserve">pasiskolinti </w:t>
      </w:r>
      <w:r w:rsidR="00864927">
        <w:t>31,2</w:t>
      </w:r>
      <w:r w:rsidR="00967F0C">
        <w:t xml:space="preserve"> </w:t>
      </w:r>
      <w:r w:rsidR="00967F0C" w:rsidRPr="00AF5C32">
        <w:t xml:space="preserve"> tūkst. eurų </w:t>
      </w:r>
      <w:r w:rsidR="00967F0C">
        <w:t>mažiau nei grąžina paskolų 202</w:t>
      </w:r>
      <w:r w:rsidR="00864927">
        <w:t>3</w:t>
      </w:r>
      <w:r w:rsidR="00967F0C">
        <w:t xml:space="preserve"> m. Tokiu būdu bus išlaikomas toks pats skolinimosi lygis, t.y. skola nedidėja, bet ir įsipareigojimai nemažėja. </w:t>
      </w:r>
    </w:p>
    <w:p w14:paraId="12A82B49" w14:textId="05CA1ED8" w:rsidR="00900F0A" w:rsidRDefault="00B60D1D" w:rsidP="00967F0C">
      <w:pPr>
        <w:spacing w:line="360" w:lineRule="auto"/>
        <w:jc w:val="both"/>
      </w:pPr>
      <w:r>
        <w:t xml:space="preserve">          </w:t>
      </w:r>
      <w:bookmarkStart w:id="4" w:name="_Hlk69286411"/>
      <w:r>
        <w:t xml:space="preserve">Savivaldybės informacija apie ilgalaikius įsipareigojimus </w:t>
      </w:r>
      <w:r w:rsidR="00900F0A">
        <w:t xml:space="preserve">ir </w:t>
      </w:r>
      <w:r w:rsidR="00900F0A" w:rsidRPr="00900F0A">
        <w:t xml:space="preserve">skolos procento perskaičiavimas, paėmus </w:t>
      </w:r>
      <w:r w:rsidR="00864927">
        <w:t>10</w:t>
      </w:r>
      <w:r w:rsidR="00900F0A" w:rsidRPr="00900F0A">
        <w:t>00 tūkst. paskolą</w:t>
      </w:r>
      <w:r>
        <w:t xml:space="preserve">  pateikiama</w:t>
      </w:r>
      <w:r w:rsidR="00900F0A">
        <w:t>s</w:t>
      </w:r>
      <w:r>
        <w:t xml:space="preserve"> lentelėje:</w:t>
      </w:r>
    </w:p>
    <w:tbl>
      <w:tblPr>
        <w:tblW w:w="934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1701"/>
      </w:tblGrid>
      <w:tr w:rsidR="009B6E02" w:rsidRPr="00864927" w14:paraId="2D7AD25D" w14:textId="77777777" w:rsidTr="009B6E02">
        <w:trPr>
          <w:trHeight w:val="325"/>
        </w:trPr>
        <w:tc>
          <w:tcPr>
            <w:tcW w:w="9346" w:type="dxa"/>
            <w:gridSpan w:val="2"/>
            <w:shd w:val="clear" w:color="auto" w:fill="auto"/>
            <w:vAlign w:val="center"/>
          </w:tcPr>
          <w:bookmarkEnd w:id="4"/>
          <w:p w14:paraId="021CFF4D" w14:textId="26D01566" w:rsidR="009B6E02" w:rsidRPr="00864927" w:rsidRDefault="009B6E02" w:rsidP="009B6E02">
            <w:r w:rsidRPr="009B6E02">
              <w:t>Savivaldybės skolos procento perskaičiavimas, paėmus 1000 tūkst. paskolą:</w:t>
            </w:r>
          </w:p>
        </w:tc>
      </w:tr>
      <w:tr w:rsidR="009B6E02" w:rsidRPr="00864927" w14:paraId="3F8A1F2E" w14:textId="77777777" w:rsidTr="00864927">
        <w:trPr>
          <w:trHeight w:val="630"/>
        </w:trPr>
        <w:tc>
          <w:tcPr>
            <w:tcW w:w="7645" w:type="dxa"/>
            <w:shd w:val="clear" w:color="auto" w:fill="auto"/>
            <w:vAlign w:val="center"/>
            <w:hideMark/>
          </w:tcPr>
          <w:p w14:paraId="7C1B01B9" w14:textId="702D6F91" w:rsidR="009B6E02" w:rsidRPr="00864927" w:rsidRDefault="009B6E02" w:rsidP="009B6E02">
            <w:r w:rsidRPr="00864927">
              <w:t>Savivaldybės skola negali viršyti 60 proc. prognozuojamų ir gautų savivaldybės biudžeto pajamų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26A4B9" w14:textId="06A6799E" w:rsidR="009B6E02" w:rsidRPr="00864927" w:rsidRDefault="009B6E02" w:rsidP="009B6E02">
            <w:pPr>
              <w:jc w:val="right"/>
            </w:pPr>
            <w:r w:rsidRPr="00864927">
              <w:t>10512,84</w:t>
            </w:r>
          </w:p>
        </w:tc>
      </w:tr>
      <w:tr w:rsidR="009B6E02" w:rsidRPr="00864927" w14:paraId="092579F1" w14:textId="77777777" w:rsidTr="00864927">
        <w:trPr>
          <w:trHeight w:val="315"/>
        </w:trPr>
        <w:tc>
          <w:tcPr>
            <w:tcW w:w="7645" w:type="dxa"/>
            <w:shd w:val="clear" w:color="auto" w:fill="auto"/>
            <w:vAlign w:val="center"/>
            <w:hideMark/>
          </w:tcPr>
          <w:p w14:paraId="5B33A2C6" w14:textId="4794E2AE" w:rsidR="009B6E02" w:rsidRPr="00864927" w:rsidRDefault="009B6E02" w:rsidP="009B6E02">
            <w:r w:rsidRPr="00864927">
              <w:t>Savivaldybės ilgalaikiai įsipareigojimai 2022-12-31</w:t>
            </w:r>
            <w:r w:rsidRPr="00864927">
              <w:br/>
              <w:t xml:space="preserve"> (FM įsakymo 1K-8 ataskaitos Nr. 10,  61 eilutė)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5BADC0" w14:textId="7DB2BD49" w:rsidR="009B6E02" w:rsidRPr="00864927" w:rsidRDefault="009B6E02" w:rsidP="009B6E02">
            <w:pPr>
              <w:jc w:val="right"/>
            </w:pPr>
            <w:r w:rsidRPr="00864927">
              <w:t>4070,5</w:t>
            </w:r>
          </w:p>
        </w:tc>
      </w:tr>
      <w:tr w:rsidR="009B6E02" w:rsidRPr="00864927" w14:paraId="2CB49B28" w14:textId="77777777" w:rsidTr="00864927">
        <w:trPr>
          <w:trHeight w:val="315"/>
        </w:trPr>
        <w:tc>
          <w:tcPr>
            <w:tcW w:w="7645" w:type="dxa"/>
            <w:shd w:val="clear" w:color="auto" w:fill="auto"/>
            <w:vAlign w:val="center"/>
            <w:hideMark/>
          </w:tcPr>
          <w:p w14:paraId="5AE42877" w14:textId="2A0F6351" w:rsidR="009B6E02" w:rsidRPr="00864927" w:rsidRDefault="009B6E02" w:rsidP="009B6E02">
            <w:r w:rsidRPr="00864927">
              <w:t>Paskola investicijoms 1,5 proc. biudžeto pajamų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22877D" w14:textId="67AE08D4" w:rsidR="009B6E02" w:rsidRPr="00864927" w:rsidRDefault="009B6E02" w:rsidP="009B6E02">
            <w:pPr>
              <w:jc w:val="right"/>
            </w:pPr>
            <w:r w:rsidRPr="00864927">
              <w:t>450</w:t>
            </w:r>
          </w:p>
        </w:tc>
      </w:tr>
      <w:tr w:rsidR="009B6E02" w:rsidRPr="00864927" w14:paraId="56998A9E" w14:textId="77777777" w:rsidTr="00864927">
        <w:trPr>
          <w:trHeight w:val="315"/>
        </w:trPr>
        <w:tc>
          <w:tcPr>
            <w:tcW w:w="7645" w:type="dxa"/>
            <w:shd w:val="clear" w:color="auto" w:fill="auto"/>
            <w:vAlign w:val="center"/>
            <w:hideMark/>
          </w:tcPr>
          <w:p w14:paraId="4F017E8F" w14:textId="7B4E2D13" w:rsidR="009B6E02" w:rsidRPr="00864927" w:rsidRDefault="009B6E02" w:rsidP="009B6E02">
            <w:r w:rsidRPr="00864927">
              <w:t xml:space="preserve">Paskola anksčiau paimtų paskolų 2023 m. daliai grąžinti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8BADDB" w14:textId="610E10BC" w:rsidR="009B6E02" w:rsidRPr="00864927" w:rsidRDefault="009B6E02" w:rsidP="009B6E02">
            <w:pPr>
              <w:jc w:val="right"/>
            </w:pPr>
            <w:r w:rsidRPr="00864927">
              <w:t>550</w:t>
            </w:r>
          </w:p>
        </w:tc>
      </w:tr>
      <w:tr w:rsidR="009B6E02" w:rsidRPr="00864927" w14:paraId="233220D2" w14:textId="77777777" w:rsidTr="009B6E02">
        <w:trPr>
          <w:trHeight w:val="257"/>
        </w:trPr>
        <w:tc>
          <w:tcPr>
            <w:tcW w:w="7645" w:type="dxa"/>
            <w:shd w:val="clear" w:color="auto" w:fill="auto"/>
            <w:vAlign w:val="center"/>
            <w:hideMark/>
          </w:tcPr>
          <w:p w14:paraId="320B23E3" w14:textId="173068E9" w:rsidR="009B6E02" w:rsidRPr="00864927" w:rsidRDefault="009B6E02" w:rsidP="009B6E02">
            <w:r w:rsidRPr="00864927">
              <w:t>2023 m. ilgalaikių paskolų grąžinama dalis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D4439A" w14:textId="1AB1D5DD" w:rsidR="009B6E02" w:rsidRPr="00864927" w:rsidRDefault="009B6E02" w:rsidP="009B6E02">
            <w:pPr>
              <w:jc w:val="right"/>
            </w:pPr>
            <w:r w:rsidRPr="00864927">
              <w:t>581,2</w:t>
            </w:r>
          </w:p>
        </w:tc>
      </w:tr>
      <w:tr w:rsidR="009B6E02" w:rsidRPr="00864927" w14:paraId="6749CBFE" w14:textId="77777777" w:rsidTr="00864927">
        <w:trPr>
          <w:trHeight w:val="267"/>
        </w:trPr>
        <w:tc>
          <w:tcPr>
            <w:tcW w:w="7645" w:type="dxa"/>
            <w:shd w:val="clear" w:color="auto" w:fill="auto"/>
            <w:vAlign w:val="center"/>
            <w:hideMark/>
          </w:tcPr>
          <w:p w14:paraId="1005682D" w14:textId="720F7C03" w:rsidR="009B6E02" w:rsidRPr="00864927" w:rsidRDefault="009B6E02" w:rsidP="009B6E02">
            <w:r w:rsidRPr="00864927">
              <w:t xml:space="preserve">Bendra įsipareigojimų pagal paskolas suma 2023 m. </w:t>
            </w:r>
            <w:r w:rsidRPr="00864927">
              <w:br/>
              <w:t>(su Daugiabučių atnaujinimo programa)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1784AD" w14:textId="6A4365B9" w:rsidR="009B6E02" w:rsidRPr="00864927" w:rsidRDefault="009B6E02" w:rsidP="009B6E02">
            <w:pPr>
              <w:jc w:val="right"/>
            </w:pPr>
            <w:r w:rsidRPr="00864927">
              <w:t>4489,3</w:t>
            </w:r>
          </w:p>
        </w:tc>
      </w:tr>
      <w:tr w:rsidR="009B6E02" w:rsidRPr="00864927" w14:paraId="5E4843A6" w14:textId="77777777" w:rsidTr="00864927">
        <w:trPr>
          <w:trHeight w:val="267"/>
        </w:trPr>
        <w:tc>
          <w:tcPr>
            <w:tcW w:w="7645" w:type="dxa"/>
            <w:shd w:val="clear" w:color="auto" w:fill="auto"/>
            <w:vAlign w:val="center"/>
          </w:tcPr>
          <w:p w14:paraId="6FBD6EAC" w14:textId="36A2495E" w:rsidR="009B6E02" w:rsidRPr="00864927" w:rsidRDefault="009B6E02" w:rsidP="009B6E02">
            <w:r w:rsidRPr="00864927">
              <w:t>Savivaldybės skola procentais po 2023 m. pasiskolinimo ir grąžinimo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BA6BB" w14:textId="0AE568DA" w:rsidR="009B6E02" w:rsidRPr="00864927" w:rsidRDefault="009B6E02" w:rsidP="009B6E02">
            <w:pPr>
              <w:jc w:val="right"/>
            </w:pPr>
            <w:r w:rsidRPr="00864927">
              <w:t>31,64</w:t>
            </w:r>
          </w:p>
        </w:tc>
      </w:tr>
    </w:tbl>
    <w:p w14:paraId="64508900" w14:textId="77777777" w:rsidR="00B60D1D" w:rsidRDefault="00B60D1D" w:rsidP="00227623">
      <w:pPr>
        <w:spacing w:line="360" w:lineRule="auto"/>
        <w:jc w:val="both"/>
      </w:pPr>
    </w:p>
    <w:p w14:paraId="0E268177" w14:textId="4AA3A3D2" w:rsidR="009B1C1F" w:rsidRDefault="009B1C1F" w:rsidP="009B1C1F">
      <w:pPr>
        <w:pStyle w:val="Sraopastraipa"/>
        <w:spacing w:after="160" w:line="360" w:lineRule="auto"/>
        <w:rPr>
          <w:b/>
          <w:bCs/>
        </w:rPr>
      </w:pPr>
      <w:bookmarkStart w:id="5" w:name="_Hlk69285811"/>
      <w:r w:rsidRPr="009B1C1F">
        <w:rPr>
          <w:b/>
          <w:bCs/>
        </w:rPr>
        <w:t>2. Siūlomos teisinio reguliavimo nuostatos:</w:t>
      </w:r>
    </w:p>
    <w:p w14:paraId="68EB600D" w14:textId="2AD1A7DF" w:rsidR="001737E7" w:rsidRPr="00D34853" w:rsidRDefault="00512A2B" w:rsidP="001737E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D34853">
        <w:t>Sprendim</w:t>
      </w:r>
      <w:r w:rsidR="00FE082A" w:rsidRPr="00D34853">
        <w:t>u teisinio reguliavimo nuostatos nėra nustatomos.</w:t>
      </w:r>
    </w:p>
    <w:p w14:paraId="63734930" w14:textId="17FFBC36" w:rsidR="009B1C1F" w:rsidRDefault="009B1C1F" w:rsidP="009B1C1F">
      <w:pPr>
        <w:pStyle w:val="Sraopastraipa"/>
        <w:spacing w:after="160" w:line="360" w:lineRule="auto"/>
        <w:rPr>
          <w:b/>
          <w:bCs/>
        </w:rPr>
      </w:pPr>
      <w:r w:rsidRPr="009B1C1F">
        <w:rPr>
          <w:b/>
          <w:bCs/>
        </w:rPr>
        <w:t>3. Laukiami rezultatai:</w:t>
      </w:r>
    </w:p>
    <w:p w14:paraId="09D15A4B" w14:textId="7FF43E23" w:rsidR="00F2309D" w:rsidRDefault="001737E7" w:rsidP="00F2309D">
      <w:pPr>
        <w:spacing w:after="160" w:line="360" w:lineRule="auto"/>
        <w:jc w:val="both"/>
      </w:pPr>
      <w:r>
        <w:t xml:space="preserve">            </w:t>
      </w:r>
      <w:r w:rsidR="009B1C1F" w:rsidRPr="009B1C1F">
        <w:t xml:space="preserve">Gavus </w:t>
      </w:r>
      <w:r w:rsidR="009B1C1F">
        <w:t>Molėtų rajono savivaldybės kontrolės ir audito tarnybos išvadą</w:t>
      </w:r>
      <w:r>
        <w:t xml:space="preserve">, bus rengiamas sprendimo projektas dėl </w:t>
      </w:r>
      <w:r w:rsidR="00F2309D">
        <w:t xml:space="preserve">ilgalaikės </w:t>
      </w:r>
      <w:r>
        <w:t>paskolos ėmimo.</w:t>
      </w:r>
      <w:r w:rsidR="008861CB">
        <w:t xml:space="preserve">    </w:t>
      </w:r>
    </w:p>
    <w:p w14:paraId="47B07695" w14:textId="2005DE6A" w:rsidR="00F2309D" w:rsidRPr="00F2309D" w:rsidRDefault="00F2309D" w:rsidP="00F2309D">
      <w:pPr>
        <w:spacing w:after="160" w:line="360" w:lineRule="auto"/>
        <w:rPr>
          <w:b/>
          <w:bCs/>
        </w:rPr>
      </w:pPr>
      <w:r>
        <w:t xml:space="preserve">            </w:t>
      </w:r>
      <w:r w:rsidRPr="00F2309D">
        <w:rPr>
          <w:b/>
          <w:bCs/>
        </w:rPr>
        <w:t>4. Lėšų poreikis ir jų šaltiniai:</w:t>
      </w:r>
    </w:p>
    <w:p w14:paraId="71533E92" w14:textId="3B53FB77" w:rsidR="008861CB" w:rsidRDefault="00F2309D" w:rsidP="005C2765">
      <w:pPr>
        <w:spacing w:line="360" w:lineRule="auto"/>
        <w:jc w:val="both"/>
      </w:pPr>
      <w:r>
        <w:t xml:space="preserve">           Siekiama imti </w:t>
      </w:r>
      <w:r w:rsidR="009B6E02">
        <w:t>10</w:t>
      </w:r>
      <w:r w:rsidR="00900F0A">
        <w:t>00</w:t>
      </w:r>
      <w:r>
        <w:t>000 eur ilgalaikę paskolą.</w:t>
      </w:r>
    </w:p>
    <w:p w14:paraId="53642CEB" w14:textId="53DD4110" w:rsidR="00B25619" w:rsidRDefault="00C60203" w:rsidP="00F2309D">
      <w:pPr>
        <w:spacing w:line="360" w:lineRule="auto"/>
        <w:jc w:val="both"/>
        <w:rPr>
          <w:b/>
          <w:bCs/>
        </w:rPr>
      </w:pPr>
      <w:r>
        <w:t xml:space="preserve">     </w:t>
      </w:r>
      <w:r w:rsidR="00F2309D">
        <w:t xml:space="preserve">    </w:t>
      </w:r>
      <w:r w:rsidR="00F2309D" w:rsidRPr="00F2309D">
        <w:rPr>
          <w:b/>
          <w:bCs/>
        </w:rPr>
        <w:t xml:space="preserve"> </w:t>
      </w:r>
      <w:r w:rsidRPr="00F2309D">
        <w:rPr>
          <w:b/>
          <w:bCs/>
        </w:rPr>
        <w:t xml:space="preserve"> </w:t>
      </w:r>
      <w:r w:rsidR="00F2309D" w:rsidRPr="00F2309D">
        <w:rPr>
          <w:b/>
          <w:bCs/>
        </w:rPr>
        <w:t xml:space="preserve">5. </w:t>
      </w:r>
      <w:r w:rsidR="00B25619" w:rsidRPr="00F2309D">
        <w:rPr>
          <w:b/>
          <w:bCs/>
        </w:rPr>
        <w:t>Kiti sprendimui priimti reikalingi pagrindimai, skaičiavimai ar paaiškinimai.</w:t>
      </w:r>
    </w:p>
    <w:p w14:paraId="6A15EF02" w14:textId="6585160C" w:rsidR="00DD50A5" w:rsidRPr="000E4570" w:rsidRDefault="00DD50A5" w:rsidP="00F2309D">
      <w:pPr>
        <w:spacing w:line="360" w:lineRule="auto"/>
        <w:jc w:val="both"/>
      </w:pPr>
      <w:r>
        <w:rPr>
          <w:b/>
          <w:bCs/>
        </w:rPr>
        <w:t xml:space="preserve">            </w:t>
      </w:r>
      <w:r w:rsidRPr="000E4570">
        <w:t xml:space="preserve">Atliktas išankstinis </w:t>
      </w:r>
      <w:r w:rsidR="000E4570">
        <w:t>(</w:t>
      </w:r>
      <w:r w:rsidR="000E4570" w:rsidRPr="000E4570">
        <w:t>ex-ante</w:t>
      </w:r>
      <w:r w:rsidR="000E4570">
        <w:t>)</w:t>
      </w:r>
      <w:r w:rsidR="000E4570" w:rsidRPr="000E4570">
        <w:t xml:space="preserve"> </w:t>
      </w:r>
      <w:r w:rsidR="000E4570">
        <w:t>savivaldybės biudžeto atitikimo fiskalinės drausmės taisykl</w:t>
      </w:r>
      <w:r w:rsidR="00677722">
        <w:t>ėms</w:t>
      </w:r>
      <w:r w:rsidR="000E4570">
        <w:t xml:space="preserve"> </w:t>
      </w:r>
      <w:r w:rsidR="000E4570" w:rsidRPr="000E4570">
        <w:t>vertinim</w:t>
      </w:r>
      <w:r w:rsidR="000E4570">
        <w:t>as pagal Valstybės kontrolės parengtą savivaldybių fiskalinės drausmės taisyklių laikymosi skaičiuoklę.</w:t>
      </w:r>
      <w:r w:rsidR="000E4570" w:rsidRPr="000E4570">
        <w:t xml:space="preserve"> </w:t>
      </w:r>
      <w:r w:rsidR="00677722">
        <w:t xml:space="preserve">Išvada: </w:t>
      </w:r>
      <w:r w:rsidR="000E4570">
        <w:t xml:space="preserve">Molėtų rajono savivaldybės biudžetas sudarytas laikantis fiskalinės drausmės taisyklių. </w:t>
      </w:r>
    </w:p>
    <w:p w14:paraId="451C2543" w14:textId="77777777" w:rsidR="00B25619" w:rsidRDefault="00B25619" w:rsidP="00B25619">
      <w:pPr>
        <w:pStyle w:val="Sraopastraipa"/>
        <w:spacing w:line="360" w:lineRule="auto"/>
      </w:pPr>
    </w:p>
    <w:bookmarkEnd w:id="5"/>
    <w:p w14:paraId="515575DF" w14:textId="77777777" w:rsidR="00B25619" w:rsidRPr="00B25619" w:rsidRDefault="00B25619" w:rsidP="00B25619"/>
    <w:sectPr w:rsidR="00B25619" w:rsidRPr="00B25619" w:rsidSect="005C2765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BB00" w14:textId="77777777" w:rsidR="000B5FBD" w:rsidRDefault="000B5FBD" w:rsidP="00A90139">
      <w:r>
        <w:separator/>
      </w:r>
    </w:p>
  </w:endnote>
  <w:endnote w:type="continuationSeparator" w:id="0">
    <w:p w14:paraId="1A988E7E" w14:textId="77777777" w:rsidR="000B5FBD" w:rsidRDefault="000B5FBD" w:rsidP="00A9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5A5F" w14:textId="77777777" w:rsidR="000B5FBD" w:rsidRDefault="000B5FBD" w:rsidP="00A90139">
      <w:r>
        <w:separator/>
      </w:r>
    </w:p>
  </w:footnote>
  <w:footnote w:type="continuationSeparator" w:id="0">
    <w:p w14:paraId="5750472E" w14:textId="77777777" w:rsidR="000B5FBD" w:rsidRDefault="000B5FBD" w:rsidP="00A90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131873"/>
      <w:docPartObj>
        <w:docPartGallery w:val="Page Numbers (Top of Page)"/>
        <w:docPartUnique/>
      </w:docPartObj>
    </w:sdtPr>
    <w:sdtEndPr/>
    <w:sdtContent>
      <w:p w14:paraId="195992CA" w14:textId="77777777" w:rsidR="00A90139" w:rsidRDefault="00A9013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0F">
          <w:rPr>
            <w:noProof/>
          </w:rPr>
          <w:t>3</w:t>
        </w:r>
        <w:r>
          <w:fldChar w:fldCharType="end"/>
        </w:r>
      </w:p>
    </w:sdtContent>
  </w:sdt>
  <w:p w14:paraId="1C610350" w14:textId="77777777" w:rsidR="00A90139" w:rsidRDefault="00A9013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A0ADA"/>
    <w:multiLevelType w:val="hybridMultilevel"/>
    <w:tmpl w:val="89BEE124"/>
    <w:lvl w:ilvl="0" w:tplc="D7628D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803303211">
    <w:abstractNumId w:val="1"/>
  </w:num>
  <w:num w:numId="2" w16cid:durableId="800850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1D"/>
    <w:rsid w:val="0000714E"/>
    <w:rsid w:val="00007CE4"/>
    <w:rsid w:val="00031C35"/>
    <w:rsid w:val="00037EF8"/>
    <w:rsid w:val="000A29C2"/>
    <w:rsid w:val="000B5FBD"/>
    <w:rsid w:val="000B6302"/>
    <w:rsid w:val="000D7BC5"/>
    <w:rsid w:val="000E4570"/>
    <w:rsid w:val="001010A1"/>
    <w:rsid w:val="00133C0C"/>
    <w:rsid w:val="00156690"/>
    <w:rsid w:val="001737E7"/>
    <w:rsid w:val="001A6EB2"/>
    <w:rsid w:val="001A778C"/>
    <w:rsid w:val="001C7CE7"/>
    <w:rsid w:val="001D2786"/>
    <w:rsid w:val="00227623"/>
    <w:rsid w:val="0026090F"/>
    <w:rsid w:val="00260BCB"/>
    <w:rsid w:val="00294856"/>
    <w:rsid w:val="002A161C"/>
    <w:rsid w:val="002F421B"/>
    <w:rsid w:val="0031122C"/>
    <w:rsid w:val="00316150"/>
    <w:rsid w:val="00367CB8"/>
    <w:rsid w:val="00382411"/>
    <w:rsid w:val="003A4E4B"/>
    <w:rsid w:val="003E6159"/>
    <w:rsid w:val="003F0D81"/>
    <w:rsid w:val="00404578"/>
    <w:rsid w:val="0042621D"/>
    <w:rsid w:val="00427C70"/>
    <w:rsid w:val="0046677C"/>
    <w:rsid w:val="00487869"/>
    <w:rsid w:val="0049586F"/>
    <w:rsid w:val="004C0399"/>
    <w:rsid w:val="004C53C4"/>
    <w:rsid w:val="004D34C6"/>
    <w:rsid w:val="004D61A1"/>
    <w:rsid w:val="00512A2B"/>
    <w:rsid w:val="00513CE4"/>
    <w:rsid w:val="005929FB"/>
    <w:rsid w:val="005A25BB"/>
    <w:rsid w:val="005C2765"/>
    <w:rsid w:val="00636907"/>
    <w:rsid w:val="00677722"/>
    <w:rsid w:val="006C79DF"/>
    <w:rsid w:val="006E1ED6"/>
    <w:rsid w:val="006F4C44"/>
    <w:rsid w:val="007075E2"/>
    <w:rsid w:val="007B1254"/>
    <w:rsid w:val="007C4741"/>
    <w:rsid w:val="00806733"/>
    <w:rsid w:val="00822BDB"/>
    <w:rsid w:val="008457A2"/>
    <w:rsid w:val="00864927"/>
    <w:rsid w:val="008861CB"/>
    <w:rsid w:val="008873B4"/>
    <w:rsid w:val="008A651D"/>
    <w:rsid w:val="008C08AC"/>
    <w:rsid w:val="00900F0A"/>
    <w:rsid w:val="00914CC6"/>
    <w:rsid w:val="0093651C"/>
    <w:rsid w:val="00967F0C"/>
    <w:rsid w:val="009A5258"/>
    <w:rsid w:val="009B1C1F"/>
    <w:rsid w:val="009B6E02"/>
    <w:rsid w:val="009C1266"/>
    <w:rsid w:val="00A03260"/>
    <w:rsid w:val="00A22669"/>
    <w:rsid w:val="00A252BE"/>
    <w:rsid w:val="00A53F17"/>
    <w:rsid w:val="00A90139"/>
    <w:rsid w:val="00AC3E00"/>
    <w:rsid w:val="00AD4E68"/>
    <w:rsid w:val="00AE33C0"/>
    <w:rsid w:val="00AF5C32"/>
    <w:rsid w:val="00B25619"/>
    <w:rsid w:val="00B503CC"/>
    <w:rsid w:val="00B60D1D"/>
    <w:rsid w:val="00B80645"/>
    <w:rsid w:val="00B95BA4"/>
    <w:rsid w:val="00C37AA9"/>
    <w:rsid w:val="00C60203"/>
    <w:rsid w:val="00C95F79"/>
    <w:rsid w:val="00CB34A8"/>
    <w:rsid w:val="00CE0B50"/>
    <w:rsid w:val="00CE448B"/>
    <w:rsid w:val="00D049CA"/>
    <w:rsid w:val="00D34853"/>
    <w:rsid w:val="00D373E5"/>
    <w:rsid w:val="00D562E4"/>
    <w:rsid w:val="00D74CF2"/>
    <w:rsid w:val="00DD50A5"/>
    <w:rsid w:val="00E40662"/>
    <w:rsid w:val="00E51DB2"/>
    <w:rsid w:val="00E773C2"/>
    <w:rsid w:val="00E80A92"/>
    <w:rsid w:val="00EB603E"/>
    <w:rsid w:val="00F03269"/>
    <w:rsid w:val="00F2309D"/>
    <w:rsid w:val="00F41B8A"/>
    <w:rsid w:val="00F608A7"/>
    <w:rsid w:val="00FA2525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3485"/>
  <w15:chartTrackingRefBased/>
  <w15:docId w15:val="{86C29F13-E497-4AA8-8C90-35A3E1F7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901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9013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D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2DAA-59C3-4D8C-B853-EC207E34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4400</Words>
  <Characters>2508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2</cp:revision>
  <dcterms:created xsi:type="dcterms:W3CDTF">2023-03-15T08:32:00Z</dcterms:created>
  <dcterms:modified xsi:type="dcterms:W3CDTF">2023-03-15T08:32:00Z</dcterms:modified>
</cp:coreProperties>
</file>