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052D" w14:textId="30624FCB" w:rsidR="0080557C" w:rsidRDefault="0080557C" w:rsidP="0080557C">
      <w:pPr>
        <w:spacing w:after="0" w:line="240" w:lineRule="auto"/>
        <w:jc w:val="center"/>
        <w:rPr>
          <w:rFonts w:ascii="Times New Roman" w:hAnsi="Times New Roman" w:cs="Times New Roman"/>
          <w:sz w:val="24"/>
          <w:szCs w:val="24"/>
        </w:rPr>
      </w:pPr>
      <w:r w:rsidRPr="00C143B3">
        <w:rPr>
          <w:rFonts w:ascii="Times New Roman" w:hAnsi="Times New Roman" w:cs="Times New Roman"/>
          <w:sz w:val="24"/>
          <w:szCs w:val="24"/>
        </w:rPr>
        <w:t>AIŠKINAMASIS RAŠTAS</w:t>
      </w:r>
    </w:p>
    <w:p w14:paraId="469BF597" w14:textId="68296956" w:rsidR="0080557C" w:rsidRDefault="0080557C" w:rsidP="0080557C">
      <w:pPr>
        <w:spacing w:after="0" w:line="240" w:lineRule="auto"/>
        <w:jc w:val="center"/>
        <w:rPr>
          <w:rFonts w:ascii="Times New Roman" w:hAnsi="Times New Roman" w:cs="Times New Roman"/>
          <w:sz w:val="24"/>
          <w:szCs w:val="24"/>
        </w:rPr>
      </w:pPr>
    </w:p>
    <w:p w14:paraId="17BAED06" w14:textId="7F0671D4" w:rsidR="0080557C" w:rsidRDefault="0080557C" w:rsidP="009859C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Dėl </w:t>
      </w:r>
      <w:r w:rsidR="00DD2F83">
        <w:rPr>
          <w:rFonts w:ascii="Times New Roman" w:hAnsi="Times New Roman" w:cs="Times New Roman"/>
          <w:sz w:val="24"/>
          <w:szCs w:val="24"/>
        </w:rPr>
        <w:t>sutikimo Molėtų r. Kijėlių specialiojo ugdymo centrui dalyvauti mokyklų, pretenduojančių tapti regioniniais specialiojo ugdymo centrais, atrankoje ir dėl įsipareigojimo atrinkus Molėtų r. Kijėlių specialiojo ugdymo centrą pertvarkyti į regioninį centrą</w:t>
      </w:r>
    </w:p>
    <w:p w14:paraId="5299DEE9" w14:textId="77777777" w:rsidR="0080557C" w:rsidRPr="00C143B3" w:rsidRDefault="0080557C" w:rsidP="0080557C">
      <w:pPr>
        <w:spacing w:after="0" w:line="240" w:lineRule="auto"/>
        <w:rPr>
          <w:rFonts w:ascii="Times New Roman" w:hAnsi="Times New Roman" w:cs="Times New Roman"/>
          <w:sz w:val="24"/>
          <w:szCs w:val="24"/>
        </w:rPr>
      </w:pPr>
    </w:p>
    <w:p w14:paraId="6CF67B40" w14:textId="77777777" w:rsidR="0080557C" w:rsidRDefault="0080557C" w:rsidP="0080557C">
      <w:pPr>
        <w:pStyle w:val="Sraopastraipa"/>
        <w:numPr>
          <w:ilvl w:val="0"/>
          <w:numId w:val="1"/>
        </w:numPr>
        <w:tabs>
          <w:tab w:val="left" w:pos="993"/>
        </w:tabs>
        <w:spacing w:after="0" w:line="360" w:lineRule="auto"/>
        <w:ind w:left="709" w:hanging="11"/>
        <w:rPr>
          <w:rFonts w:ascii="Times New Roman" w:hAnsi="Times New Roman" w:cs="Times New Roman"/>
          <w:b/>
          <w:bCs/>
          <w:sz w:val="24"/>
          <w:szCs w:val="24"/>
        </w:rPr>
      </w:pPr>
      <w:r w:rsidRPr="00622FB0">
        <w:rPr>
          <w:rFonts w:ascii="Times New Roman" w:hAnsi="Times New Roman" w:cs="Times New Roman"/>
          <w:b/>
          <w:bCs/>
          <w:sz w:val="24"/>
          <w:szCs w:val="24"/>
        </w:rPr>
        <w:t>Parengto tarybos sprendimo projekto tikslai ir uždaviniai:</w:t>
      </w:r>
    </w:p>
    <w:p w14:paraId="3508F9DE" w14:textId="7ED3CFD6" w:rsidR="007D6E92" w:rsidRPr="009859C8" w:rsidRDefault="007D6E92" w:rsidP="00D21716">
      <w:pPr>
        <w:spacing w:after="0" w:line="360" w:lineRule="auto"/>
        <w:ind w:firstLine="709"/>
        <w:jc w:val="both"/>
        <w:rPr>
          <w:rFonts w:ascii="Times New Roman" w:hAnsi="Times New Roman"/>
          <w:sz w:val="24"/>
        </w:rPr>
      </w:pPr>
      <w:r w:rsidRPr="0081010F">
        <w:rPr>
          <w:rFonts w:ascii="Times New Roman" w:hAnsi="Times New Roman"/>
          <w:sz w:val="24"/>
        </w:rPr>
        <w:t xml:space="preserve">Regioninio centro paskirtis </w:t>
      </w:r>
      <w:r>
        <w:rPr>
          <w:rFonts w:ascii="Times New Roman" w:hAnsi="Times New Roman"/>
          <w:sz w:val="24"/>
        </w:rPr>
        <w:t>–</w:t>
      </w:r>
      <w:r w:rsidRPr="0081010F">
        <w:rPr>
          <w:rFonts w:ascii="Times New Roman" w:hAnsi="Times New Roman"/>
          <w:sz w:val="24"/>
        </w:rPr>
        <w:t xml:space="preserve"> skatinti </w:t>
      </w:r>
      <w:r w:rsidR="00930294">
        <w:rPr>
          <w:rFonts w:ascii="Times New Roman" w:hAnsi="Times New Roman"/>
          <w:sz w:val="24"/>
        </w:rPr>
        <w:t>į</w:t>
      </w:r>
      <w:r w:rsidR="00930294" w:rsidRPr="0081010F">
        <w:rPr>
          <w:rFonts w:ascii="Times New Roman" w:hAnsi="Times New Roman"/>
          <w:sz w:val="24"/>
        </w:rPr>
        <w:t>traukųjį</w:t>
      </w:r>
      <w:r w:rsidRPr="0081010F">
        <w:rPr>
          <w:rFonts w:ascii="Times New Roman" w:hAnsi="Times New Roman"/>
          <w:sz w:val="24"/>
        </w:rPr>
        <w:t xml:space="preserve"> ugdym</w:t>
      </w:r>
      <w:r w:rsidRPr="0081010F">
        <w:rPr>
          <w:rFonts w:ascii="Times New Roman" w:hAnsi="Times New Roman" w:hint="eastAsia"/>
          <w:sz w:val="24"/>
        </w:rPr>
        <w:t>ą</w:t>
      </w:r>
      <w:r w:rsidRPr="0081010F">
        <w:rPr>
          <w:rFonts w:ascii="Times New Roman" w:hAnsi="Times New Roman"/>
          <w:sz w:val="24"/>
        </w:rPr>
        <w:t xml:space="preserve"> regione, konsultuoti mokytojus, švietimo pagalbos specialistus d</w:t>
      </w:r>
      <w:r w:rsidRPr="0081010F">
        <w:rPr>
          <w:rFonts w:ascii="Times New Roman" w:hAnsi="Times New Roman" w:hint="eastAsia"/>
          <w:sz w:val="24"/>
        </w:rPr>
        <w:t>ė</w:t>
      </w:r>
      <w:r w:rsidRPr="0081010F">
        <w:rPr>
          <w:rFonts w:ascii="Times New Roman" w:hAnsi="Times New Roman"/>
          <w:sz w:val="24"/>
        </w:rPr>
        <w:t>l ugdymo turinio pritaikymo, švietimo pagalbos teikimo, mokymo(si) metod</w:t>
      </w:r>
      <w:r w:rsidRPr="0081010F">
        <w:rPr>
          <w:rFonts w:ascii="Times New Roman" w:hAnsi="Times New Roman" w:hint="eastAsia"/>
          <w:sz w:val="24"/>
        </w:rPr>
        <w:t>ų</w:t>
      </w:r>
      <w:r w:rsidRPr="0081010F">
        <w:rPr>
          <w:rFonts w:ascii="Times New Roman" w:hAnsi="Times New Roman"/>
          <w:sz w:val="24"/>
        </w:rPr>
        <w:t xml:space="preserve"> ir (ar) mokymo(si) priemoni</w:t>
      </w:r>
      <w:r w:rsidRPr="0081010F">
        <w:rPr>
          <w:rFonts w:ascii="Times New Roman" w:hAnsi="Times New Roman" w:hint="eastAsia"/>
          <w:sz w:val="24"/>
        </w:rPr>
        <w:t>ų</w:t>
      </w:r>
      <w:r w:rsidRPr="0081010F">
        <w:rPr>
          <w:rFonts w:ascii="Times New Roman" w:hAnsi="Times New Roman"/>
          <w:sz w:val="24"/>
        </w:rPr>
        <w:t xml:space="preserve"> ir speciali</w:t>
      </w:r>
      <w:r w:rsidRPr="0081010F">
        <w:rPr>
          <w:rFonts w:ascii="Times New Roman" w:hAnsi="Times New Roman" w:hint="eastAsia"/>
          <w:sz w:val="24"/>
        </w:rPr>
        <w:t>ų</w:t>
      </w:r>
      <w:r w:rsidRPr="0081010F">
        <w:rPr>
          <w:rFonts w:ascii="Times New Roman" w:hAnsi="Times New Roman"/>
          <w:sz w:val="24"/>
        </w:rPr>
        <w:t>j</w:t>
      </w:r>
      <w:r w:rsidRPr="0081010F">
        <w:rPr>
          <w:rFonts w:ascii="Times New Roman" w:hAnsi="Times New Roman" w:hint="eastAsia"/>
          <w:sz w:val="24"/>
        </w:rPr>
        <w:t>ų</w:t>
      </w:r>
      <w:r w:rsidRPr="0081010F">
        <w:rPr>
          <w:rFonts w:ascii="Times New Roman" w:hAnsi="Times New Roman"/>
          <w:sz w:val="24"/>
        </w:rPr>
        <w:t xml:space="preserve"> technin</w:t>
      </w:r>
      <w:r w:rsidRPr="0081010F">
        <w:rPr>
          <w:rFonts w:ascii="Times New Roman" w:hAnsi="Times New Roman" w:hint="eastAsia"/>
          <w:sz w:val="24"/>
        </w:rPr>
        <w:t>ė</w:t>
      </w:r>
      <w:r w:rsidRPr="0081010F">
        <w:rPr>
          <w:rFonts w:ascii="Times New Roman" w:hAnsi="Times New Roman"/>
          <w:sz w:val="24"/>
        </w:rPr>
        <w:t>s pagalbos priemoni</w:t>
      </w:r>
      <w:r w:rsidRPr="0081010F">
        <w:rPr>
          <w:rFonts w:ascii="Times New Roman" w:hAnsi="Times New Roman" w:hint="eastAsia"/>
          <w:sz w:val="24"/>
        </w:rPr>
        <w:t>ų</w:t>
      </w:r>
      <w:r w:rsidRPr="0081010F">
        <w:rPr>
          <w:rFonts w:ascii="Times New Roman" w:hAnsi="Times New Roman"/>
          <w:sz w:val="24"/>
        </w:rPr>
        <w:t xml:space="preserve"> pasirinkimo ir naudojimo, pad</w:t>
      </w:r>
      <w:r w:rsidRPr="0081010F">
        <w:rPr>
          <w:rFonts w:ascii="Times New Roman" w:hAnsi="Times New Roman" w:hint="eastAsia"/>
          <w:sz w:val="24"/>
        </w:rPr>
        <w:t>ė</w:t>
      </w:r>
      <w:r w:rsidRPr="0081010F">
        <w:rPr>
          <w:rFonts w:ascii="Times New Roman" w:hAnsi="Times New Roman"/>
          <w:sz w:val="24"/>
        </w:rPr>
        <w:t>ti regiono mokykl</w:t>
      </w:r>
      <w:r w:rsidRPr="0081010F">
        <w:rPr>
          <w:rFonts w:ascii="Times New Roman" w:hAnsi="Times New Roman" w:hint="eastAsia"/>
          <w:sz w:val="24"/>
        </w:rPr>
        <w:t>ų</w:t>
      </w:r>
      <w:r w:rsidRPr="0081010F">
        <w:rPr>
          <w:rFonts w:ascii="Times New Roman" w:hAnsi="Times New Roman"/>
          <w:sz w:val="24"/>
        </w:rPr>
        <w:t xml:space="preserve"> vadovams, pedagoginiams darbuotojams stiprinti kompetencijas, skleisti </w:t>
      </w:r>
      <w:r w:rsidRPr="0081010F">
        <w:rPr>
          <w:rFonts w:ascii="Times New Roman" w:hAnsi="Times New Roman" w:hint="eastAsia"/>
          <w:sz w:val="24"/>
        </w:rPr>
        <w:t>į</w:t>
      </w:r>
      <w:r w:rsidRPr="0081010F">
        <w:rPr>
          <w:rFonts w:ascii="Times New Roman" w:hAnsi="Times New Roman"/>
          <w:sz w:val="24"/>
        </w:rPr>
        <w:t xml:space="preserve">traukiojo ugdymo inovacijas regiono mokyklose. </w:t>
      </w:r>
    </w:p>
    <w:p w14:paraId="307F3354" w14:textId="578EE480" w:rsidR="009859C8" w:rsidRDefault="0080557C" w:rsidP="00D21716">
      <w:pPr>
        <w:tabs>
          <w:tab w:val="left" w:pos="426"/>
          <w:tab w:val="left" w:pos="993"/>
        </w:tabs>
        <w:spacing w:after="0" w:line="360" w:lineRule="auto"/>
        <w:ind w:firstLine="709"/>
        <w:jc w:val="both"/>
        <w:rPr>
          <w:rFonts w:ascii="Times New Roman" w:hAnsi="Times New Roman" w:cs="Times New Roman"/>
          <w:sz w:val="24"/>
          <w:szCs w:val="24"/>
        </w:rPr>
      </w:pPr>
      <w:r w:rsidRPr="0080557C">
        <w:rPr>
          <w:rFonts w:ascii="Times New Roman" w:hAnsi="Times New Roman"/>
          <w:color w:val="000000" w:themeColor="text1"/>
          <w:sz w:val="24"/>
        </w:rPr>
        <w:t xml:space="preserve">Sprendimo tikslas </w:t>
      </w:r>
      <w:r w:rsidR="009859C8">
        <w:rPr>
          <w:rFonts w:ascii="Times New Roman" w:hAnsi="Times New Roman"/>
          <w:color w:val="000000" w:themeColor="text1"/>
          <w:sz w:val="24"/>
        </w:rPr>
        <w:t>–</w:t>
      </w:r>
      <w:r w:rsidRPr="0080557C">
        <w:rPr>
          <w:rFonts w:ascii="Times New Roman" w:hAnsi="Times New Roman"/>
          <w:color w:val="000000" w:themeColor="text1"/>
          <w:sz w:val="24"/>
        </w:rPr>
        <w:t xml:space="preserve"> </w:t>
      </w:r>
      <w:r w:rsidR="00786DF5">
        <w:rPr>
          <w:rFonts w:ascii="Times New Roman" w:hAnsi="Times New Roman"/>
          <w:color w:val="000000" w:themeColor="text1"/>
          <w:sz w:val="24"/>
        </w:rPr>
        <w:t xml:space="preserve">sprendimu patvirtinti </w:t>
      </w:r>
      <w:r w:rsidR="009859C8">
        <w:rPr>
          <w:rFonts w:ascii="Times New Roman" w:hAnsi="Times New Roman"/>
          <w:color w:val="000000" w:themeColor="text1"/>
          <w:sz w:val="24"/>
        </w:rPr>
        <w:t>su</w:t>
      </w:r>
      <w:r w:rsidR="00786DF5">
        <w:rPr>
          <w:rFonts w:ascii="Times New Roman" w:hAnsi="Times New Roman"/>
          <w:color w:val="000000" w:themeColor="text1"/>
          <w:sz w:val="24"/>
        </w:rPr>
        <w:t xml:space="preserve">tikimą, kad </w:t>
      </w:r>
      <w:r w:rsidR="009859C8">
        <w:rPr>
          <w:rFonts w:ascii="Times New Roman" w:hAnsi="Times New Roman"/>
          <w:color w:val="000000" w:themeColor="text1"/>
          <w:sz w:val="24"/>
        </w:rPr>
        <w:t xml:space="preserve">Molėtų r. </w:t>
      </w:r>
      <w:r w:rsidR="009859C8">
        <w:rPr>
          <w:rFonts w:ascii="Times New Roman" w:hAnsi="Times New Roman" w:cs="Times New Roman"/>
          <w:sz w:val="24"/>
          <w:szCs w:val="24"/>
        </w:rPr>
        <w:t>Kijėlių specialiojo ugdymo centr</w:t>
      </w:r>
      <w:r w:rsidR="00786DF5">
        <w:rPr>
          <w:rFonts w:ascii="Times New Roman" w:hAnsi="Times New Roman" w:cs="Times New Roman"/>
          <w:sz w:val="24"/>
          <w:szCs w:val="24"/>
        </w:rPr>
        <w:t>as</w:t>
      </w:r>
      <w:r w:rsidR="009859C8">
        <w:rPr>
          <w:rFonts w:ascii="Times New Roman" w:hAnsi="Times New Roman" w:cs="Times New Roman"/>
          <w:sz w:val="24"/>
          <w:szCs w:val="24"/>
        </w:rPr>
        <w:t xml:space="preserve"> dalyvau</w:t>
      </w:r>
      <w:r w:rsidR="00786DF5">
        <w:rPr>
          <w:rFonts w:ascii="Times New Roman" w:hAnsi="Times New Roman" w:cs="Times New Roman"/>
          <w:sz w:val="24"/>
          <w:szCs w:val="24"/>
        </w:rPr>
        <w:t>tų</w:t>
      </w:r>
      <w:r w:rsidR="009859C8">
        <w:rPr>
          <w:rFonts w:ascii="Times New Roman" w:hAnsi="Times New Roman" w:cs="Times New Roman"/>
          <w:sz w:val="24"/>
          <w:szCs w:val="24"/>
        </w:rPr>
        <w:t xml:space="preserve"> mokyklų atrankoje tapti regioniniu specialiojo ugdymo centru</w:t>
      </w:r>
      <w:r w:rsidR="00786DF5">
        <w:rPr>
          <w:rFonts w:ascii="Times New Roman" w:hAnsi="Times New Roman" w:cs="Times New Roman"/>
          <w:sz w:val="24"/>
          <w:szCs w:val="24"/>
        </w:rPr>
        <w:t xml:space="preserve"> ir</w:t>
      </w:r>
      <w:r w:rsidR="00A24912">
        <w:rPr>
          <w:rFonts w:ascii="Times New Roman" w:hAnsi="Times New Roman" w:cs="Times New Roman"/>
          <w:sz w:val="24"/>
          <w:szCs w:val="24"/>
        </w:rPr>
        <w:t>,</w:t>
      </w:r>
      <w:r w:rsidR="00786DF5">
        <w:rPr>
          <w:rFonts w:ascii="Times New Roman" w:hAnsi="Times New Roman" w:cs="Times New Roman"/>
          <w:sz w:val="24"/>
          <w:szCs w:val="24"/>
        </w:rPr>
        <w:t xml:space="preserve"> </w:t>
      </w:r>
      <w:r w:rsidR="00354CDD">
        <w:rPr>
          <w:rFonts w:ascii="Times New Roman" w:hAnsi="Times New Roman" w:cs="Times New Roman"/>
          <w:sz w:val="24"/>
          <w:szCs w:val="24"/>
        </w:rPr>
        <w:t xml:space="preserve">atrinkus šią mokyklą, </w:t>
      </w:r>
      <w:r w:rsidR="00786DF5">
        <w:rPr>
          <w:rFonts w:ascii="Times New Roman" w:hAnsi="Times New Roman" w:cs="Times New Roman"/>
          <w:sz w:val="24"/>
          <w:szCs w:val="24"/>
        </w:rPr>
        <w:t xml:space="preserve">įsipareigoti </w:t>
      </w:r>
      <w:r w:rsidR="00D43079">
        <w:rPr>
          <w:rFonts w:ascii="Times New Roman" w:hAnsi="Times New Roman" w:cs="Times New Roman"/>
          <w:sz w:val="24"/>
          <w:szCs w:val="24"/>
        </w:rPr>
        <w:t>pertvarkyti ją į regioninį centrą.</w:t>
      </w:r>
    </w:p>
    <w:p w14:paraId="09CE4B26" w14:textId="77777777" w:rsidR="00C20102" w:rsidRDefault="00D21716" w:rsidP="0080557C">
      <w:pPr>
        <w:tabs>
          <w:tab w:val="left" w:pos="426"/>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Mokyklai tapus regioniniu specialiojo ugdymo centru, joje ir toliau bus ugdomi savivaldybės didelių ir labai didelių specialiųjų poreikių vaikai. Regioninis centras konsultuos ir teiks pagalbą ne tik savivaldybės mokykloms, vykdančioms ikimokyklinį, priešmokyklinį</w:t>
      </w:r>
      <w:r w:rsidR="00DF6590">
        <w:rPr>
          <w:rFonts w:ascii="Times New Roman" w:hAnsi="Times New Roman" w:cs="Times New Roman"/>
          <w:sz w:val="24"/>
          <w:szCs w:val="24"/>
        </w:rPr>
        <w:t xml:space="preserve">, pradinį, pagrindinį ir vidurinį ugdymą, bet ir viso regiono mokykloms. </w:t>
      </w:r>
    </w:p>
    <w:p w14:paraId="1FE0E422" w14:textId="4A25B344" w:rsidR="00D21716" w:rsidRDefault="00DF6590" w:rsidP="0080557C">
      <w:pPr>
        <w:tabs>
          <w:tab w:val="left" w:pos="426"/>
          <w:tab w:val="left" w:pos="993"/>
        </w:tabs>
        <w:spacing w:after="0" w:line="360" w:lineRule="auto"/>
        <w:ind w:firstLine="709"/>
        <w:jc w:val="both"/>
        <w:rPr>
          <w:rFonts w:ascii="Times New Roman" w:hAnsi="Times New Roman"/>
          <w:color w:val="000000" w:themeColor="text1"/>
          <w:sz w:val="24"/>
        </w:rPr>
      </w:pPr>
      <w:r>
        <w:rPr>
          <w:rFonts w:ascii="Times New Roman" w:hAnsi="Times New Roman" w:cs="Times New Roman"/>
          <w:sz w:val="24"/>
          <w:szCs w:val="24"/>
        </w:rPr>
        <w:t>Atrinkus regioninius centrus, bus modernizuota jų infrastruktūra, jie bus aprūpinti reikalingomis priemonėmis.</w:t>
      </w:r>
      <w:r w:rsidR="00C20102">
        <w:rPr>
          <w:rFonts w:ascii="Times New Roman" w:hAnsi="Times New Roman" w:cs="Times New Roman"/>
          <w:sz w:val="24"/>
          <w:szCs w:val="24"/>
        </w:rPr>
        <w:t xml:space="preserve"> </w:t>
      </w:r>
    </w:p>
    <w:p w14:paraId="23982F38" w14:textId="32E22624" w:rsidR="0080557C" w:rsidRPr="00C20102" w:rsidRDefault="0080557C" w:rsidP="00C20102">
      <w:pPr>
        <w:tabs>
          <w:tab w:val="left" w:pos="426"/>
          <w:tab w:val="left" w:pos="993"/>
        </w:tabs>
        <w:spacing w:after="0" w:line="360" w:lineRule="auto"/>
        <w:ind w:firstLine="709"/>
        <w:jc w:val="both"/>
      </w:pPr>
      <w:r>
        <w:tab/>
      </w:r>
      <w:r w:rsidRPr="0080557C">
        <w:rPr>
          <w:rFonts w:ascii="Times New Roman" w:hAnsi="Times New Roman"/>
          <w:color w:val="000000" w:themeColor="text1"/>
          <w:sz w:val="24"/>
        </w:rPr>
        <w:t xml:space="preserve">Paraiška </w:t>
      </w:r>
      <w:r w:rsidR="002315F5">
        <w:rPr>
          <w:rFonts w:ascii="Times New Roman" w:hAnsi="Times New Roman"/>
          <w:color w:val="000000" w:themeColor="text1"/>
          <w:sz w:val="24"/>
        </w:rPr>
        <w:t xml:space="preserve">atrankai </w:t>
      </w:r>
      <w:r w:rsidRPr="0080557C">
        <w:rPr>
          <w:rFonts w:ascii="Times New Roman" w:hAnsi="Times New Roman"/>
          <w:color w:val="000000" w:themeColor="text1"/>
          <w:sz w:val="24"/>
        </w:rPr>
        <w:t xml:space="preserve">turi būti pateikta iki 2022 m. </w:t>
      </w:r>
      <w:r w:rsidR="00C82741">
        <w:rPr>
          <w:rFonts w:ascii="Times New Roman" w:hAnsi="Times New Roman"/>
          <w:color w:val="000000" w:themeColor="text1"/>
          <w:sz w:val="24"/>
        </w:rPr>
        <w:t>gruodžio 6</w:t>
      </w:r>
      <w:r w:rsidRPr="0080557C">
        <w:rPr>
          <w:rFonts w:ascii="Times New Roman" w:hAnsi="Times New Roman"/>
          <w:color w:val="000000" w:themeColor="text1"/>
          <w:sz w:val="24"/>
        </w:rPr>
        <w:t xml:space="preserve"> d.</w:t>
      </w:r>
      <w:r>
        <w:t xml:space="preserve"> </w:t>
      </w:r>
    </w:p>
    <w:p w14:paraId="60F1F221" w14:textId="77777777" w:rsidR="0080557C" w:rsidRPr="00CD7E1B" w:rsidRDefault="0080557C" w:rsidP="0080557C">
      <w:pPr>
        <w:pStyle w:val="Sraopastraipa"/>
        <w:numPr>
          <w:ilvl w:val="0"/>
          <w:numId w:val="1"/>
        </w:numPr>
        <w:tabs>
          <w:tab w:val="left" w:pos="993"/>
        </w:tabs>
        <w:spacing w:after="0" w:line="360" w:lineRule="auto"/>
        <w:ind w:left="709" w:hanging="11"/>
        <w:rPr>
          <w:rFonts w:ascii="Times New Roman" w:hAnsi="Times New Roman" w:cs="Times New Roman"/>
          <w:b/>
          <w:bCs/>
          <w:sz w:val="24"/>
          <w:szCs w:val="24"/>
        </w:rPr>
      </w:pPr>
      <w:r w:rsidRPr="00CD7E1B">
        <w:rPr>
          <w:rFonts w:ascii="Times New Roman" w:hAnsi="Times New Roman" w:cs="Times New Roman"/>
          <w:b/>
          <w:bCs/>
          <w:sz w:val="24"/>
          <w:szCs w:val="24"/>
        </w:rPr>
        <w:t>Siūlomos teisinio reguliavimo nuostatos:</w:t>
      </w:r>
    </w:p>
    <w:p w14:paraId="697FAEEE" w14:textId="1C5733FF" w:rsidR="0080557C" w:rsidRPr="00F736B8" w:rsidRDefault="001F0F7A" w:rsidP="001F0F7A">
      <w:pPr>
        <w:tabs>
          <w:tab w:val="left" w:pos="426"/>
          <w:tab w:val="left" w:pos="993"/>
        </w:tabs>
        <w:spacing w:after="0" w:line="360" w:lineRule="auto"/>
        <w:ind w:firstLine="709"/>
        <w:jc w:val="both"/>
        <w:rPr>
          <w:rFonts w:ascii="Times New Roman" w:hAnsi="Times New Roman"/>
          <w:color w:val="000000" w:themeColor="text1"/>
          <w:sz w:val="24"/>
        </w:rPr>
      </w:pPr>
      <w:r>
        <w:rPr>
          <w:rFonts w:ascii="Times New Roman" w:hAnsi="Times New Roman"/>
          <w:color w:val="000000" w:themeColor="text1"/>
          <w:sz w:val="24"/>
        </w:rPr>
        <w:t xml:space="preserve">Šiuo sprendimu siūloma sudaryti sąlygas </w:t>
      </w:r>
      <w:r>
        <w:rPr>
          <w:rFonts w:ascii="Times New Roman" w:hAnsi="Times New Roman" w:cs="Times New Roman"/>
          <w:sz w:val="24"/>
          <w:szCs w:val="24"/>
        </w:rPr>
        <w:t>Molėtų r. Kijėlių specialiojo ugdymo centrui dalyvauti mokyklų, pretenduojančių tapti regioninia</w:t>
      </w:r>
      <w:r w:rsidR="00A5714D">
        <w:rPr>
          <w:rFonts w:ascii="Times New Roman" w:hAnsi="Times New Roman" w:cs="Times New Roman"/>
          <w:sz w:val="24"/>
          <w:szCs w:val="24"/>
        </w:rPr>
        <w:t>is specialiojo ugdymo centrais, atrankoje.</w:t>
      </w:r>
    </w:p>
    <w:p w14:paraId="5E0F122D" w14:textId="1A836BBD" w:rsidR="001F0F7A" w:rsidRDefault="001F0F7A" w:rsidP="001F0F7A">
      <w:pPr>
        <w:tabs>
          <w:tab w:val="left" w:pos="426"/>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3. </w:t>
      </w:r>
      <w:r w:rsidR="0080557C" w:rsidRPr="00CD7E1B">
        <w:rPr>
          <w:rFonts w:ascii="Times New Roman" w:hAnsi="Times New Roman" w:cs="Times New Roman"/>
          <w:b/>
          <w:bCs/>
          <w:sz w:val="24"/>
          <w:szCs w:val="24"/>
        </w:rPr>
        <w:t>Laukiami rezultatai:</w:t>
      </w:r>
      <w:r w:rsidRPr="001F0F7A">
        <w:rPr>
          <w:rFonts w:ascii="Times New Roman" w:hAnsi="Times New Roman" w:cs="Times New Roman"/>
          <w:sz w:val="24"/>
          <w:szCs w:val="24"/>
        </w:rPr>
        <w:t xml:space="preserve"> </w:t>
      </w:r>
    </w:p>
    <w:p w14:paraId="12FCEA4B" w14:textId="61D1BFDD" w:rsidR="001F0F7A" w:rsidRPr="00B627C2" w:rsidRDefault="00A5714D" w:rsidP="00B627C2">
      <w:pPr>
        <w:tabs>
          <w:tab w:val="left" w:pos="426"/>
          <w:tab w:val="left" w:pos="993"/>
        </w:tabs>
        <w:spacing w:after="0" w:line="360" w:lineRule="auto"/>
        <w:ind w:firstLine="709"/>
        <w:jc w:val="both"/>
        <w:rPr>
          <w:rFonts w:ascii="Times New Roman" w:hAnsi="Times New Roman"/>
          <w:color w:val="000000" w:themeColor="text1"/>
          <w:sz w:val="24"/>
        </w:rPr>
      </w:pPr>
      <w:r>
        <w:rPr>
          <w:rFonts w:ascii="Times New Roman" w:hAnsi="Times New Roman" w:cs="Times New Roman"/>
          <w:sz w:val="24"/>
          <w:szCs w:val="24"/>
        </w:rPr>
        <w:t xml:space="preserve">Kijėlių specialiojo ugdymo centui tapus regioniniu centru, atsiras galimybių </w:t>
      </w:r>
      <w:r w:rsidR="001F0F7A">
        <w:rPr>
          <w:rFonts w:ascii="Times New Roman" w:hAnsi="Times New Roman" w:cs="Times New Roman"/>
          <w:sz w:val="24"/>
          <w:szCs w:val="24"/>
        </w:rPr>
        <w:t>atnaujinti  infrastruktūrą, tapti regiono lyderiu perduodant savo sukauptą ilgametę patirtį ugdant įvairiapusių raidos sutrikimų, intelekto sutrikimų, mokymosi sutrikimų turinčius vaikus, sudaryti geresnes sąlygas tobulinti centro darbuotojų kompetencijas.</w:t>
      </w:r>
    </w:p>
    <w:p w14:paraId="603B67AA" w14:textId="1CD76CF4" w:rsidR="0080557C" w:rsidRPr="00CD7E1B" w:rsidRDefault="0080557C" w:rsidP="00E7256F">
      <w:pPr>
        <w:pStyle w:val="Sraopastraipa"/>
        <w:numPr>
          <w:ilvl w:val="0"/>
          <w:numId w:val="2"/>
        </w:numPr>
        <w:tabs>
          <w:tab w:val="left" w:pos="993"/>
        </w:tabs>
        <w:spacing w:after="0" w:line="360" w:lineRule="auto"/>
        <w:rPr>
          <w:rFonts w:ascii="Times New Roman" w:hAnsi="Times New Roman" w:cs="Times New Roman"/>
          <w:b/>
          <w:bCs/>
          <w:sz w:val="24"/>
          <w:szCs w:val="24"/>
        </w:rPr>
      </w:pPr>
      <w:r w:rsidRPr="00CD7E1B">
        <w:rPr>
          <w:rFonts w:ascii="Times New Roman" w:hAnsi="Times New Roman" w:cs="Times New Roman"/>
          <w:b/>
          <w:bCs/>
          <w:sz w:val="24"/>
          <w:szCs w:val="24"/>
        </w:rPr>
        <w:t>Lėšų poreikis ir jų šaltiniai:</w:t>
      </w:r>
    </w:p>
    <w:p w14:paraId="323B9303" w14:textId="7096447C" w:rsidR="0080557C" w:rsidRPr="00C143B3" w:rsidRDefault="00F227EA" w:rsidP="0080557C">
      <w:pPr>
        <w:pStyle w:val="Sraopastraipa"/>
        <w:spacing w:after="0" w:line="360" w:lineRule="auto"/>
        <w:rPr>
          <w:rFonts w:ascii="Times New Roman" w:hAnsi="Times New Roman" w:cs="Times New Roman"/>
          <w:sz w:val="24"/>
          <w:szCs w:val="24"/>
        </w:rPr>
      </w:pPr>
      <w:r>
        <w:rPr>
          <w:rFonts w:ascii="Times New Roman" w:hAnsi="Times New Roman" w:cs="Times New Roman"/>
          <w:sz w:val="24"/>
          <w:szCs w:val="24"/>
        </w:rPr>
        <w:t>Lėšų poreikio nėra.</w:t>
      </w:r>
    </w:p>
    <w:p w14:paraId="3283A398" w14:textId="27ADFB7A" w:rsidR="0080557C" w:rsidRPr="00F227EA" w:rsidRDefault="00E7256F" w:rsidP="00E7256F">
      <w:pPr>
        <w:tabs>
          <w:tab w:val="left" w:pos="709"/>
        </w:tabs>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sidR="00F227EA">
        <w:rPr>
          <w:rFonts w:ascii="Times New Roman" w:hAnsi="Times New Roman" w:cs="Times New Roman"/>
          <w:b/>
          <w:bCs/>
          <w:sz w:val="24"/>
          <w:szCs w:val="24"/>
        </w:rPr>
        <w:t xml:space="preserve">5. </w:t>
      </w:r>
      <w:r w:rsidR="0080557C" w:rsidRPr="00F227EA">
        <w:rPr>
          <w:rFonts w:ascii="Times New Roman" w:hAnsi="Times New Roman" w:cs="Times New Roman"/>
          <w:b/>
          <w:bCs/>
          <w:sz w:val="24"/>
          <w:szCs w:val="24"/>
        </w:rPr>
        <w:t>Kiti sprendimui priimti reikalingi pagrindimai, skaičiavimai ar paaiškinimai.</w:t>
      </w:r>
    </w:p>
    <w:p w14:paraId="37AF5C94" w14:textId="77777777" w:rsidR="0080557C" w:rsidRPr="00C143B3" w:rsidRDefault="0080557C" w:rsidP="0080557C">
      <w:pPr>
        <w:pStyle w:val="Sraopastraipa"/>
        <w:spacing w:after="0" w:line="240" w:lineRule="auto"/>
        <w:rPr>
          <w:rFonts w:ascii="Times New Roman" w:hAnsi="Times New Roman" w:cs="Times New Roman"/>
          <w:sz w:val="24"/>
          <w:szCs w:val="24"/>
        </w:rPr>
      </w:pPr>
    </w:p>
    <w:p w14:paraId="3B8B87A5" w14:textId="77777777" w:rsidR="008E490A" w:rsidRDefault="008E490A"/>
    <w:sectPr w:rsidR="008E490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7F6C"/>
    <w:multiLevelType w:val="hybridMultilevel"/>
    <w:tmpl w:val="6A36243A"/>
    <w:lvl w:ilvl="0" w:tplc="35D0EEA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87469D7"/>
    <w:multiLevelType w:val="hybridMultilevel"/>
    <w:tmpl w:val="03622DEA"/>
    <w:lvl w:ilvl="0" w:tplc="0427000F">
      <w:start w:val="1"/>
      <w:numFmt w:val="decimal"/>
      <w:lvlText w:val="%1."/>
      <w:lvlJc w:val="left"/>
      <w:pPr>
        <w:ind w:left="3621" w:hanging="360"/>
      </w:pPr>
      <w:rPr>
        <w:rFonts w:hint="default"/>
      </w:rPr>
    </w:lvl>
    <w:lvl w:ilvl="1" w:tplc="04270019" w:tentative="1">
      <w:start w:val="1"/>
      <w:numFmt w:val="lowerLetter"/>
      <w:lvlText w:val="%2."/>
      <w:lvlJc w:val="left"/>
      <w:pPr>
        <w:ind w:left="4341" w:hanging="360"/>
      </w:pPr>
    </w:lvl>
    <w:lvl w:ilvl="2" w:tplc="0427001B" w:tentative="1">
      <w:start w:val="1"/>
      <w:numFmt w:val="lowerRoman"/>
      <w:lvlText w:val="%3."/>
      <w:lvlJc w:val="right"/>
      <w:pPr>
        <w:ind w:left="5061" w:hanging="180"/>
      </w:pPr>
    </w:lvl>
    <w:lvl w:ilvl="3" w:tplc="0427000F" w:tentative="1">
      <w:start w:val="1"/>
      <w:numFmt w:val="decimal"/>
      <w:lvlText w:val="%4."/>
      <w:lvlJc w:val="left"/>
      <w:pPr>
        <w:ind w:left="5781" w:hanging="360"/>
      </w:pPr>
    </w:lvl>
    <w:lvl w:ilvl="4" w:tplc="04270019" w:tentative="1">
      <w:start w:val="1"/>
      <w:numFmt w:val="lowerLetter"/>
      <w:lvlText w:val="%5."/>
      <w:lvlJc w:val="left"/>
      <w:pPr>
        <w:ind w:left="6501" w:hanging="360"/>
      </w:pPr>
    </w:lvl>
    <w:lvl w:ilvl="5" w:tplc="0427001B" w:tentative="1">
      <w:start w:val="1"/>
      <w:numFmt w:val="lowerRoman"/>
      <w:lvlText w:val="%6."/>
      <w:lvlJc w:val="right"/>
      <w:pPr>
        <w:ind w:left="7221" w:hanging="180"/>
      </w:pPr>
    </w:lvl>
    <w:lvl w:ilvl="6" w:tplc="0427000F" w:tentative="1">
      <w:start w:val="1"/>
      <w:numFmt w:val="decimal"/>
      <w:lvlText w:val="%7."/>
      <w:lvlJc w:val="left"/>
      <w:pPr>
        <w:ind w:left="7941" w:hanging="360"/>
      </w:pPr>
    </w:lvl>
    <w:lvl w:ilvl="7" w:tplc="04270019" w:tentative="1">
      <w:start w:val="1"/>
      <w:numFmt w:val="lowerLetter"/>
      <w:lvlText w:val="%8."/>
      <w:lvlJc w:val="left"/>
      <w:pPr>
        <w:ind w:left="8661" w:hanging="360"/>
      </w:pPr>
    </w:lvl>
    <w:lvl w:ilvl="8" w:tplc="0427001B" w:tentative="1">
      <w:start w:val="1"/>
      <w:numFmt w:val="lowerRoman"/>
      <w:lvlText w:val="%9."/>
      <w:lvlJc w:val="right"/>
      <w:pPr>
        <w:ind w:left="9381" w:hanging="180"/>
      </w:pPr>
    </w:lvl>
  </w:abstractNum>
  <w:num w:numId="1" w16cid:durableId="1568570121">
    <w:abstractNumId w:val="1"/>
  </w:num>
  <w:num w:numId="2" w16cid:durableId="801314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7C"/>
    <w:rsid w:val="0019768B"/>
    <w:rsid w:val="001F0F7A"/>
    <w:rsid w:val="002315F5"/>
    <w:rsid w:val="00236DC4"/>
    <w:rsid w:val="00354CDD"/>
    <w:rsid w:val="00421633"/>
    <w:rsid w:val="004D3205"/>
    <w:rsid w:val="00541F43"/>
    <w:rsid w:val="005B031D"/>
    <w:rsid w:val="00680446"/>
    <w:rsid w:val="00786DF5"/>
    <w:rsid w:val="007D6E92"/>
    <w:rsid w:val="00803081"/>
    <w:rsid w:val="0080557C"/>
    <w:rsid w:val="008E008B"/>
    <w:rsid w:val="008E490A"/>
    <w:rsid w:val="008F2374"/>
    <w:rsid w:val="00930294"/>
    <w:rsid w:val="00975CF7"/>
    <w:rsid w:val="009859C8"/>
    <w:rsid w:val="00A24912"/>
    <w:rsid w:val="00A5714D"/>
    <w:rsid w:val="00B627C2"/>
    <w:rsid w:val="00B64FAA"/>
    <w:rsid w:val="00C20102"/>
    <w:rsid w:val="00C57EFF"/>
    <w:rsid w:val="00C82741"/>
    <w:rsid w:val="00D21716"/>
    <w:rsid w:val="00D43079"/>
    <w:rsid w:val="00DD2F83"/>
    <w:rsid w:val="00DF6590"/>
    <w:rsid w:val="00E7256F"/>
    <w:rsid w:val="00E90C03"/>
    <w:rsid w:val="00F11508"/>
    <w:rsid w:val="00F227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DF85"/>
  <w15:chartTrackingRefBased/>
  <w15:docId w15:val="{13259BE6-7CB5-44F5-82AA-DD1F8481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0557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0557C"/>
    <w:pPr>
      <w:ind w:left="720"/>
      <w:contextualSpacing/>
    </w:pPr>
  </w:style>
  <w:style w:type="paragraph" w:customStyle="1" w:styleId="WW-BodyText2">
    <w:name w:val="WW-Body Text 2"/>
    <w:basedOn w:val="prastasis"/>
    <w:rsid w:val="0080557C"/>
    <w:pPr>
      <w:widowControl w:val="0"/>
      <w:suppressAutoHyphens/>
      <w:spacing w:after="0" w:line="240" w:lineRule="auto"/>
      <w:jc w:val="center"/>
    </w:pPr>
    <w:rPr>
      <w:rFonts w:ascii="Times New Roman" w:eastAsia="Lucida Sans Unicode" w:hAnsi="Times New Roman" w:cs="Times New Roman"/>
      <w:b/>
      <w:bCs/>
      <w:iCs/>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1439</Words>
  <Characters>821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 Vytaitė</dc:creator>
  <cp:keywords/>
  <dc:description/>
  <cp:lastModifiedBy>Natalija Ališauskienė</cp:lastModifiedBy>
  <cp:revision>23</cp:revision>
  <dcterms:created xsi:type="dcterms:W3CDTF">2022-11-10T12:39:00Z</dcterms:created>
  <dcterms:modified xsi:type="dcterms:W3CDTF">2022-11-14T12:54:00Z</dcterms:modified>
</cp:coreProperties>
</file>