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BFAF5BD" w14:textId="09464ADF" w:rsidR="001C25B2" w:rsidRDefault="001C25B2" w:rsidP="001C25B2">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sz w:val="24"/>
          <w:szCs w:val="24"/>
        </w:rPr>
        <w:t>D</w:t>
      </w:r>
      <w:r w:rsidRPr="001C25B2">
        <w:rPr>
          <w:rFonts w:ascii="Times New Roman" w:eastAsia="Times New Roman" w:hAnsi="Times New Roman" w:cs="Times New Roman"/>
          <w:bCs/>
          <w:sz w:val="24"/>
          <w:szCs w:val="24"/>
        </w:rPr>
        <w:t xml:space="preserve">ėl </w:t>
      </w:r>
      <w:r>
        <w:rPr>
          <w:rFonts w:ascii="Times New Roman" w:eastAsia="Times New Roman" w:hAnsi="Times New Roman" w:cs="Times New Roman"/>
          <w:bCs/>
          <w:sz w:val="24"/>
          <w:szCs w:val="24"/>
        </w:rPr>
        <w:t>M</w:t>
      </w:r>
      <w:r w:rsidRPr="001C25B2">
        <w:rPr>
          <w:rFonts w:ascii="Times New Roman" w:eastAsia="Times New Roman" w:hAnsi="Times New Roman" w:cs="Times New Roman"/>
          <w:bCs/>
          <w:sz w:val="24"/>
          <w:szCs w:val="24"/>
        </w:rPr>
        <w:t xml:space="preserve">olėtų rajono savivaldybės tarybos </w:t>
      </w:r>
      <w:r w:rsidR="00D8681F" w:rsidRPr="00D8681F">
        <w:rPr>
          <w:rFonts w:ascii="Times New Roman" w:eastAsia="Times New Roman" w:hAnsi="Times New Roman" w:cs="Times New Roman"/>
          <w:sz w:val="24"/>
          <w:szCs w:val="24"/>
        </w:rPr>
        <w:t xml:space="preserve">2021 m. liepos 29 d. sprendimą Nr. B1-198 </w:t>
      </w:r>
      <w:r w:rsidRPr="001C25B2">
        <w:rPr>
          <w:rFonts w:ascii="Times New Roman" w:eastAsia="Times New Roman" w:hAnsi="Times New Roman" w:cs="Times New Roman"/>
          <w:bCs/>
          <w:sz w:val="24"/>
          <w:szCs w:val="24"/>
        </w:rPr>
        <w:t>„</w:t>
      </w:r>
      <w:r>
        <w:rPr>
          <w:rFonts w:ascii="Times New Roman" w:eastAsia="Times New Roman" w:hAnsi="Times New Roman" w:cs="Times New Roman"/>
          <w:bCs/>
          <w:noProof/>
          <w:sz w:val="24"/>
          <w:szCs w:val="24"/>
        </w:rPr>
        <w:t>D</w:t>
      </w:r>
      <w:r w:rsidRPr="001C25B2">
        <w:rPr>
          <w:rFonts w:ascii="Times New Roman" w:eastAsia="Times New Roman" w:hAnsi="Times New Roman" w:cs="Times New Roman"/>
          <w:bCs/>
          <w:noProof/>
          <w:sz w:val="24"/>
          <w:szCs w:val="24"/>
        </w:rPr>
        <w:t>ėl uždarosios akcinės bendrovės „</w:t>
      </w:r>
      <w:r>
        <w:rPr>
          <w:rFonts w:ascii="Times New Roman" w:eastAsia="Times New Roman" w:hAnsi="Times New Roman" w:cs="Times New Roman"/>
          <w:bCs/>
          <w:noProof/>
          <w:sz w:val="24"/>
          <w:szCs w:val="24"/>
        </w:rPr>
        <w:t>M</w:t>
      </w:r>
      <w:r w:rsidRPr="001C25B2">
        <w:rPr>
          <w:rFonts w:ascii="Times New Roman" w:eastAsia="Times New Roman" w:hAnsi="Times New Roman" w:cs="Times New Roman"/>
          <w:bCs/>
          <w:noProof/>
          <w:sz w:val="24"/>
          <w:szCs w:val="24"/>
        </w:rPr>
        <w:t>olėtų šiluma“ šilumos kainų dedamųjų pirmiesiems šilumos bazinių kainų dedamųjų galiojimo metams nustatymo“ pakeitimo</w:t>
      </w:r>
    </w:p>
    <w:p w14:paraId="45AA21AE" w14:textId="77777777" w:rsidR="001C25B2" w:rsidRPr="001C25B2" w:rsidRDefault="001C25B2" w:rsidP="001C25B2">
      <w:pPr>
        <w:pStyle w:val="Sraopastraipa"/>
        <w:spacing w:line="240" w:lineRule="auto"/>
        <w:ind w:left="0"/>
        <w:jc w:val="center"/>
        <w:rPr>
          <w:rFonts w:ascii="Times New Roman" w:hAnsi="Times New Roman" w:cs="Times New Roman"/>
          <w:bCs/>
          <w:sz w:val="24"/>
          <w:szCs w:val="24"/>
        </w:rPr>
      </w:pPr>
    </w:p>
    <w:p w14:paraId="29AE2797" w14:textId="0F13F717" w:rsidR="00123F7B" w:rsidRDefault="00123F7B" w:rsidP="008327A9">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627E28D" w14:textId="1C1C1A30" w:rsidR="00123F7B" w:rsidRPr="00123F7B" w:rsidRDefault="00BD6431" w:rsidP="001C25B2">
      <w:pPr>
        <w:pStyle w:val="Sraopastraipa"/>
        <w:spacing w:line="36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Tikslas - </w:t>
      </w:r>
      <w:r w:rsidR="001C25B2">
        <w:rPr>
          <w:rFonts w:ascii="Times New Roman" w:eastAsia="Times New Roman" w:hAnsi="Times New Roman" w:cs="Times New Roman"/>
          <w:sz w:val="24"/>
          <w:szCs w:val="24"/>
        </w:rPr>
        <w:t>p</w:t>
      </w:r>
      <w:r w:rsidR="001C25B2" w:rsidRPr="001C25B2">
        <w:rPr>
          <w:rFonts w:ascii="Times New Roman" w:eastAsia="Times New Roman" w:hAnsi="Times New Roman" w:cs="Times New Roman"/>
          <w:sz w:val="24"/>
          <w:szCs w:val="24"/>
        </w:rPr>
        <w:t xml:space="preserve">akeisti Molėtų rajono savivaldybės tarybos 2021 m. liepos 29 d. sprendimo Nr. B1-198 „Dėl uždarosios akcinės bendrovės „Molėtų šiluma“ </w:t>
      </w:r>
      <w:r w:rsidR="001C25B2" w:rsidRPr="001C25B2">
        <w:rPr>
          <w:rFonts w:ascii="Times New Roman" w:eastAsia="Times New Roman" w:hAnsi="Times New Roman" w:cs="Times New Roman"/>
          <w:bCs/>
          <w:noProof/>
          <w:sz w:val="24"/>
          <w:szCs w:val="24"/>
        </w:rPr>
        <w:t>šilumos kainų dedamųjų pirmiesiems šilumos bazinių kainų dedamųjų galiojimo metams nustatymo“ 2 punktą</w:t>
      </w:r>
      <w:r w:rsidR="001C25B2">
        <w:rPr>
          <w:rFonts w:ascii="Times New Roman" w:eastAsia="Times New Roman" w:hAnsi="Times New Roman" w:cs="Times New Roman"/>
          <w:bCs/>
          <w:noProof/>
          <w:sz w:val="24"/>
          <w:szCs w:val="24"/>
        </w:rPr>
        <w:t>.</w:t>
      </w:r>
    </w:p>
    <w:p w14:paraId="307E3D4D" w14:textId="032B0DCC" w:rsidR="00123F7B" w:rsidRDefault="00123F7B" w:rsidP="001C25B2">
      <w:pPr>
        <w:pStyle w:val="Sraopastraipa"/>
        <w:numPr>
          <w:ilvl w:val="0"/>
          <w:numId w:val="1"/>
        </w:numPr>
        <w:spacing w:line="360" w:lineRule="auto"/>
        <w:ind w:hanging="1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69472AA2" w14:textId="6B85FF61" w:rsidR="004D2E86" w:rsidRDefault="00D056AF" w:rsidP="004D2E86">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Pasikeitus teisės aktams, </w:t>
      </w:r>
      <w:r w:rsidR="0019578B">
        <w:rPr>
          <w:rFonts w:ascii="Times New Roman" w:hAnsi="Times New Roman" w:cs="Times New Roman"/>
          <w:sz w:val="24"/>
          <w:szCs w:val="24"/>
        </w:rPr>
        <w:t>pakoreguot</w:t>
      </w:r>
      <w:r w:rsidR="004D2E86">
        <w:rPr>
          <w:rFonts w:ascii="Times New Roman" w:hAnsi="Times New Roman" w:cs="Times New Roman"/>
          <w:sz w:val="24"/>
          <w:szCs w:val="24"/>
        </w:rPr>
        <w:t>os UAB „Molėtų šiluma“</w:t>
      </w:r>
      <w:r w:rsidR="0019578B">
        <w:rPr>
          <w:rFonts w:ascii="Times New Roman" w:hAnsi="Times New Roman" w:cs="Times New Roman"/>
          <w:sz w:val="24"/>
          <w:szCs w:val="24"/>
        </w:rPr>
        <w:t xml:space="preserve"> </w:t>
      </w:r>
      <w:r w:rsidRPr="004D79A5">
        <w:rPr>
          <w:rFonts w:ascii="Times New Roman" w:hAnsi="Times New Roman" w:cs="Times New Roman"/>
          <w:sz w:val="24"/>
          <w:szCs w:val="24"/>
        </w:rPr>
        <w:t>šilumos kainos kintam</w:t>
      </w:r>
      <w:r w:rsidR="004D2E86">
        <w:rPr>
          <w:rFonts w:ascii="Times New Roman" w:hAnsi="Times New Roman" w:cs="Times New Roman"/>
          <w:sz w:val="24"/>
          <w:szCs w:val="24"/>
        </w:rPr>
        <w:t>o</w:t>
      </w:r>
      <w:r w:rsidRPr="004D79A5">
        <w:rPr>
          <w:rFonts w:ascii="Times New Roman" w:hAnsi="Times New Roman" w:cs="Times New Roman"/>
          <w:sz w:val="24"/>
          <w:szCs w:val="24"/>
        </w:rPr>
        <w:t>si</w:t>
      </w:r>
      <w:r w:rsidR="004D2E86">
        <w:rPr>
          <w:rFonts w:ascii="Times New Roman" w:hAnsi="Times New Roman" w:cs="Times New Roman"/>
          <w:sz w:val="24"/>
          <w:szCs w:val="24"/>
        </w:rPr>
        <w:t>o</w:t>
      </w:r>
      <w:r w:rsidRPr="004D79A5">
        <w:rPr>
          <w:rFonts w:ascii="Times New Roman" w:hAnsi="Times New Roman" w:cs="Times New Roman"/>
          <w:sz w:val="24"/>
          <w:szCs w:val="24"/>
        </w:rPr>
        <w:t>s dedam</w:t>
      </w:r>
      <w:r w:rsidR="004D2E86">
        <w:rPr>
          <w:rFonts w:ascii="Times New Roman" w:hAnsi="Times New Roman" w:cs="Times New Roman"/>
          <w:sz w:val="24"/>
          <w:szCs w:val="24"/>
        </w:rPr>
        <w:t>o</w:t>
      </w:r>
      <w:r w:rsidRPr="004D79A5">
        <w:rPr>
          <w:rFonts w:ascii="Times New Roman" w:hAnsi="Times New Roman" w:cs="Times New Roman"/>
          <w:sz w:val="24"/>
          <w:szCs w:val="24"/>
        </w:rPr>
        <w:t>si</w:t>
      </w:r>
      <w:r w:rsidR="004D2E86">
        <w:rPr>
          <w:rFonts w:ascii="Times New Roman" w:hAnsi="Times New Roman" w:cs="Times New Roman"/>
          <w:sz w:val="24"/>
          <w:szCs w:val="24"/>
        </w:rPr>
        <w:t>o</w:t>
      </w:r>
      <w:r w:rsidRPr="004D79A5">
        <w:rPr>
          <w:rFonts w:ascii="Times New Roman" w:hAnsi="Times New Roman" w:cs="Times New Roman"/>
          <w:sz w:val="24"/>
          <w:szCs w:val="24"/>
        </w:rPr>
        <w:t>s</w:t>
      </w:r>
      <w:r w:rsidR="004D2E86">
        <w:rPr>
          <w:rFonts w:ascii="Times New Roman" w:hAnsi="Times New Roman" w:cs="Times New Roman"/>
          <w:sz w:val="24"/>
          <w:szCs w:val="24"/>
        </w:rPr>
        <w:t>,</w:t>
      </w:r>
      <w:r w:rsidR="00A24CAB" w:rsidRPr="00A24CAB">
        <w:rPr>
          <w:rFonts w:ascii="Times New Roman" w:hAnsi="Times New Roman" w:cs="Times New Roman"/>
          <w:sz w:val="24"/>
          <w:szCs w:val="24"/>
        </w:rPr>
        <w:t xml:space="preserve"> </w:t>
      </w:r>
      <w:r w:rsidR="00A24CAB">
        <w:rPr>
          <w:rFonts w:ascii="Times New Roman" w:hAnsi="Times New Roman" w:cs="Times New Roman"/>
          <w:sz w:val="24"/>
          <w:szCs w:val="24"/>
        </w:rPr>
        <w:t xml:space="preserve">kurios </w:t>
      </w:r>
      <w:r w:rsidR="00A24CAB" w:rsidRPr="004D79A5">
        <w:rPr>
          <w:rFonts w:ascii="Times New Roman" w:hAnsi="Times New Roman" w:cs="Times New Roman"/>
          <w:sz w:val="24"/>
          <w:szCs w:val="24"/>
        </w:rPr>
        <w:t xml:space="preserve">bus taikomos apskaičiuojant galutinę 2022 m. </w:t>
      </w:r>
      <w:r w:rsidR="00A24CAB">
        <w:rPr>
          <w:rFonts w:ascii="Times New Roman" w:hAnsi="Times New Roman" w:cs="Times New Roman"/>
          <w:sz w:val="24"/>
          <w:szCs w:val="24"/>
        </w:rPr>
        <w:t>gruodžio</w:t>
      </w:r>
      <w:r w:rsidR="00A24CAB" w:rsidRPr="004D79A5">
        <w:rPr>
          <w:rFonts w:ascii="Times New Roman" w:hAnsi="Times New Roman" w:cs="Times New Roman"/>
          <w:sz w:val="24"/>
          <w:szCs w:val="24"/>
        </w:rPr>
        <w:t xml:space="preserve"> mėn. šilumos kainą</w:t>
      </w:r>
      <w:r w:rsidR="004D2E86">
        <w:rPr>
          <w:rFonts w:ascii="Times New Roman" w:hAnsi="Times New Roman" w:cs="Times New Roman"/>
          <w:sz w:val="24"/>
          <w:szCs w:val="24"/>
        </w:rPr>
        <w:t>.</w:t>
      </w:r>
    </w:p>
    <w:p w14:paraId="641E86FD" w14:textId="2DFADB4A" w:rsidR="00123F7B" w:rsidRDefault="00123F7B" w:rsidP="004D2E86">
      <w:pPr>
        <w:pStyle w:val="Sraopastraipa"/>
        <w:numPr>
          <w:ilvl w:val="0"/>
          <w:numId w:val="1"/>
        </w:numPr>
        <w:spacing w:line="360" w:lineRule="auto"/>
        <w:ind w:hanging="1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3F4FFE06" w14:textId="77777777" w:rsidR="0019578B" w:rsidRDefault="0019578B" w:rsidP="0019578B">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D056AF" w:rsidRPr="00D056AF">
        <w:rPr>
          <w:rFonts w:ascii="Times New Roman" w:hAnsi="Times New Roman" w:cs="Times New Roman"/>
          <w:sz w:val="24"/>
          <w:szCs w:val="24"/>
        </w:rPr>
        <w:t>iekiama sudaryti galimybes ūkio subjektams lanksčiau priimti sprendimus dėl optimalaus kuro įsigijimo būdo ir nustatyti optimalią kuro struktūrą skirtingais laikotarpiais</w:t>
      </w:r>
      <w:r>
        <w:rPr>
          <w:rFonts w:ascii="Times New Roman" w:hAnsi="Times New Roman" w:cs="Times New Roman"/>
          <w:sz w:val="24"/>
          <w:szCs w:val="24"/>
        </w:rPr>
        <w:t>.</w:t>
      </w:r>
    </w:p>
    <w:p w14:paraId="47CC3112" w14:textId="64FA6526" w:rsidR="00123F7B" w:rsidRDefault="00123F7B" w:rsidP="004D2E86">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56CDDE40" w:rsidR="00123F7B" w:rsidRPr="00123F7B" w:rsidRDefault="0019578B" w:rsidP="00D80F18">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Lėšų poreikio nėra.</w:t>
      </w:r>
    </w:p>
    <w:p w14:paraId="4D990099" w14:textId="77777777" w:rsidR="00D80F18" w:rsidRDefault="00123F7B" w:rsidP="00D80F18">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3E282969" w14:textId="77777777" w:rsidR="004D2E86" w:rsidRDefault="0019578B" w:rsidP="004D2E86">
      <w:pPr>
        <w:pStyle w:val="Sraopastraipa"/>
        <w:spacing w:line="360" w:lineRule="auto"/>
        <w:ind w:left="0" w:firstLine="720"/>
        <w:jc w:val="both"/>
        <w:rPr>
          <w:rFonts w:ascii="Times New Roman" w:hAnsi="Times New Roman" w:cs="Times New Roman"/>
          <w:sz w:val="24"/>
          <w:szCs w:val="24"/>
        </w:rPr>
      </w:pPr>
      <w:bookmarkStart w:id="0" w:name="_Hlk116981620"/>
      <w:r w:rsidRPr="004D79A5">
        <w:rPr>
          <w:rFonts w:ascii="Times New Roman" w:hAnsi="Times New Roman" w:cs="Times New Roman"/>
          <w:sz w:val="24"/>
          <w:szCs w:val="24"/>
        </w:rPr>
        <w:t>Molėtų rajono savivaldybė taryb</w:t>
      </w:r>
      <w:r>
        <w:rPr>
          <w:rFonts w:ascii="Times New Roman" w:hAnsi="Times New Roman" w:cs="Times New Roman"/>
          <w:sz w:val="24"/>
          <w:szCs w:val="24"/>
        </w:rPr>
        <w:t>a</w:t>
      </w:r>
      <w:r w:rsidRPr="004D79A5">
        <w:rPr>
          <w:rFonts w:ascii="Times New Roman" w:hAnsi="Times New Roman" w:cs="Times New Roman"/>
          <w:sz w:val="24"/>
          <w:szCs w:val="24"/>
        </w:rPr>
        <w:t xml:space="preserve"> 2021 m. liepos 29 d. sprendimu Nr. B1-198 </w:t>
      </w:r>
      <w:r w:rsidR="004D2E86" w:rsidRPr="004D2E86">
        <w:rPr>
          <w:rFonts w:ascii="Times New Roman" w:eastAsia="Times New Roman" w:hAnsi="Times New Roman" w:cs="Times New Roman"/>
          <w:sz w:val="24"/>
          <w:szCs w:val="24"/>
        </w:rPr>
        <w:t xml:space="preserve">„Dėl uždarosios akcinės bendrovės „Molėtų šiluma“ </w:t>
      </w:r>
      <w:r w:rsidR="004D2E86" w:rsidRPr="004D2E86">
        <w:rPr>
          <w:rFonts w:ascii="Times New Roman" w:eastAsia="Times New Roman" w:hAnsi="Times New Roman" w:cs="Times New Roman"/>
          <w:bCs/>
          <w:noProof/>
          <w:sz w:val="24"/>
          <w:szCs w:val="24"/>
        </w:rPr>
        <w:t xml:space="preserve">šilumos kainų dedamųjų pirmiesiems </w:t>
      </w:r>
      <w:bookmarkStart w:id="1" w:name="_Hlk116983273"/>
      <w:r w:rsidR="004D2E86" w:rsidRPr="004D2E86">
        <w:rPr>
          <w:rFonts w:ascii="Times New Roman" w:eastAsia="Times New Roman" w:hAnsi="Times New Roman" w:cs="Times New Roman"/>
          <w:bCs/>
          <w:noProof/>
          <w:sz w:val="24"/>
          <w:szCs w:val="24"/>
        </w:rPr>
        <w:t xml:space="preserve">šilumos bazinių kainų dedamųjų </w:t>
      </w:r>
      <w:bookmarkEnd w:id="1"/>
      <w:r w:rsidR="004D2E86" w:rsidRPr="004D2E86">
        <w:rPr>
          <w:rFonts w:ascii="Times New Roman" w:eastAsia="Times New Roman" w:hAnsi="Times New Roman" w:cs="Times New Roman"/>
          <w:bCs/>
          <w:noProof/>
          <w:sz w:val="24"/>
          <w:szCs w:val="24"/>
        </w:rPr>
        <w:t xml:space="preserve">galiojimo metams nustatymo“ </w:t>
      </w:r>
      <w:r w:rsidRPr="004D79A5">
        <w:rPr>
          <w:rFonts w:ascii="Times New Roman" w:hAnsi="Times New Roman" w:cs="Times New Roman"/>
          <w:sz w:val="24"/>
          <w:szCs w:val="24"/>
        </w:rPr>
        <w:t>(toliau – Sprendimas)</w:t>
      </w:r>
      <w:r w:rsidR="004D2E86">
        <w:rPr>
          <w:rFonts w:ascii="Times New Roman" w:hAnsi="Times New Roman" w:cs="Times New Roman"/>
          <w:sz w:val="24"/>
          <w:szCs w:val="24"/>
        </w:rPr>
        <w:t xml:space="preserve"> nustatė </w:t>
      </w:r>
      <w:r w:rsidR="004D2E86" w:rsidRPr="004D2E86">
        <w:rPr>
          <w:rFonts w:ascii="Times New Roman" w:eastAsia="Times New Roman" w:hAnsi="Times New Roman" w:cs="Times New Roman"/>
          <w:bCs/>
          <w:noProof/>
          <w:sz w:val="24"/>
          <w:szCs w:val="24"/>
        </w:rPr>
        <w:t>šilumos bazinių kainų dedam</w:t>
      </w:r>
      <w:r w:rsidR="004D2E86">
        <w:rPr>
          <w:rFonts w:ascii="Times New Roman" w:eastAsia="Times New Roman" w:hAnsi="Times New Roman" w:cs="Times New Roman"/>
          <w:bCs/>
          <w:noProof/>
          <w:sz w:val="24"/>
          <w:szCs w:val="24"/>
        </w:rPr>
        <w:t>ąsias.</w:t>
      </w:r>
      <w:r>
        <w:rPr>
          <w:rFonts w:ascii="Times New Roman" w:hAnsi="Times New Roman" w:cs="Times New Roman"/>
          <w:sz w:val="24"/>
          <w:szCs w:val="24"/>
        </w:rPr>
        <w:t xml:space="preserve"> </w:t>
      </w:r>
    </w:p>
    <w:p w14:paraId="6E257069" w14:textId="643AC86F" w:rsidR="004D79A5" w:rsidRPr="004D79A5" w:rsidRDefault="004D79A5" w:rsidP="004D2E86">
      <w:pPr>
        <w:pStyle w:val="Sraopastraipa"/>
        <w:spacing w:line="360" w:lineRule="auto"/>
        <w:ind w:left="0" w:firstLine="720"/>
        <w:jc w:val="both"/>
        <w:rPr>
          <w:rFonts w:ascii="Times New Roman" w:hAnsi="Times New Roman" w:cs="Times New Roman"/>
          <w:sz w:val="24"/>
          <w:szCs w:val="24"/>
        </w:rPr>
      </w:pPr>
      <w:r w:rsidRPr="004D79A5">
        <w:rPr>
          <w:rFonts w:ascii="Times New Roman" w:hAnsi="Times New Roman" w:cs="Times New Roman"/>
          <w:sz w:val="24"/>
          <w:szCs w:val="24"/>
        </w:rPr>
        <w:t>Lietuvos Respublikos Seimas 2022 m. birželio 30 d. priėmė Lietuvos Respublikos šilumos ūkio įstatymo Nr. IX-1565 2, 20, 23, 24 ir 32 straipsnių pakeitimo įstatymą Nr. XIV-1298 (toliau – Įstatymas). Įstatymu be kitų pakeitimų pakeista kintamosios šilumos bazinės kainos dedamosios sąvoka bei 32 straipsnio 16 dalies 1 punktas</w:t>
      </w:r>
      <w:bookmarkEnd w:id="0"/>
      <w:r w:rsidRPr="004D79A5">
        <w:rPr>
          <w:rFonts w:ascii="Times New Roman" w:hAnsi="Times New Roman" w:cs="Times New Roman"/>
          <w:sz w:val="24"/>
          <w:szCs w:val="24"/>
        </w:rPr>
        <w:t>. Minėtais pakeitimais atsisakoma fiksuotos kuro struktūros šilumos kainos kintamojoje dedamoje ir dviejų mėnesių senumo kuro įsigijimo kainų taikymo apskaičiuojant galutines mėnesio šilumos kainas. Tokiu būdu siekiama sudaryti galimybes ūkio subjektams lanksčiau priimti sprendimus dėl optimalaus kuro įsigijimo būdo ir nustatyti optimalią kuro struktūrą skirtingais laikotarpiais.</w:t>
      </w:r>
    </w:p>
    <w:p w14:paraId="2D56575E" w14:textId="782FB033" w:rsidR="004D79A5" w:rsidRPr="004D79A5" w:rsidRDefault="004D79A5" w:rsidP="00A24CAB">
      <w:pPr>
        <w:pStyle w:val="Sraopastraipa"/>
        <w:spacing w:line="360" w:lineRule="auto"/>
        <w:ind w:left="0" w:firstLine="720"/>
        <w:jc w:val="both"/>
        <w:rPr>
          <w:rFonts w:ascii="Times New Roman" w:hAnsi="Times New Roman" w:cs="Times New Roman"/>
          <w:sz w:val="24"/>
          <w:szCs w:val="24"/>
        </w:rPr>
      </w:pPr>
      <w:r w:rsidRPr="004D79A5">
        <w:rPr>
          <w:rFonts w:ascii="Times New Roman" w:hAnsi="Times New Roman" w:cs="Times New Roman"/>
          <w:sz w:val="24"/>
          <w:szCs w:val="24"/>
        </w:rPr>
        <w:t>Įstatymo 6 straipsnio 3 dalyje nustatyta, kad Valstybinė energetikos reguliavimo taryba (toliau – Taryba), vadovaudamasi šiuo įstatymu, pakoreguoja šilumos tiekėjų, realizuojančių daugiau kaip 10 GWh šilumos per metus, šilumos kainos kintamąsias dedamąsias ir pateikia informaciją apie jas savivaldybių taryboms</w:t>
      </w:r>
      <w:r w:rsidR="00A24CAB">
        <w:rPr>
          <w:rFonts w:ascii="Times New Roman" w:hAnsi="Times New Roman" w:cs="Times New Roman"/>
          <w:sz w:val="24"/>
          <w:szCs w:val="24"/>
        </w:rPr>
        <w:t xml:space="preserve"> </w:t>
      </w:r>
      <w:r w:rsidRPr="004D79A5">
        <w:rPr>
          <w:rFonts w:ascii="Times New Roman" w:hAnsi="Times New Roman" w:cs="Times New Roman"/>
          <w:sz w:val="24"/>
          <w:szCs w:val="24"/>
        </w:rPr>
        <w:t>ne vėliau kaip iki 2022 m. rugsėjo 22 d. Savivaldybių tarybos</w:t>
      </w:r>
      <w:r w:rsidR="00A24CAB">
        <w:rPr>
          <w:rFonts w:ascii="Times New Roman" w:hAnsi="Times New Roman" w:cs="Times New Roman"/>
          <w:sz w:val="24"/>
          <w:szCs w:val="24"/>
        </w:rPr>
        <w:t xml:space="preserve"> </w:t>
      </w:r>
      <w:r w:rsidRPr="004D79A5">
        <w:rPr>
          <w:rFonts w:ascii="Times New Roman" w:hAnsi="Times New Roman" w:cs="Times New Roman"/>
          <w:sz w:val="24"/>
          <w:szCs w:val="24"/>
        </w:rPr>
        <w:t>nustato</w:t>
      </w:r>
      <w:r w:rsidR="00A24CAB">
        <w:rPr>
          <w:rFonts w:ascii="Times New Roman" w:hAnsi="Times New Roman" w:cs="Times New Roman"/>
          <w:sz w:val="24"/>
          <w:szCs w:val="24"/>
        </w:rPr>
        <w:t xml:space="preserve"> pakoreguotas</w:t>
      </w:r>
      <w:r w:rsidRPr="004D79A5">
        <w:rPr>
          <w:rFonts w:ascii="Times New Roman" w:hAnsi="Times New Roman" w:cs="Times New Roman"/>
          <w:sz w:val="24"/>
          <w:szCs w:val="24"/>
        </w:rPr>
        <w:t xml:space="preserve"> šilumos kainų dedamąsias. </w:t>
      </w:r>
    </w:p>
    <w:p w14:paraId="363110F1" w14:textId="0F9FAF35" w:rsidR="00A24CAB" w:rsidRPr="00A24CAB" w:rsidRDefault="004D79A5" w:rsidP="0012623A">
      <w:pPr>
        <w:pStyle w:val="Sraopastraipa"/>
        <w:spacing w:line="360" w:lineRule="auto"/>
        <w:ind w:left="0" w:firstLine="720"/>
        <w:jc w:val="both"/>
        <w:rPr>
          <w:rFonts w:ascii="Times New Roman" w:eastAsia="Times New Roman" w:hAnsi="Times New Roman" w:cs="Times New Roman"/>
          <w:color w:val="000000"/>
          <w:sz w:val="24"/>
          <w:szCs w:val="24"/>
        </w:rPr>
      </w:pPr>
      <w:r w:rsidRPr="004D79A5">
        <w:rPr>
          <w:rFonts w:ascii="Times New Roman" w:hAnsi="Times New Roman" w:cs="Times New Roman"/>
          <w:sz w:val="24"/>
          <w:szCs w:val="24"/>
        </w:rPr>
        <w:t>Taryba, atsižvelgdama į minėtas Įstatymo nuostatas ir tai, kad UAB „Molėtų šiluma“ galiojančios šilumos kainų dedamosios nustatytos</w:t>
      </w:r>
      <w:r w:rsidR="00D8681F">
        <w:rPr>
          <w:rFonts w:ascii="Times New Roman" w:hAnsi="Times New Roman" w:cs="Times New Roman"/>
          <w:sz w:val="24"/>
          <w:szCs w:val="24"/>
        </w:rPr>
        <w:t xml:space="preserve"> Sprendimu</w:t>
      </w:r>
      <w:r w:rsidRPr="004D79A5">
        <w:rPr>
          <w:rFonts w:ascii="Times New Roman" w:hAnsi="Times New Roman" w:cs="Times New Roman"/>
          <w:sz w:val="24"/>
          <w:szCs w:val="24"/>
        </w:rPr>
        <w:t>,</w:t>
      </w:r>
      <w:r w:rsidR="00A24CAB">
        <w:rPr>
          <w:rFonts w:ascii="Times New Roman" w:hAnsi="Times New Roman" w:cs="Times New Roman"/>
          <w:sz w:val="24"/>
          <w:szCs w:val="24"/>
        </w:rPr>
        <w:t xml:space="preserve"> </w:t>
      </w:r>
      <w:r w:rsidR="00A24CAB" w:rsidRPr="00A24CAB">
        <w:rPr>
          <w:rFonts w:ascii="Times New Roman" w:eastAsia="Times New Roman" w:hAnsi="Times New Roman" w:cs="Times New Roman"/>
          <w:sz w:val="24"/>
          <w:szCs w:val="24"/>
        </w:rPr>
        <w:t>2022 m. rugsėjo 15 d. rašt</w:t>
      </w:r>
      <w:r w:rsidR="00A24CAB">
        <w:rPr>
          <w:rFonts w:ascii="Times New Roman" w:eastAsia="Times New Roman" w:hAnsi="Times New Roman" w:cs="Times New Roman"/>
          <w:sz w:val="24"/>
          <w:szCs w:val="24"/>
        </w:rPr>
        <w:t>u</w:t>
      </w:r>
      <w:r w:rsidR="00A24CAB" w:rsidRPr="00A24CAB">
        <w:rPr>
          <w:rFonts w:ascii="Times New Roman" w:eastAsia="Times New Roman" w:hAnsi="Times New Roman" w:cs="Times New Roman"/>
          <w:sz w:val="24"/>
          <w:szCs w:val="24"/>
        </w:rPr>
        <w:t xml:space="preserve"> Nr. R2-</w:t>
      </w:r>
      <w:r w:rsidR="00A24CAB" w:rsidRPr="00A24CAB">
        <w:rPr>
          <w:rFonts w:ascii="Times New Roman" w:eastAsia="Times New Roman" w:hAnsi="Times New Roman" w:cs="Times New Roman"/>
          <w:sz w:val="24"/>
          <w:szCs w:val="24"/>
        </w:rPr>
        <w:lastRenderedPageBreak/>
        <w:t>(ŠBK) - 5515 „Dėl šilumos kainų dedamųjų nustatymo“,</w:t>
      </w:r>
      <w:r w:rsidRPr="004D79A5">
        <w:rPr>
          <w:rFonts w:ascii="Times New Roman" w:hAnsi="Times New Roman" w:cs="Times New Roman"/>
          <w:sz w:val="24"/>
          <w:szCs w:val="24"/>
        </w:rPr>
        <w:t xml:space="preserve"> </w:t>
      </w:r>
      <w:r w:rsidR="00A24CAB">
        <w:rPr>
          <w:rFonts w:ascii="Times New Roman" w:hAnsi="Times New Roman" w:cs="Times New Roman"/>
          <w:sz w:val="24"/>
          <w:szCs w:val="24"/>
        </w:rPr>
        <w:t xml:space="preserve">pateikė </w:t>
      </w:r>
      <w:r w:rsidRPr="004D79A5">
        <w:rPr>
          <w:rFonts w:ascii="Times New Roman" w:hAnsi="Times New Roman" w:cs="Times New Roman"/>
          <w:sz w:val="24"/>
          <w:szCs w:val="24"/>
        </w:rPr>
        <w:t>savivaldybei informaciją apie apskaičiuotas šilumos kainų dedamąsias. Tarybos perskaičiuotas kuro kiekis, apskaičiuotas pagal kuro žemutinę šiluminę vertę, sudaro 26 651 MWh. Atsižvelgiant į tai, tur</w:t>
      </w:r>
      <w:r w:rsidR="00A24CAB">
        <w:rPr>
          <w:rFonts w:ascii="Times New Roman" w:hAnsi="Times New Roman" w:cs="Times New Roman"/>
          <w:sz w:val="24"/>
          <w:szCs w:val="24"/>
        </w:rPr>
        <w:t>i</w:t>
      </w:r>
      <w:r w:rsidRPr="004D79A5">
        <w:rPr>
          <w:rFonts w:ascii="Times New Roman" w:hAnsi="Times New Roman" w:cs="Times New Roman"/>
          <w:sz w:val="24"/>
          <w:szCs w:val="24"/>
        </w:rPr>
        <w:t xml:space="preserve"> būti pakeistas Sprendimo 2 punktas</w:t>
      </w:r>
      <w:r w:rsidR="00A24CAB">
        <w:rPr>
          <w:rFonts w:ascii="Times New Roman" w:hAnsi="Times New Roman" w:cs="Times New Roman"/>
          <w:sz w:val="24"/>
          <w:szCs w:val="24"/>
        </w:rPr>
        <w:t>.</w:t>
      </w:r>
      <w:r w:rsidRPr="004D79A5">
        <w:rPr>
          <w:rFonts w:ascii="Times New Roman" w:hAnsi="Times New Roman" w:cs="Times New Roman"/>
          <w:sz w:val="24"/>
          <w:szCs w:val="24"/>
        </w:rPr>
        <w:t xml:space="preserve"> </w:t>
      </w:r>
      <w:r w:rsidR="0012623A">
        <w:rPr>
          <w:rFonts w:ascii="Times New Roman" w:hAnsi="Times New Roman" w:cs="Times New Roman"/>
          <w:sz w:val="24"/>
          <w:szCs w:val="24"/>
        </w:rPr>
        <w:t>Taip pat</w:t>
      </w:r>
      <w:r w:rsidR="00D8681F">
        <w:rPr>
          <w:rFonts w:ascii="Times New Roman" w:hAnsi="Times New Roman" w:cs="Times New Roman"/>
          <w:sz w:val="24"/>
          <w:szCs w:val="24"/>
        </w:rPr>
        <w:t xml:space="preserve"> rašte</w:t>
      </w:r>
      <w:r w:rsidR="0012623A">
        <w:rPr>
          <w:rFonts w:ascii="Times New Roman" w:hAnsi="Times New Roman" w:cs="Times New Roman"/>
          <w:sz w:val="24"/>
          <w:szCs w:val="24"/>
        </w:rPr>
        <w:t xml:space="preserve"> pateiktas l</w:t>
      </w:r>
      <w:r w:rsidR="00A24CAB" w:rsidRPr="00A24CAB">
        <w:rPr>
          <w:rFonts w:ascii="Times New Roman" w:eastAsia="Times New Roman" w:hAnsi="Times New Roman" w:cs="Times New Roman"/>
          <w:color w:val="000000"/>
          <w:sz w:val="24"/>
          <w:szCs w:val="24"/>
        </w:rPr>
        <w:t>yginamasis pakeitimo variantas:</w:t>
      </w:r>
    </w:p>
    <w:p w14:paraId="1363BACE" w14:textId="77777777" w:rsidR="00A24CAB" w:rsidRPr="00A24CAB" w:rsidRDefault="00A24CAB" w:rsidP="00A24CAB">
      <w:pPr>
        <w:tabs>
          <w:tab w:val="left" w:pos="709"/>
        </w:tabs>
        <w:spacing w:after="0" w:line="276" w:lineRule="auto"/>
        <w:ind w:firstLine="720"/>
        <w:jc w:val="both"/>
        <w:rPr>
          <w:rFonts w:ascii="Times New Roman" w:eastAsia="Calibri" w:hAnsi="Times New Roman" w:cs="Times New Roman"/>
          <w:color w:val="000000"/>
          <w:sz w:val="24"/>
          <w:szCs w:val="24"/>
        </w:rPr>
      </w:pPr>
      <w:r w:rsidRPr="00A24CAB">
        <w:rPr>
          <w:rFonts w:ascii="Times New Roman" w:eastAsia="Calibri" w:hAnsi="Times New Roman" w:cs="Times New Roman"/>
          <w:color w:val="000000"/>
          <w:sz w:val="24"/>
          <w:szCs w:val="24"/>
        </w:rPr>
        <w:t>„2. Nustatyti dedamųjų T</w:t>
      </w:r>
      <w:r w:rsidRPr="00A24CAB">
        <w:rPr>
          <w:rFonts w:ascii="Times New Roman" w:eastAsia="Calibri" w:hAnsi="Times New Roman" w:cs="Times New Roman"/>
          <w:color w:val="000000"/>
          <w:sz w:val="24"/>
          <w:szCs w:val="24"/>
          <w:vertAlign w:val="subscript"/>
        </w:rPr>
        <w:t>HG,KD</w:t>
      </w:r>
      <w:r w:rsidRPr="00A24CAB">
        <w:rPr>
          <w:rFonts w:ascii="Times New Roman" w:eastAsia="Calibri" w:hAnsi="Times New Roman" w:cs="Times New Roman"/>
          <w:color w:val="000000"/>
          <w:sz w:val="24"/>
          <w:szCs w:val="24"/>
        </w:rPr>
        <w:t>, T</w:t>
      </w:r>
      <w:r w:rsidRPr="00A24CAB">
        <w:rPr>
          <w:rFonts w:ascii="Times New Roman" w:eastAsia="Calibri" w:hAnsi="Times New Roman" w:cs="Times New Roman"/>
          <w:color w:val="000000"/>
          <w:sz w:val="24"/>
          <w:szCs w:val="24"/>
          <w:vertAlign w:val="subscript"/>
        </w:rPr>
        <w:t>H,KD,</w:t>
      </w:r>
      <w:r w:rsidRPr="00A24CAB">
        <w:rPr>
          <w:rFonts w:ascii="Times New Roman" w:eastAsia="Calibri" w:hAnsi="Times New Roman" w:cs="Times New Roman"/>
          <w:color w:val="000000"/>
          <w:sz w:val="24"/>
          <w:szCs w:val="24"/>
        </w:rPr>
        <w:t xml:space="preserve"> T</w:t>
      </w:r>
      <w:r w:rsidRPr="00A24CAB">
        <w:rPr>
          <w:rFonts w:ascii="Times New Roman" w:eastAsia="Calibri" w:hAnsi="Times New Roman" w:cs="Times New Roman"/>
          <w:color w:val="000000"/>
          <w:sz w:val="24"/>
          <w:szCs w:val="24"/>
          <w:vertAlign w:val="subscript"/>
        </w:rPr>
        <w:t>H,KD,dv,</w:t>
      </w:r>
      <w:r w:rsidRPr="00A24CAB">
        <w:rPr>
          <w:rFonts w:ascii="Times New Roman" w:eastAsia="Calibri" w:hAnsi="Times New Roman" w:cs="Times New Roman"/>
          <w:color w:val="000000"/>
          <w:sz w:val="24"/>
          <w:szCs w:val="24"/>
        </w:rPr>
        <w:t xml:space="preserve"> T </w:t>
      </w:r>
      <w:r w:rsidRPr="00A24CAB">
        <w:rPr>
          <w:rFonts w:ascii="Times New Roman" w:eastAsia="Calibri" w:hAnsi="Times New Roman" w:cs="Times New Roman"/>
          <w:color w:val="000000"/>
          <w:sz w:val="24"/>
          <w:szCs w:val="24"/>
          <w:vertAlign w:val="subscript"/>
        </w:rPr>
        <w:t>HT,KD,</w:t>
      </w:r>
      <w:r w:rsidRPr="00A24CAB">
        <w:rPr>
          <w:rFonts w:ascii="Times New Roman" w:eastAsia="Calibri" w:hAnsi="Times New Roman" w:cs="Times New Roman"/>
          <w:color w:val="000000"/>
          <w:sz w:val="24"/>
          <w:szCs w:val="24"/>
        </w:rPr>
        <w:t xml:space="preserve"> T </w:t>
      </w:r>
      <w:r w:rsidRPr="00A24CAB">
        <w:rPr>
          <w:rFonts w:ascii="Times New Roman" w:eastAsia="Calibri" w:hAnsi="Times New Roman" w:cs="Times New Roman"/>
          <w:color w:val="000000"/>
          <w:sz w:val="24"/>
          <w:szCs w:val="24"/>
          <w:vertAlign w:val="subscript"/>
        </w:rPr>
        <w:t>HT,KD,dv,</w:t>
      </w:r>
      <w:r w:rsidRPr="00A24CAB">
        <w:rPr>
          <w:rFonts w:ascii="Times New Roman" w:eastAsia="Calibri" w:hAnsi="Times New Roman" w:cs="Times New Roman"/>
          <w:color w:val="000000"/>
          <w:sz w:val="24"/>
          <w:szCs w:val="24"/>
        </w:rPr>
        <w:t xml:space="preserve"> T </w:t>
      </w:r>
      <w:r w:rsidRPr="00A24CAB">
        <w:rPr>
          <w:rFonts w:ascii="Times New Roman" w:eastAsia="Calibri" w:hAnsi="Times New Roman" w:cs="Times New Roman"/>
          <w:color w:val="000000"/>
          <w:sz w:val="24"/>
          <w:szCs w:val="24"/>
          <w:vertAlign w:val="subscript"/>
        </w:rPr>
        <w:t>H</w:t>
      </w:r>
      <w:r w:rsidRPr="00A24CAB">
        <w:rPr>
          <w:rFonts w:ascii="Times New Roman" w:eastAsia="Calibri" w:hAnsi="Times New Roman" w:cs="Times New Roman"/>
          <w:color w:val="000000"/>
          <w:sz w:val="24"/>
          <w:szCs w:val="24"/>
        </w:rPr>
        <w:t xml:space="preserve"> formules: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53"/>
        <w:gridCol w:w="4819"/>
      </w:tblGrid>
      <w:tr w:rsidR="00A24CAB" w:rsidRPr="00A24CAB" w14:paraId="3EF8DD38" w14:textId="77777777" w:rsidTr="008818A4">
        <w:tc>
          <w:tcPr>
            <w:tcW w:w="567" w:type="dxa"/>
          </w:tcPr>
          <w:p w14:paraId="74022EB9"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Eil. Nr.</w:t>
            </w:r>
          </w:p>
        </w:tc>
        <w:tc>
          <w:tcPr>
            <w:tcW w:w="4253" w:type="dxa"/>
            <w:vAlign w:val="center"/>
          </w:tcPr>
          <w:p w14:paraId="12C770C3"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Dedamoji</w:t>
            </w:r>
          </w:p>
        </w:tc>
        <w:tc>
          <w:tcPr>
            <w:tcW w:w="4819" w:type="dxa"/>
            <w:vAlign w:val="center"/>
          </w:tcPr>
          <w:p w14:paraId="083D9E91"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Formulė</w:t>
            </w:r>
          </w:p>
        </w:tc>
      </w:tr>
      <w:tr w:rsidR="00A24CAB" w:rsidRPr="00A24CAB" w14:paraId="0940BEEE" w14:textId="77777777" w:rsidTr="008818A4">
        <w:tc>
          <w:tcPr>
            <w:tcW w:w="567" w:type="dxa"/>
            <w:vAlign w:val="center"/>
          </w:tcPr>
          <w:p w14:paraId="6C4B7E30"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2.1.</w:t>
            </w:r>
          </w:p>
        </w:tc>
        <w:tc>
          <w:tcPr>
            <w:tcW w:w="4253" w:type="dxa"/>
            <w:vAlign w:val="center"/>
          </w:tcPr>
          <w:p w14:paraId="2734F744" w14:textId="77777777" w:rsidR="00A24CAB" w:rsidRPr="00A24CAB" w:rsidRDefault="00A24CAB" w:rsidP="00A24CAB">
            <w:pPr>
              <w:tabs>
                <w:tab w:val="left" w:pos="1134"/>
              </w:tabs>
              <w:spacing w:after="0" w:line="276" w:lineRule="auto"/>
              <w:contextualSpacing/>
              <w:rPr>
                <w:rFonts w:ascii="Times New Roman" w:eastAsia="Calibri" w:hAnsi="Times New Roman" w:cs="Times New Roman"/>
                <w:color w:val="000000"/>
              </w:rPr>
            </w:pPr>
            <w:r w:rsidRPr="00A24CAB">
              <w:rPr>
                <w:rFonts w:ascii="Times New Roman" w:eastAsia="Calibri" w:hAnsi="Times New Roman" w:cs="Times New Roman"/>
                <w:color w:val="000000"/>
              </w:rPr>
              <w:t>Šilumos (produkto) gamybos vienanarės kainos kintamoji dedamoji, šilumos (produkto) gamybos (įsigijimo) vienanarės kainos ir dvinarės kainos kintamoji dedamoji</w:t>
            </w:r>
          </w:p>
        </w:tc>
        <w:tc>
          <w:tcPr>
            <w:tcW w:w="4819" w:type="dxa"/>
            <w:vAlign w:val="center"/>
          </w:tcPr>
          <w:p w14:paraId="35FEC10C"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T</w:t>
            </w:r>
            <w:r w:rsidRPr="00A24CAB">
              <w:rPr>
                <w:rFonts w:ascii="Times New Roman" w:eastAsia="Calibri" w:hAnsi="Times New Roman" w:cs="Times New Roman"/>
                <w:color w:val="000000"/>
                <w:vertAlign w:val="subscript"/>
              </w:rPr>
              <w:t>HG,KD</w:t>
            </w:r>
            <w:r w:rsidRPr="00A24CAB">
              <w:rPr>
                <w:rFonts w:ascii="Times New Roman" w:eastAsia="Calibri" w:hAnsi="Times New Roman" w:cs="Times New Roman"/>
                <w:color w:val="000000"/>
              </w:rPr>
              <w:t xml:space="preserve"> =  T</w:t>
            </w:r>
            <w:r w:rsidRPr="00A24CAB">
              <w:rPr>
                <w:rFonts w:ascii="Times New Roman" w:eastAsia="Calibri" w:hAnsi="Times New Roman" w:cs="Times New Roman"/>
                <w:color w:val="000000"/>
                <w:vertAlign w:val="subscript"/>
              </w:rPr>
              <w:t>H,KD</w:t>
            </w:r>
            <w:r w:rsidRPr="00A24CAB">
              <w:rPr>
                <w:rFonts w:ascii="Times New Roman" w:eastAsia="Calibri" w:hAnsi="Times New Roman" w:cs="Times New Roman"/>
                <w:color w:val="000000"/>
              </w:rPr>
              <w:t xml:space="preserve"> = T</w:t>
            </w:r>
            <w:r w:rsidRPr="00A24CAB">
              <w:rPr>
                <w:rFonts w:ascii="Times New Roman" w:eastAsia="Calibri" w:hAnsi="Times New Roman" w:cs="Times New Roman"/>
                <w:color w:val="000000"/>
                <w:vertAlign w:val="subscript"/>
              </w:rPr>
              <w:t>H,KD,dv</w:t>
            </w:r>
            <w:r w:rsidRPr="00A24CAB">
              <w:rPr>
                <w:rFonts w:ascii="Times New Roman" w:eastAsia="Calibri" w:hAnsi="Times New Roman" w:cs="Times New Roman"/>
                <w:color w:val="000000"/>
              </w:rPr>
              <w:t xml:space="preserve"> = 0,17 + </w:t>
            </w:r>
            <w:r w:rsidRPr="00A24CAB">
              <w:rPr>
                <w:rFonts w:ascii="Times New Roman" w:eastAsia="Calibri" w:hAnsi="Times New Roman" w:cs="Times New Roman"/>
                <w:strike/>
                <w:color w:val="000000"/>
              </w:rPr>
              <w:t>((9,00x  p</w:t>
            </w:r>
            <w:r w:rsidRPr="00A24CAB">
              <w:rPr>
                <w:rFonts w:ascii="Times New Roman" w:eastAsia="Calibri" w:hAnsi="Times New Roman" w:cs="Times New Roman"/>
                <w:strike/>
                <w:color w:val="000000"/>
                <w:vertAlign w:val="subscript"/>
              </w:rPr>
              <w:t>HG ,m</w:t>
            </w:r>
            <w:r w:rsidRPr="00A24CAB">
              <w:rPr>
                <w:rFonts w:ascii="Times New Roman" w:eastAsia="Calibri" w:hAnsi="Times New Roman" w:cs="Times New Roman"/>
                <w:strike/>
                <w:color w:val="000000"/>
              </w:rPr>
              <w:t>)</w:t>
            </w:r>
            <w:r w:rsidRPr="00A24CAB">
              <w:rPr>
                <w:rFonts w:ascii="Times New Roman" w:eastAsia="Calibri" w:hAnsi="Times New Roman" w:cs="Times New Roman"/>
                <w:strike/>
                <w:color w:val="000000"/>
                <w:vertAlign w:val="subscript"/>
              </w:rPr>
              <w:t xml:space="preserve"> </w:t>
            </w:r>
            <w:r w:rsidRPr="00A24CAB">
              <w:rPr>
                <w:rFonts w:ascii="Times New Roman" w:eastAsia="Calibri" w:hAnsi="Times New Roman" w:cs="Times New Roman"/>
                <w:strike/>
                <w:color w:val="000000"/>
              </w:rPr>
              <w:t>+(2091,53 x p</w:t>
            </w:r>
            <w:r w:rsidRPr="00A24CAB">
              <w:rPr>
                <w:rFonts w:ascii="Times New Roman" w:eastAsia="Calibri" w:hAnsi="Times New Roman" w:cs="Times New Roman"/>
                <w:strike/>
                <w:color w:val="000000"/>
                <w:vertAlign w:val="subscript"/>
              </w:rPr>
              <w:t>HG ,med. b</w:t>
            </w:r>
            <w:r w:rsidRPr="00A24CAB">
              <w:rPr>
                <w:rFonts w:ascii="Times New Roman" w:eastAsia="Calibri" w:hAnsi="Times New Roman" w:cs="Times New Roman"/>
                <w:strike/>
                <w:color w:val="000000"/>
              </w:rPr>
              <w:t>) + (148,64x p</w:t>
            </w:r>
            <w:r w:rsidRPr="00A24CAB">
              <w:rPr>
                <w:rFonts w:ascii="Times New Roman" w:eastAsia="Calibri" w:hAnsi="Times New Roman" w:cs="Times New Roman"/>
                <w:strike/>
                <w:color w:val="000000"/>
                <w:vertAlign w:val="subscript"/>
              </w:rPr>
              <w:t>HG, gr</w:t>
            </w:r>
            <w:r w:rsidRPr="00A24CAB">
              <w:rPr>
                <w:rFonts w:ascii="Times New Roman" w:eastAsia="Calibri" w:hAnsi="Times New Roman" w:cs="Times New Roman"/>
                <w:strike/>
                <w:color w:val="000000"/>
              </w:rPr>
              <w:t>)+( 42,37 x p</w:t>
            </w:r>
            <w:r w:rsidRPr="00A24CAB">
              <w:rPr>
                <w:rFonts w:ascii="Times New Roman" w:eastAsia="Calibri" w:hAnsi="Times New Roman" w:cs="Times New Roman"/>
                <w:strike/>
                <w:color w:val="000000"/>
                <w:vertAlign w:val="subscript"/>
              </w:rPr>
              <w:t>HG ,med</w:t>
            </w:r>
            <w:r w:rsidRPr="00A24CAB">
              <w:rPr>
                <w:rFonts w:ascii="Times New Roman" w:eastAsia="Calibri" w:hAnsi="Times New Roman" w:cs="Times New Roman"/>
                <w:strike/>
                <w:color w:val="000000"/>
              </w:rPr>
              <w:t xml:space="preserve"> ))</w:t>
            </w:r>
            <w:r w:rsidRPr="00A24CAB">
              <w:rPr>
                <w:rFonts w:ascii="Times New Roman" w:eastAsia="Times New Roman" w:hAnsi="Times New Roman" w:cs="Times New Roman"/>
                <w:color w:val="000000"/>
              </w:rPr>
              <w:t xml:space="preserve"> </w:t>
            </w:r>
            <w:r w:rsidRPr="00A24CAB">
              <w:rPr>
                <w:rFonts w:ascii="Times New Roman" w:eastAsia="Times New Roman" w:hAnsi="Times New Roman" w:cs="Times New Roman"/>
                <w:b/>
                <w:bCs/>
                <w:color w:val="000000"/>
              </w:rPr>
              <w:t xml:space="preserve">(26 651 × </w:t>
            </w:r>
            <w:r w:rsidRPr="00A24CAB">
              <w:rPr>
                <w:rFonts w:ascii="Times New Roman" w:eastAsia="Calibri" w:hAnsi="Times New Roman" w:cs="Times New Roman"/>
                <w:b/>
                <w:bCs/>
                <w:color w:val="000000"/>
              </w:rPr>
              <w:t>p</w:t>
            </w:r>
            <w:r w:rsidRPr="00A24CAB">
              <w:rPr>
                <w:rFonts w:ascii="Times New Roman" w:eastAsia="Calibri" w:hAnsi="Times New Roman" w:cs="Times New Roman"/>
                <w:b/>
                <w:bCs/>
                <w:color w:val="000000"/>
                <w:vertAlign w:val="subscript"/>
              </w:rPr>
              <w:t>F</w:t>
            </w:r>
            <w:r w:rsidRPr="00A24CAB">
              <w:rPr>
                <w:rFonts w:ascii="Times New Roman" w:eastAsia="Calibri" w:hAnsi="Times New Roman" w:cs="Times New Roman"/>
                <w:b/>
                <w:bCs/>
                <w:color w:val="000000"/>
              </w:rPr>
              <w:t>)</w:t>
            </w:r>
            <w:r w:rsidRPr="00A24CAB">
              <w:rPr>
                <w:rFonts w:ascii="Times New Roman" w:eastAsia="Times New Roman" w:hAnsi="Times New Roman" w:cs="Times New Roman"/>
                <w:b/>
                <w:bCs/>
                <w:color w:val="000000"/>
              </w:rPr>
              <w:t xml:space="preserve"> </w:t>
            </w:r>
            <w:r w:rsidRPr="00A24CAB">
              <w:rPr>
                <w:rFonts w:ascii="Times New Roman" w:eastAsia="Calibri" w:hAnsi="Times New Roman" w:cs="Times New Roman"/>
                <w:color w:val="000000"/>
              </w:rPr>
              <w:t>× 100 / 23 513 741</w:t>
            </w:r>
          </w:p>
        </w:tc>
      </w:tr>
      <w:tr w:rsidR="00A24CAB" w:rsidRPr="00A24CAB" w14:paraId="0ACD3C61" w14:textId="77777777" w:rsidTr="008818A4">
        <w:tc>
          <w:tcPr>
            <w:tcW w:w="567" w:type="dxa"/>
          </w:tcPr>
          <w:p w14:paraId="13E97493"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2.2.</w:t>
            </w:r>
          </w:p>
        </w:tc>
        <w:tc>
          <w:tcPr>
            <w:tcW w:w="4253" w:type="dxa"/>
          </w:tcPr>
          <w:p w14:paraId="7E29E325" w14:textId="77777777" w:rsidR="00A24CAB" w:rsidRPr="00A24CAB" w:rsidRDefault="00A24CAB" w:rsidP="00A24CAB">
            <w:pPr>
              <w:tabs>
                <w:tab w:val="left" w:pos="1134"/>
              </w:tabs>
              <w:spacing w:after="0" w:line="276" w:lineRule="auto"/>
              <w:contextualSpacing/>
              <w:rPr>
                <w:rFonts w:ascii="Times New Roman" w:eastAsia="Calibri" w:hAnsi="Times New Roman" w:cs="Times New Roman"/>
                <w:color w:val="000000"/>
              </w:rPr>
            </w:pPr>
            <w:r w:rsidRPr="00A24CAB">
              <w:rPr>
                <w:rFonts w:ascii="Times New Roman" w:eastAsia="Calibri" w:hAnsi="Times New Roman" w:cs="Times New Roman"/>
                <w:color w:val="000000"/>
              </w:rPr>
              <w:t>Šilumos perdavimo vienanarės kainos ir dvinarės  kainos kintamoji dedamoji</w:t>
            </w:r>
          </w:p>
        </w:tc>
        <w:tc>
          <w:tcPr>
            <w:tcW w:w="4819" w:type="dxa"/>
            <w:vAlign w:val="center"/>
          </w:tcPr>
          <w:p w14:paraId="27FC080A"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T</w:t>
            </w:r>
            <w:r w:rsidRPr="00A24CAB">
              <w:rPr>
                <w:rFonts w:ascii="Times New Roman" w:eastAsia="Calibri" w:hAnsi="Times New Roman" w:cs="Times New Roman"/>
                <w:color w:val="000000"/>
                <w:vertAlign w:val="subscript"/>
              </w:rPr>
              <w:t xml:space="preserve">HT,KD </w:t>
            </w:r>
            <w:r w:rsidRPr="00A24CAB">
              <w:rPr>
                <w:rFonts w:ascii="Times New Roman" w:eastAsia="Calibri" w:hAnsi="Times New Roman" w:cs="Times New Roman"/>
                <w:color w:val="000000"/>
              </w:rPr>
              <w:t>= T</w:t>
            </w:r>
            <w:r w:rsidRPr="00A24CAB">
              <w:rPr>
                <w:rFonts w:ascii="Times New Roman" w:eastAsia="Calibri" w:hAnsi="Times New Roman" w:cs="Times New Roman"/>
                <w:color w:val="000000"/>
                <w:vertAlign w:val="subscript"/>
              </w:rPr>
              <w:t xml:space="preserve">HT,KD,dv </w:t>
            </w:r>
            <w:r w:rsidRPr="00A24CAB">
              <w:rPr>
                <w:rFonts w:ascii="Times New Roman" w:eastAsia="Calibri" w:hAnsi="Times New Roman" w:cs="Times New Roman"/>
                <w:color w:val="000000"/>
              </w:rPr>
              <w:t>= 0,07 + (3 918 887 × T</w:t>
            </w:r>
            <w:r w:rsidRPr="00A24CAB">
              <w:rPr>
                <w:rFonts w:ascii="Times New Roman" w:eastAsia="Calibri" w:hAnsi="Times New Roman" w:cs="Times New Roman"/>
                <w:color w:val="000000"/>
                <w:vertAlign w:val="subscript"/>
              </w:rPr>
              <w:t>H</w:t>
            </w:r>
            <w:r w:rsidRPr="00A24CAB">
              <w:rPr>
                <w:rFonts w:ascii="Times New Roman" w:eastAsia="Calibri" w:hAnsi="Times New Roman" w:cs="Times New Roman"/>
                <w:color w:val="000000"/>
              </w:rPr>
              <w:t xml:space="preserve"> ) / 19 594 854</w:t>
            </w:r>
          </w:p>
        </w:tc>
      </w:tr>
      <w:tr w:rsidR="00A24CAB" w:rsidRPr="00A24CAB" w14:paraId="08281C44" w14:textId="77777777" w:rsidTr="008818A4">
        <w:tc>
          <w:tcPr>
            <w:tcW w:w="567" w:type="dxa"/>
          </w:tcPr>
          <w:p w14:paraId="7E92196B"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2.3.</w:t>
            </w:r>
          </w:p>
        </w:tc>
        <w:tc>
          <w:tcPr>
            <w:tcW w:w="4253" w:type="dxa"/>
          </w:tcPr>
          <w:p w14:paraId="45E62950" w14:textId="77777777" w:rsidR="00A24CAB" w:rsidRPr="00A24CAB" w:rsidRDefault="00A24CAB" w:rsidP="00A24CAB">
            <w:pPr>
              <w:tabs>
                <w:tab w:val="left" w:pos="1134"/>
              </w:tabs>
              <w:spacing w:after="0" w:line="276" w:lineRule="auto"/>
              <w:contextualSpacing/>
              <w:rPr>
                <w:rFonts w:ascii="Times New Roman" w:eastAsia="Calibri" w:hAnsi="Times New Roman" w:cs="Times New Roman"/>
                <w:color w:val="000000"/>
              </w:rPr>
            </w:pPr>
            <w:r w:rsidRPr="00A24CAB">
              <w:rPr>
                <w:rFonts w:ascii="Times New Roman" w:eastAsia="Calibri" w:hAnsi="Times New Roman" w:cs="Times New Roman"/>
                <w:color w:val="000000"/>
              </w:rPr>
              <w:t>Šilumos (produkto) gamybos (įsigijimo) vienanarė kaina</w:t>
            </w:r>
          </w:p>
        </w:tc>
        <w:tc>
          <w:tcPr>
            <w:tcW w:w="4819" w:type="dxa"/>
            <w:vAlign w:val="center"/>
          </w:tcPr>
          <w:p w14:paraId="29CBBD40" w14:textId="77777777" w:rsidR="00A24CAB" w:rsidRPr="00A24CAB" w:rsidRDefault="00A24CAB" w:rsidP="00A24CAB">
            <w:pPr>
              <w:tabs>
                <w:tab w:val="left" w:pos="1134"/>
              </w:tabs>
              <w:spacing w:after="0" w:line="276" w:lineRule="auto"/>
              <w:contextualSpacing/>
              <w:jc w:val="center"/>
              <w:rPr>
                <w:rFonts w:ascii="Times New Roman" w:eastAsia="Calibri" w:hAnsi="Times New Roman" w:cs="Times New Roman"/>
                <w:color w:val="000000"/>
              </w:rPr>
            </w:pPr>
            <w:r w:rsidRPr="00A24CAB">
              <w:rPr>
                <w:rFonts w:ascii="Times New Roman" w:eastAsia="Calibri" w:hAnsi="Times New Roman" w:cs="Times New Roman"/>
                <w:color w:val="000000"/>
              </w:rPr>
              <w:t>T</w:t>
            </w:r>
            <w:r w:rsidRPr="00A24CAB">
              <w:rPr>
                <w:rFonts w:ascii="Times New Roman" w:eastAsia="Calibri" w:hAnsi="Times New Roman" w:cs="Times New Roman"/>
                <w:color w:val="000000"/>
                <w:vertAlign w:val="subscript"/>
              </w:rPr>
              <w:t xml:space="preserve">H </w:t>
            </w:r>
            <w:r w:rsidRPr="00A24CAB">
              <w:rPr>
                <w:rFonts w:ascii="Times New Roman" w:eastAsia="Calibri" w:hAnsi="Times New Roman" w:cs="Times New Roman"/>
                <w:color w:val="000000"/>
              </w:rPr>
              <w:t>= 2,03 + T</w:t>
            </w:r>
            <w:r w:rsidRPr="00A24CAB">
              <w:rPr>
                <w:rFonts w:ascii="Times New Roman" w:eastAsia="Calibri" w:hAnsi="Times New Roman" w:cs="Times New Roman"/>
                <w:color w:val="000000"/>
                <w:vertAlign w:val="subscript"/>
              </w:rPr>
              <w:t>H,KD</w:t>
            </w:r>
          </w:p>
        </w:tc>
      </w:tr>
    </w:tbl>
    <w:p w14:paraId="05D11248" w14:textId="77777777" w:rsidR="00A24CAB" w:rsidRPr="00A24CAB" w:rsidRDefault="00A24CAB" w:rsidP="00A24CAB">
      <w:pPr>
        <w:tabs>
          <w:tab w:val="left" w:pos="1134"/>
        </w:tabs>
        <w:spacing w:after="0" w:line="276" w:lineRule="auto"/>
        <w:contextualSpacing/>
        <w:jc w:val="both"/>
        <w:rPr>
          <w:rFonts w:ascii="Times New Roman" w:eastAsia="Calibri" w:hAnsi="Times New Roman" w:cs="Times New Roman"/>
          <w:i/>
          <w:color w:val="000000"/>
          <w:sz w:val="20"/>
          <w:szCs w:val="20"/>
        </w:rPr>
      </w:pPr>
      <w:r w:rsidRPr="00A24CAB">
        <w:rPr>
          <w:rFonts w:ascii="Times New Roman" w:eastAsia="Calibri" w:hAnsi="Times New Roman" w:cs="Times New Roman"/>
          <w:i/>
          <w:color w:val="000000"/>
          <w:sz w:val="20"/>
          <w:szCs w:val="20"/>
        </w:rPr>
        <w:t>čia:</w:t>
      </w:r>
    </w:p>
    <w:p w14:paraId="40B702C3" w14:textId="77777777" w:rsidR="00A24CAB" w:rsidRPr="00A24CAB" w:rsidRDefault="00A24CAB" w:rsidP="00A24CAB">
      <w:pPr>
        <w:tabs>
          <w:tab w:val="left" w:pos="1134"/>
        </w:tabs>
        <w:spacing w:after="0" w:line="276" w:lineRule="auto"/>
        <w:contextualSpacing/>
        <w:jc w:val="both"/>
        <w:rPr>
          <w:rFonts w:ascii="Times New Roman" w:eastAsia="Calibri" w:hAnsi="Times New Roman" w:cs="Times New Roman"/>
          <w:strike/>
          <w:color w:val="000000"/>
          <w:sz w:val="20"/>
          <w:szCs w:val="20"/>
        </w:rPr>
      </w:pPr>
      <w:r w:rsidRPr="00A24CAB">
        <w:rPr>
          <w:rFonts w:ascii="Times New Roman" w:eastAsia="Calibri" w:hAnsi="Times New Roman" w:cs="Times New Roman"/>
          <w:strike/>
          <w:color w:val="000000"/>
          <w:sz w:val="20"/>
          <w:szCs w:val="20"/>
        </w:rPr>
        <w:t>p</w:t>
      </w:r>
      <w:r w:rsidRPr="00A24CAB">
        <w:rPr>
          <w:rFonts w:ascii="Times New Roman" w:eastAsia="Calibri" w:hAnsi="Times New Roman" w:cs="Times New Roman"/>
          <w:strike/>
          <w:color w:val="000000"/>
          <w:sz w:val="20"/>
          <w:szCs w:val="20"/>
          <w:vertAlign w:val="subscript"/>
        </w:rPr>
        <w:t>HG, m</w:t>
      </w:r>
      <w:r w:rsidRPr="00A24CAB">
        <w:rPr>
          <w:rFonts w:ascii="Times New Roman" w:eastAsia="Calibri" w:hAnsi="Times New Roman" w:cs="Times New Roman"/>
          <w:strike/>
          <w:color w:val="000000"/>
          <w:sz w:val="20"/>
          <w:szCs w:val="20"/>
        </w:rPr>
        <w:t xml:space="preserve"> – mazuto kaina (Eur/MWh);</w:t>
      </w:r>
    </w:p>
    <w:p w14:paraId="47F1CBEE" w14:textId="77777777" w:rsidR="00A24CAB" w:rsidRPr="00A24CAB" w:rsidRDefault="00A24CAB" w:rsidP="00A24CAB">
      <w:pPr>
        <w:tabs>
          <w:tab w:val="left" w:pos="1134"/>
        </w:tabs>
        <w:spacing w:after="0" w:line="276" w:lineRule="auto"/>
        <w:contextualSpacing/>
        <w:jc w:val="both"/>
        <w:rPr>
          <w:rFonts w:ascii="Times New Roman" w:eastAsia="Calibri" w:hAnsi="Times New Roman" w:cs="Times New Roman"/>
          <w:strike/>
          <w:color w:val="000000"/>
          <w:sz w:val="20"/>
          <w:szCs w:val="20"/>
        </w:rPr>
      </w:pPr>
      <w:r w:rsidRPr="00A24CAB">
        <w:rPr>
          <w:rFonts w:ascii="Times New Roman" w:eastAsia="Calibri" w:hAnsi="Times New Roman" w:cs="Times New Roman"/>
          <w:strike/>
          <w:color w:val="000000"/>
          <w:sz w:val="20"/>
          <w:szCs w:val="20"/>
        </w:rPr>
        <w:t>p</w:t>
      </w:r>
      <w:r w:rsidRPr="00A24CAB">
        <w:rPr>
          <w:rFonts w:ascii="Times New Roman" w:eastAsia="Calibri" w:hAnsi="Times New Roman" w:cs="Times New Roman"/>
          <w:strike/>
          <w:color w:val="000000"/>
          <w:sz w:val="20"/>
          <w:szCs w:val="20"/>
          <w:vertAlign w:val="subscript"/>
        </w:rPr>
        <w:t>HG, med b</w:t>
      </w:r>
      <w:r w:rsidRPr="00A24CAB">
        <w:rPr>
          <w:rFonts w:ascii="Times New Roman" w:eastAsia="Calibri" w:hAnsi="Times New Roman" w:cs="Times New Roman"/>
          <w:strike/>
          <w:color w:val="000000"/>
          <w:sz w:val="20"/>
          <w:szCs w:val="20"/>
        </w:rPr>
        <w:t xml:space="preserve"> – medienos kilmės biokuro kaina (Eur/t</w:t>
      </w:r>
      <w:r w:rsidRPr="00A24CAB">
        <w:rPr>
          <w:rFonts w:ascii="Times New Roman" w:eastAsia="Calibri" w:hAnsi="Times New Roman" w:cs="Times New Roman"/>
          <w:strike/>
          <w:color w:val="000000"/>
          <w:sz w:val="20"/>
          <w:szCs w:val="20"/>
          <w:vertAlign w:val="subscript"/>
        </w:rPr>
        <w:t>ne</w:t>
      </w:r>
      <w:r w:rsidRPr="00A24CAB">
        <w:rPr>
          <w:rFonts w:ascii="Times New Roman" w:eastAsia="Calibri" w:hAnsi="Times New Roman" w:cs="Times New Roman"/>
          <w:strike/>
          <w:color w:val="000000"/>
          <w:sz w:val="20"/>
          <w:szCs w:val="20"/>
        </w:rPr>
        <w:t xml:space="preserve">); </w:t>
      </w:r>
    </w:p>
    <w:p w14:paraId="2229422E" w14:textId="77777777" w:rsidR="00A24CAB" w:rsidRPr="00A24CAB" w:rsidRDefault="00A24CAB" w:rsidP="00A24CAB">
      <w:pPr>
        <w:tabs>
          <w:tab w:val="left" w:pos="1134"/>
        </w:tabs>
        <w:spacing w:after="0" w:line="276" w:lineRule="auto"/>
        <w:contextualSpacing/>
        <w:jc w:val="both"/>
        <w:rPr>
          <w:rFonts w:ascii="Times New Roman" w:eastAsia="Calibri" w:hAnsi="Times New Roman" w:cs="Times New Roman"/>
          <w:strike/>
          <w:color w:val="000000"/>
          <w:sz w:val="20"/>
          <w:szCs w:val="20"/>
        </w:rPr>
      </w:pPr>
      <w:r w:rsidRPr="00A24CAB">
        <w:rPr>
          <w:rFonts w:ascii="Times New Roman" w:eastAsia="Calibri" w:hAnsi="Times New Roman" w:cs="Times New Roman"/>
          <w:strike/>
          <w:color w:val="000000"/>
          <w:sz w:val="20"/>
          <w:szCs w:val="20"/>
        </w:rPr>
        <w:t>p</w:t>
      </w:r>
      <w:r w:rsidRPr="00A24CAB">
        <w:rPr>
          <w:rFonts w:ascii="Times New Roman" w:eastAsia="Calibri" w:hAnsi="Times New Roman" w:cs="Times New Roman"/>
          <w:strike/>
          <w:color w:val="000000"/>
          <w:sz w:val="20"/>
          <w:szCs w:val="20"/>
          <w:vertAlign w:val="subscript"/>
        </w:rPr>
        <w:t>HG, gr</w:t>
      </w:r>
      <w:r w:rsidRPr="00A24CAB">
        <w:rPr>
          <w:rFonts w:ascii="Times New Roman" w:eastAsia="Calibri" w:hAnsi="Times New Roman" w:cs="Times New Roman"/>
          <w:strike/>
          <w:color w:val="000000"/>
          <w:sz w:val="20"/>
          <w:szCs w:val="20"/>
        </w:rPr>
        <w:t xml:space="preserve"> – medienos granulių kaina (Eur/t</w:t>
      </w:r>
      <w:r w:rsidRPr="00A24CAB">
        <w:rPr>
          <w:rFonts w:ascii="Times New Roman" w:eastAsia="Calibri" w:hAnsi="Times New Roman" w:cs="Times New Roman"/>
          <w:strike/>
          <w:color w:val="000000"/>
          <w:sz w:val="20"/>
          <w:szCs w:val="20"/>
          <w:vertAlign w:val="subscript"/>
        </w:rPr>
        <w:t>ne</w:t>
      </w:r>
      <w:r w:rsidRPr="00A24CAB">
        <w:rPr>
          <w:rFonts w:ascii="Times New Roman" w:eastAsia="Calibri" w:hAnsi="Times New Roman" w:cs="Times New Roman"/>
          <w:strike/>
          <w:color w:val="000000"/>
          <w:sz w:val="20"/>
          <w:szCs w:val="20"/>
        </w:rPr>
        <w:t>);</w:t>
      </w:r>
    </w:p>
    <w:p w14:paraId="23DC9496" w14:textId="77777777" w:rsidR="00A24CAB" w:rsidRPr="00A24CAB" w:rsidRDefault="00A24CAB" w:rsidP="00A24CAB">
      <w:pPr>
        <w:tabs>
          <w:tab w:val="left" w:pos="709"/>
          <w:tab w:val="left" w:pos="851"/>
          <w:tab w:val="left" w:pos="1134"/>
        </w:tabs>
        <w:spacing w:after="0" w:line="276" w:lineRule="auto"/>
        <w:contextualSpacing/>
        <w:jc w:val="both"/>
        <w:rPr>
          <w:rFonts w:ascii="Times New Roman" w:eastAsia="Calibri" w:hAnsi="Times New Roman" w:cs="Times New Roman"/>
          <w:color w:val="000000"/>
          <w:sz w:val="20"/>
          <w:szCs w:val="20"/>
        </w:rPr>
      </w:pPr>
      <w:r w:rsidRPr="00A24CAB">
        <w:rPr>
          <w:rFonts w:ascii="Times New Roman" w:eastAsia="Calibri" w:hAnsi="Times New Roman" w:cs="Times New Roman"/>
          <w:strike/>
          <w:color w:val="000000"/>
          <w:sz w:val="20"/>
          <w:szCs w:val="20"/>
        </w:rPr>
        <w:t>p</w:t>
      </w:r>
      <w:r w:rsidRPr="00A24CAB">
        <w:rPr>
          <w:rFonts w:ascii="Times New Roman" w:eastAsia="Calibri" w:hAnsi="Times New Roman" w:cs="Times New Roman"/>
          <w:strike/>
          <w:color w:val="000000"/>
          <w:sz w:val="20"/>
          <w:szCs w:val="20"/>
          <w:vertAlign w:val="subscript"/>
        </w:rPr>
        <w:t>HG, med.</w:t>
      </w:r>
      <w:r w:rsidRPr="00A24CAB">
        <w:rPr>
          <w:rFonts w:ascii="Times New Roman" w:eastAsia="Calibri" w:hAnsi="Times New Roman" w:cs="Times New Roman"/>
          <w:strike/>
          <w:color w:val="000000"/>
          <w:sz w:val="20"/>
          <w:szCs w:val="20"/>
        </w:rPr>
        <w:t xml:space="preserve"> – malkinės medienos  kaina (Eur/t</w:t>
      </w:r>
      <w:r w:rsidRPr="00A24CAB">
        <w:rPr>
          <w:rFonts w:ascii="Times New Roman" w:eastAsia="Calibri" w:hAnsi="Times New Roman" w:cs="Times New Roman"/>
          <w:strike/>
          <w:color w:val="000000"/>
          <w:sz w:val="20"/>
          <w:szCs w:val="20"/>
          <w:vertAlign w:val="subscript"/>
        </w:rPr>
        <w:t>ne</w:t>
      </w:r>
      <w:r w:rsidRPr="00A24CAB">
        <w:rPr>
          <w:rFonts w:ascii="Times New Roman" w:eastAsia="Calibri" w:hAnsi="Times New Roman" w:cs="Times New Roman"/>
          <w:strike/>
          <w:color w:val="000000"/>
          <w:sz w:val="20"/>
          <w:szCs w:val="20"/>
        </w:rPr>
        <w:t>).</w:t>
      </w:r>
    </w:p>
    <w:p w14:paraId="603D08F8" w14:textId="77777777" w:rsidR="00A24CAB" w:rsidRPr="00A24CAB" w:rsidRDefault="00A24CAB" w:rsidP="00A24CAB">
      <w:pPr>
        <w:spacing w:after="0" w:line="276" w:lineRule="auto"/>
        <w:jc w:val="both"/>
        <w:rPr>
          <w:rFonts w:ascii="Times New Roman" w:eastAsia="Calibri" w:hAnsi="Times New Roman" w:cs="Times New Roman"/>
          <w:sz w:val="20"/>
          <w:szCs w:val="20"/>
        </w:rPr>
      </w:pPr>
      <w:r w:rsidRPr="00A24CAB">
        <w:rPr>
          <w:rFonts w:ascii="Times New Roman" w:eastAsia="Calibri" w:hAnsi="Times New Roman" w:cs="Times New Roman"/>
          <w:b/>
          <w:bCs/>
          <w:sz w:val="20"/>
          <w:szCs w:val="20"/>
        </w:rPr>
        <w:t>p</w:t>
      </w:r>
      <w:r w:rsidRPr="00A24CAB">
        <w:rPr>
          <w:rFonts w:ascii="Times New Roman" w:eastAsia="Calibri" w:hAnsi="Times New Roman" w:cs="Times New Roman"/>
          <w:b/>
          <w:bCs/>
          <w:sz w:val="20"/>
          <w:szCs w:val="20"/>
          <w:vertAlign w:val="subscript"/>
        </w:rPr>
        <w:t xml:space="preserve">F </w:t>
      </w:r>
      <w:r w:rsidRPr="00A24CAB">
        <w:rPr>
          <w:rFonts w:ascii="Times New Roman" w:eastAsia="Calibri" w:hAnsi="Times New Roman" w:cs="Times New Roman"/>
          <w:b/>
          <w:bCs/>
          <w:sz w:val="20"/>
          <w:szCs w:val="20"/>
        </w:rPr>
        <w:t>– vidutinė svertinė kuro kaina, apskaičiuota pagal kuro žemutinę šiluminę vertę, Eur/MWh.</w:t>
      </w:r>
      <w:r w:rsidRPr="00A24CAB">
        <w:rPr>
          <w:rFonts w:ascii="Times New Roman" w:eastAsia="Calibri" w:hAnsi="Times New Roman" w:cs="Times New Roman"/>
          <w:sz w:val="20"/>
          <w:szCs w:val="20"/>
        </w:rPr>
        <w:t>“.</w:t>
      </w:r>
    </w:p>
    <w:p w14:paraId="1F7F078F" w14:textId="1456C26E" w:rsidR="00123F7B" w:rsidRPr="00123F7B" w:rsidRDefault="00123F7B" w:rsidP="004D79A5">
      <w:pPr>
        <w:pStyle w:val="Sraopastraipa"/>
        <w:spacing w:line="360" w:lineRule="auto"/>
        <w:rPr>
          <w:rFonts w:ascii="Times New Roman" w:hAnsi="Times New Roman" w:cs="Times New Roman"/>
          <w:sz w:val="24"/>
          <w:szCs w:val="24"/>
        </w:rPr>
      </w:pPr>
    </w:p>
    <w:sectPr w:rsidR="00123F7B" w:rsidRPr="00123F7B" w:rsidSect="00A33347">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EEF3" w14:textId="77777777" w:rsidR="000D5CFE" w:rsidRDefault="000D5CFE" w:rsidP="00A33347">
      <w:pPr>
        <w:spacing w:after="0" w:line="240" w:lineRule="auto"/>
      </w:pPr>
      <w:r>
        <w:separator/>
      </w:r>
    </w:p>
  </w:endnote>
  <w:endnote w:type="continuationSeparator" w:id="0">
    <w:p w14:paraId="6CB695E5" w14:textId="77777777" w:rsidR="000D5CFE" w:rsidRDefault="000D5CFE" w:rsidP="00A3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41A0" w14:textId="77777777" w:rsidR="000D5CFE" w:rsidRDefault="000D5CFE" w:rsidP="00A33347">
      <w:pPr>
        <w:spacing w:after="0" w:line="240" w:lineRule="auto"/>
      </w:pPr>
      <w:r>
        <w:separator/>
      </w:r>
    </w:p>
  </w:footnote>
  <w:footnote w:type="continuationSeparator" w:id="0">
    <w:p w14:paraId="2E41ACD5" w14:textId="77777777" w:rsidR="000D5CFE" w:rsidRDefault="000D5CFE" w:rsidP="00A3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3474"/>
      <w:docPartObj>
        <w:docPartGallery w:val="Page Numbers (Top of Page)"/>
        <w:docPartUnique/>
      </w:docPartObj>
    </w:sdtPr>
    <w:sdtContent>
      <w:p w14:paraId="6AE8640C" w14:textId="3E7718AF" w:rsidR="00A33347" w:rsidRDefault="00A33347">
        <w:pPr>
          <w:pStyle w:val="Antrats"/>
          <w:jc w:val="center"/>
        </w:pPr>
        <w:r>
          <w:fldChar w:fldCharType="begin"/>
        </w:r>
        <w:r>
          <w:instrText>PAGE   \* MERGEFORMAT</w:instrText>
        </w:r>
        <w:r>
          <w:fldChar w:fldCharType="separate"/>
        </w:r>
        <w:r>
          <w:t>2</w:t>
        </w:r>
        <w:r>
          <w:fldChar w:fldCharType="end"/>
        </w:r>
      </w:p>
    </w:sdtContent>
  </w:sdt>
  <w:p w14:paraId="1B26DFC0" w14:textId="77777777" w:rsidR="00A33347" w:rsidRDefault="00A333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2793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7EF5"/>
    <w:rsid w:val="000D5CFE"/>
    <w:rsid w:val="00123F7B"/>
    <w:rsid w:val="0012623A"/>
    <w:rsid w:val="00133D5A"/>
    <w:rsid w:val="00134059"/>
    <w:rsid w:val="0019578B"/>
    <w:rsid w:val="001B7FA1"/>
    <w:rsid w:val="001C25B2"/>
    <w:rsid w:val="001E0315"/>
    <w:rsid w:val="00214EF2"/>
    <w:rsid w:val="004D2E86"/>
    <w:rsid w:val="004D79A5"/>
    <w:rsid w:val="00733E82"/>
    <w:rsid w:val="007C150F"/>
    <w:rsid w:val="008327A9"/>
    <w:rsid w:val="008B68BD"/>
    <w:rsid w:val="00994174"/>
    <w:rsid w:val="00A24CAB"/>
    <w:rsid w:val="00A33347"/>
    <w:rsid w:val="00AF2E30"/>
    <w:rsid w:val="00BD6431"/>
    <w:rsid w:val="00D056AF"/>
    <w:rsid w:val="00D35502"/>
    <w:rsid w:val="00D80F18"/>
    <w:rsid w:val="00D8681F"/>
    <w:rsid w:val="00DA5D0B"/>
    <w:rsid w:val="00FE6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rsid w:val="00BD6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A333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3347"/>
  </w:style>
  <w:style w:type="paragraph" w:styleId="Porat">
    <w:name w:val="footer"/>
    <w:basedOn w:val="prastasis"/>
    <w:link w:val="PoratDiagrama"/>
    <w:uiPriority w:val="99"/>
    <w:unhideWhenUsed/>
    <w:rsid w:val="00A333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2538</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2022-10-18T07:25:00Z</dcterms:created>
  <dcterms:modified xsi:type="dcterms:W3CDTF">2022-10-18T11:32:00Z</dcterms:modified>
</cp:coreProperties>
</file>