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9D78" w14:textId="77777777" w:rsidR="00833973" w:rsidRDefault="00833973" w:rsidP="00833973">
      <w:pPr>
        <w:pStyle w:val="default"/>
        <w:spacing w:line="360" w:lineRule="auto"/>
        <w:ind w:firstLine="720"/>
        <w:contextualSpacing/>
        <w:jc w:val="center"/>
        <w:rPr>
          <w:b/>
          <w:bCs/>
          <w:caps/>
        </w:rPr>
      </w:pPr>
      <w:r w:rsidRPr="00CC1162">
        <w:rPr>
          <w:b/>
          <w:bCs/>
          <w:caps/>
        </w:rPr>
        <w:t>Molėtų rajono savivaldybės strateginio plėtros  plano 2018–2024 metams įgyvendinimo 20</w:t>
      </w:r>
      <w:r>
        <w:rPr>
          <w:b/>
          <w:bCs/>
          <w:caps/>
          <w:lang w:val="en-US"/>
        </w:rPr>
        <w:t>20</w:t>
      </w:r>
      <w:r w:rsidRPr="00CC1162">
        <w:rPr>
          <w:b/>
          <w:bCs/>
          <w:caps/>
        </w:rPr>
        <w:t>–20</w:t>
      </w:r>
      <w:r>
        <w:rPr>
          <w:b/>
          <w:bCs/>
          <w:caps/>
        </w:rPr>
        <w:t>21</w:t>
      </w:r>
      <w:r w:rsidRPr="00CC1162">
        <w:rPr>
          <w:b/>
          <w:bCs/>
          <w:caps/>
        </w:rPr>
        <w:t xml:space="preserve"> m. ataskaita</w:t>
      </w:r>
    </w:p>
    <w:p w14:paraId="7068F79B" w14:textId="77777777" w:rsidR="00833973" w:rsidRPr="00CC1162" w:rsidRDefault="00833973" w:rsidP="00833973">
      <w:pPr>
        <w:pStyle w:val="default"/>
        <w:spacing w:line="360" w:lineRule="auto"/>
        <w:ind w:firstLine="720"/>
        <w:contextualSpacing/>
        <w:jc w:val="center"/>
        <w:rPr>
          <w:b/>
          <w:bCs/>
          <w:caps/>
        </w:rPr>
      </w:pPr>
    </w:p>
    <w:p w14:paraId="2B6DB46B" w14:textId="3303F462" w:rsidR="0089612D" w:rsidRDefault="0089612D" w:rsidP="00833973">
      <w:pPr>
        <w:pStyle w:val="default"/>
        <w:spacing w:line="360" w:lineRule="auto"/>
        <w:ind w:firstLine="720"/>
        <w:contextualSpacing/>
        <w:jc w:val="both"/>
      </w:pPr>
      <w:r>
        <w:t>Molėtų rajono savivaldybės 20</w:t>
      </w:r>
      <w:r>
        <w:rPr>
          <w:lang w:val="en-US"/>
        </w:rPr>
        <w:t>18</w:t>
      </w:r>
      <w:r>
        <w:t xml:space="preserve">–2024 metų strateginio plėtros plano (toliau - SPP) įgyvendinimo 2020-2021 metais ataskaita (toliau – Ataskaita) – veiklos prioritetų, tikslų, uždavinių įgyvendinimo ir vertinimo </w:t>
      </w:r>
      <w:r w:rsidR="00534D3F">
        <w:t>rodiklių</w:t>
      </w:r>
      <w:r>
        <w:t xml:space="preserve"> reikšmių pasiekimo </w:t>
      </w:r>
      <w:r w:rsidR="00534D3F">
        <w:t xml:space="preserve">ir </w:t>
      </w:r>
      <w:r>
        <w:t xml:space="preserve">neįvykdymo priežasčių suvestinė. Ataskaitoje pateikiami rodikliai, kurie nustatyti </w:t>
      </w:r>
      <w:r w:rsidR="00534D3F">
        <w:t>SPP</w:t>
      </w:r>
      <w:r>
        <w:t xml:space="preserve"> IV</w:t>
      </w:r>
      <w:r w:rsidR="0053309B">
        <w:t>-oje</w:t>
      </w:r>
      <w:r>
        <w:t xml:space="preserve"> dalyje. Ataskaita rengiama kas du metus </w:t>
      </w:r>
      <w:r w:rsidR="00534D3F">
        <w:t>vadovaujantis</w:t>
      </w:r>
      <w:r>
        <w:t xml:space="preserve"> </w:t>
      </w:r>
      <w:r w:rsidR="00534D3F">
        <w:t>M</w:t>
      </w:r>
      <w:r w:rsidR="00534D3F" w:rsidRPr="00534D3F">
        <w:t>olėtų rajono savivaldybės strateginio planavimo organizavimo ir savivaldybės planavimo dokumentų įgyvendinimo stebėsenos tvarkos apraš</w:t>
      </w:r>
      <w:r w:rsidR="00534D3F">
        <w:t>u,</w:t>
      </w:r>
      <w:r>
        <w:t xml:space="preserve"> </w:t>
      </w:r>
      <w:r w:rsidR="00534D3F">
        <w:t xml:space="preserve">Molėtų rajono savivaldybės </w:t>
      </w:r>
      <w:r>
        <w:t>strateginio</w:t>
      </w:r>
      <w:r w:rsidR="00534D3F">
        <w:t xml:space="preserve"> veiklos</w:t>
      </w:r>
      <w:r>
        <w:t xml:space="preserve"> plano </w:t>
      </w:r>
      <w:r w:rsidR="00534D3F">
        <w:t>įgyvendinimo ataskaitomis</w:t>
      </w:r>
      <w:r>
        <w:t xml:space="preserve"> ir </w:t>
      </w:r>
      <w:r w:rsidR="00534D3F">
        <w:t>Molėtų rajono s</w:t>
      </w:r>
      <w:r>
        <w:t>avivaldybės administracijos, seniūnijų ir biudžetinių įstaigų pateiktomis metinėmis veiklos ataskaitomis.</w:t>
      </w:r>
    </w:p>
    <w:p w14:paraId="09273772" w14:textId="515FF3E6" w:rsidR="00534D3F" w:rsidRPr="00534D3F" w:rsidRDefault="00534D3F" w:rsidP="00305AE3">
      <w:pPr>
        <w:pStyle w:val="default"/>
        <w:spacing w:after="145" w:afterAutospacing="0"/>
        <w:jc w:val="both"/>
        <w:rPr>
          <w:color w:val="000000"/>
        </w:rPr>
      </w:pPr>
    </w:p>
    <w:tbl>
      <w:tblPr>
        <w:tblW w:w="22392" w:type="dxa"/>
        <w:tblLayout w:type="fixed"/>
        <w:tblLook w:val="04A0" w:firstRow="1" w:lastRow="0" w:firstColumn="1" w:lastColumn="0" w:noHBand="0" w:noVBand="1"/>
      </w:tblPr>
      <w:tblGrid>
        <w:gridCol w:w="1097"/>
        <w:gridCol w:w="2708"/>
        <w:gridCol w:w="1068"/>
        <w:gridCol w:w="1212"/>
        <w:gridCol w:w="5959"/>
        <w:gridCol w:w="1843"/>
        <w:gridCol w:w="1276"/>
        <w:gridCol w:w="1134"/>
        <w:gridCol w:w="1842"/>
        <w:gridCol w:w="1276"/>
        <w:gridCol w:w="1134"/>
        <w:gridCol w:w="1843"/>
      </w:tblGrid>
      <w:tr w:rsidR="00A5785A" w:rsidRPr="006F5874" w14:paraId="5673D106" w14:textId="77777777" w:rsidTr="00A5785A">
        <w:trPr>
          <w:trHeight w:val="6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C74C595" w14:textId="4424D2AB" w:rsidR="00833973" w:rsidRPr="006F5874" w:rsidRDefault="00A5785A" w:rsidP="0083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14:paraId="113EED31" w14:textId="77777777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66CCB620" w14:textId="6B4355C9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BESIMOKANTI, ATSAKINGA IR AKTYVI BENDRUOMENĖ</w:t>
            </w:r>
          </w:p>
        </w:tc>
      </w:tr>
      <w:tr w:rsidR="00A5785A" w:rsidRPr="006F5874" w14:paraId="1270AAD4" w14:textId="77777777" w:rsidTr="00711488">
        <w:trPr>
          <w:trHeight w:val="288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67F" w14:textId="77777777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kodas</w:t>
            </w:r>
          </w:p>
        </w:tc>
        <w:tc>
          <w:tcPr>
            <w:tcW w:w="4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E84" w14:textId="77777777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5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99F" w14:textId="77777777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aprašymas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229E45" w14:textId="4AAF32DF" w:rsidR="00A5785A" w:rsidRPr="00A5785A" w:rsidRDefault="00A5785A" w:rsidP="00A57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5785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Atsakingas skyrius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A9409A3" w14:textId="76C004B1" w:rsidR="00A5785A" w:rsidRPr="006F5874" w:rsidRDefault="003B1CD9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C429C3D" w14:textId="79C8F25F" w:rsidR="00A5785A" w:rsidRPr="006F5874" w:rsidRDefault="003B1CD9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</w:tr>
      <w:tr w:rsidR="00A5785A" w:rsidRPr="006F5874" w14:paraId="202D6A40" w14:textId="77777777" w:rsidTr="00711488">
        <w:trPr>
          <w:trHeight w:val="288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3241" w14:textId="77777777" w:rsidR="00A5785A" w:rsidRPr="006F5874" w:rsidRDefault="00A5785A" w:rsidP="00057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93AD" w14:textId="77777777" w:rsidR="00A5785A" w:rsidRPr="006F5874" w:rsidRDefault="00A5785A" w:rsidP="00057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FFD4" w14:textId="77777777" w:rsidR="00A5785A" w:rsidRPr="006F5874" w:rsidRDefault="00A5785A" w:rsidP="00057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0CB5" w14:textId="77777777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8E8AF" w14:textId="681E9B19" w:rsidR="00A5785A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  <w:p w14:paraId="0B9E59C3" w14:textId="35F90095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9CB89" w14:textId="77777777" w:rsidR="00A5785A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2020</w:t>
            </w:r>
          </w:p>
          <w:p w14:paraId="54E63720" w14:textId="4BEB7160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A3B0" w14:textId="73934F12" w:rsidR="00A5785A" w:rsidRPr="006F5874" w:rsidRDefault="00A5785A" w:rsidP="00A57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666366" w14:textId="77777777" w:rsidR="00A5785A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</w:t>
            </w:r>
          </w:p>
          <w:p w14:paraId="37DD6158" w14:textId="13774F63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C5349C" w14:textId="77777777" w:rsidR="00A5785A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2021</w:t>
            </w:r>
          </w:p>
          <w:p w14:paraId="42EC2E9B" w14:textId="64D14907" w:rsidR="00A5785A" w:rsidRPr="006F5874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C4CEA4" w14:textId="7624E7E5" w:rsidR="00A5785A" w:rsidRPr="0027673E" w:rsidRDefault="00A5785A" w:rsidP="00057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</w:tr>
      <w:tr w:rsidR="00CE5FBA" w:rsidRPr="006F5874" w14:paraId="4E5A1E14" w14:textId="77777777" w:rsidTr="00630E7E">
        <w:trPr>
          <w:trHeight w:val="78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FA5" w14:textId="77777777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I.1.1.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0FA" w14:textId="77777777" w:rsidR="00CE5FBA" w:rsidRPr="006F5874" w:rsidRDefault="00CE5FBA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Pagalbos specialistų skaičius 100-ui mokinių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DF7" w14:textId="77777777" w:rsidR="00CE5FBA" w:rsidRPr="006F5874" w:rsidRDefault="00CE5FBA" w:rsidP="00CE5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Pagalbos mokiniui specialistų – specialiųjų pedagogų, psichologų, socialinių pedagogų, logopedų skaičius, tenkantis 100 mokinių | asm.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F990" w14:textId="6541CEB8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F89B8" w14:textId="01A5A2F4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835281" w14:textId="6D44D2C9" w:rsidR="00CE5FBA" w:rsidRPr="00630E7E" w:rsidRDefault="00630E7E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30E7E">
              <w:rPr>
                <w:rFonts w:eastAsia="Times New Roman" w:cs="Times New Roman"/>
                <w:color w:val="000000"/>
                <w:szCs w:val="24"/>
                <w:lang w:eastAsia="lt-LT"/>
              </w:rPr>
              <w:t>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00DF9A" w14:textId="4D0E760D" w:rsidR="00CE5FBA" w:rsidRPr="003B1CD9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8EEE63" w14:textId="7F1C1D90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5C24D5" w14:textId="1891869D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02939">
              <w:rPr>
                <w:lang w:val="en-US"/>
              </w:rPr>
              <w:t>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FDC330" w14:textId="676D4E60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E5FBA" w:rsidRPr="006F5874" w14:paraId="28BFB83C" w14:textId="77777777" w:rsidTr="00711488">
        <w:trPr>
          <w:trHeight w:val="937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6EE" w14:textId="77777777" w:rsidR="00CE5FBA" w:rsidRPr="006F5874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75B" w14:textId="77777777" w:rsidR="00CE5FBA" w:rsidRPr="006F5874" w:rsidRDefault="00CE5FBA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valstybinių brandos egzaminų 86-100 balų įvertinimą,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14D" w14:textId="77777777" w:rsidR="00CE5FBA" w:rsidRPr="006F5874" w:rsidRDefault="00CE5FBA" w:rsidP="00CE5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Aukščiausius balus (86-100) gavusių mokinių dalis nuo bendro, valstybinius egzaminus laikiusių, mokinių skaičiaus pagal dalykus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166F" w14:textId="28A45CD6" w:rsidR="00CE5FBA" w:rsidRDefault="00CE5FBA" w:rsidP="00CE5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AAF9C" w14:textId="3AF145A2" w:rsidR="00CE5FBA" w:rsidRPr="006F5874" w:rsidRDefault="00CE5FBA" w:rsidP="00CE5FBA">
            <w:pPr>
              <w:spacing w:after="0" w:line="240" w:lineRule="auto"/>
              <w:ind w:left="458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lt-LT"/>
              </w:rPr>
              <w:t>1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LENTELĖ</w:t>
            </w:r>
          </w:p>
        </w:tc>
      </w:tr>
      <w:tr w:rsidR="00630E7E" w:rsidRPr="006F5874" w14:paraId="63BC7474" w14:textId="77777777" w:rsidTr="00630E7E">
        <w:trPr>
          <w:trHeight w:val="70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0FD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6C7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Bendrojo ugdymo mokyklų mokinių skaičiaus vidurkis klasės komplekte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D92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Bendrojo ugdymo įstaigas lankančių vaikų vidutinis skaičius klasės komplekte (parodo klasės </w:t>
            </w:r>
            <w:proofErr w:type="spellStart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užpildomumą</w:t>
            </w:r>
            <w:proofErr w:type="spellEnd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) | asm.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B172" w14:textId="448A381D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BDEDA" w14:textId="1EC2B8BB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7131DB" w14:textId="20819C82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925E53" w14:textId="034E3579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395FBB" w14:textId="4A691F99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91A7103" w14:textId="57C600EC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66E3F07" w14:textId="34898230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30E7E" w:rsidRPr="006F5874" w14:paraId="69751F80" w14:textId="77777777" w:rsidTr="00630E7E">
        <w:trPr>
          <w:trHeight w:val="97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688" w14:textId="77777777" w:rsidR="00630E7E" w:rsidRPr="00746CBA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szCs w:val="24"/>
                <w:lang w:eastAsia="lt-LT"/>
              </w:rPr>
              <w:t>I.1.4.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AED" w14:textId="77777777" w:rsidR="00630E7E" w:rsidRPr="00DA69A2" w:rsidRDefault="00630E7E" w:rsidP="00E577F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A69A2">
              <w:rPr>
                <w:rFonts w:eastAsia="Times New Roman" w:cs="Times New Roman"/>
                <w:szCs w:val="24"/>
                <w:lang w:eastAsia="lt-LT"/>
              </w:rPr>
              <w:t>1-12 (IV gimnazijos) klasių specialiųjų ugdymosi poreikių turinčių mokinių, gaunančių reikiamą švietimo pagalbą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B90B" w14:textId="77777777" w:rsidR="00630E7E" w:rsidRPr="00DA69A2" w:rsidRDefault="00630E7E" w:rsidP="00630E7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A69A2">
              <w:rPr>
                <w:rFonts w:eastAsia="Times New Roman" w:cs="Times New Roman"/>
                <w:szCs w:val="24"/>
                <w:lang w:eastAsia="lt-LT"/>
              </w:rPr>
              <w:t>1-12 (IV gimnazijos) klasių specialiųjų ugdymosi poreikių turinčių mokinių, gaunančių reikiamą švietimo pagalbą dalis nuo visų specialiųjų ugdymosi poreikių turinčių mokinių. | proc.</w:t>
            </w:r>
            <w:r w:rsidRPr="00DA69A2">
              <w:rPr>
                <w:rFonts w:eastAsia="Times New Roman" w:cs="Times New Roman"/>
                <w:strike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F8D4" w14:textId="0597771F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280AF" w14:textId="2F35A125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CFA16D" w14:textId="275DE232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70A2FF" w14:textId="7CB8E730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29E6A8" w14:textId="6DBCBDCE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6828296" w14:textId="621E43EF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7D8A03E" w14:textId="1A5431F3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30E7E" w:rsidRPr="006F5874" w14:paraId="755E6506" w14:textId="77777777" w:rsidTr="00630E7E">
        <w:trPr>
          <w:trHeight w:val="69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6B0" w14:textId="77777777" w:rsidR="00630E7E" w:rsidRPr="00746CBA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szCs w:val="24"/>
                <w:lang w:eastAsia="lt-LT"/>
              </w:rPr>
              <w:t>I.1.5.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B13" w14:textId="77777777" w:rsidR="00630E7E" w:rsidRPr="00DA69A2" w:rsidRDefault="00630E7E" w:rsidP="00E577F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A69A2">
              <w:rPr>
                <w:rFonts w:eastAsia="Times New Roman" w:cs="Times New Roman"/>
                <w:szCs w:val="24"/>
                <w:lang w:eastAsia="lt-LT"/>
              </w:rPr>
              <w:t>Ikimokyklinio ugdymo įstaigas lankančių  3-5 m. vaikų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947" w14:textId="77777777" w:rsidR="00630E7E" w:rsidRPr="00DA69A2" w:rsidRDefault="00630E7E" w:rsidP="00630E7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A69A2">
              <w:rPr>
                <w:rFonts w:eastAsia="Times New Roman" w:cs="Times New Roman"/>
                <w:szCs w:val="24"/>
                <w:lang w:eastAsia="lt-LT"/>
              </w:rPr>
              <w:t>3-5 m. amžiaus vaikų, lankančių darželius, skaičiaus darželiuose santykis su visais 3-5 m. amžiaus vaikų skaičiumi|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4B8" w14:textId="1EC197C9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0650" w14:textId="3773DFA9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BAE369" w14:textId="57BB7021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B2FD67" w14:textId="23625F43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B00C1E" w14:textId="7CFAA59B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CDC17B" w14:textId="3E211EBC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843259" w14:textId="2B0CE7D5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30E7E" w:rsidRPr="006F5874" w14:paraId="7AC3BE56" w14:textId="77777777" w:rsidTr="00630E7E">
        <w:trPr>
          <w:trHeight w:val="128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E82" w14:textId="77777777" w:rsidR="00630E7E" w:rsidRPr="00746CBA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szCs w:val="24"/>
                <w:lang w:eastAsia="lt-LT"/>
              </w:rPr>
              <w:t>I.1.6.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749" w14:textId="77777777" w:rsidR="00630E7E" w:rsidRPr="00DA69A2" w:rsidRDefault="00630E7E" w:rsidP="00E577F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A69A2">
              <w:rPr>
                <w:rFonts w:eastAsia="Times New Roman" w:cs="Times New Roman"/>
                <w:szCs w:val="24"/>
                <w:lang w:eastAsia="lt-LT"/>
              </w:rPr>
              <w:t>Ikimokyklinio ir priešmokyklinio amžiaus specialiųjų ugdymosi poreikių turinčių vaikų, gaunančių reikiamą švietimo pagalbą bendrojo ir ikimokyklinio ugdymo įstaigose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EFD" w14:textId="77777777" w:rsidR="00630E7E" w:rsidRPr="00DA69A2" w:rsidRDefault="00630E7E" w:rsidP="00630E7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A69A2">
              <w:rPr>
                <w:rFonts w:eastAsia="Times New Roman" w:cs="Times New Roman"/>
                <w:szCs w:val="24"/>
                <w:lang w:eastAsia="lt-LT"/>
              </w:rPr>
              <w:t xml:space="preserve"> Ikimokyklinio ir priešmokyklinio amžiaus specialiųjų ugdymosi poreikių turinčių vaikų, gaunančių reikiamą švietimo pagalbą bendrojo ir ikimokyklinio ugdymo įstaigose dalis nuo visų specialiųjų poreikių turinčių vaikų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5059" w14:textId="03E8C45A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72716" w14:textId="73581A5A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E35568" w14:textId="4CC98545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502529" w14:textId="0FED5174" w:rsidR="00630E7E" w:rsidRPr="00DA69A2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AE8071" w14:textId="1EFDD84A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4825420" w14:textId="17A4F641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E2511A" w14:textId="2926A4D5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30E7E" w:rsidRPr="008669E1" w14:paraId="18040147" w14:textId="77777777" w:rsidTr="00711488">
        <w:trPr>
          <w:trHeight w:val="697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3CA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I.1.7.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D19C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valstybinių brandos egzaminų,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6B9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Valstybinių brandos egzaminų neišlaikiusių mokinių dalis nuo bendro, valstybinius egzaminus laikiusių, mokinių skaičiaus pagal dalykus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BD60" w14:textId="6182A00F" w:rsidR="00630E7E" w:rsidRPr="00711488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ir švietimo skyrius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C2429" w14:textId="55054098" w:rsidR="00630E7E" w:rsidRPr="003B30D0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2 </w:t>
            </w:r>
            <w:r w:rsidRPr="003B30D0">
              <w:rPr>
                <w:rFonts w:eastAsia="Times New Roman" w:cs="Times New Roman"/>
                <w:color w:val="000000"/>
                <w:szCs w:val="24"/>
                <w:lang w:eastAsia="lt-LT"/>
              </w:rPr>
              <w:t>LENTELĖ</w:t>
            </w:r>
          </w:p>
        </w:tc>
      </w:tr>
      <w:tr w:rsidR="00630E7E" w:rsidRPr="006F5874" w14:paraId="0E9AAFA2" w14:textId="77777777" w:rsidTr="00630E7E">
        <w:trPr>
          <w:trHeight w:val="56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619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I.1.8.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DF5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Vienam mokiniui tenkantis bendrojo ugdymo mokyklų plotas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A07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Bendrojo ugdymo mokyklų plotas, tenkantis vienam mokiniui | kv. 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9FB9" w14:textId="7E40B13D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D3948" w14:textId="5A6219C6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9B57B9" w14:textId="093E6A99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812282" w14:textId="0CE8EE70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15A7F3" w14:textId="61256DB8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9D8DD23" w14:textId="53C4B2A1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FA8429C" w14:textId="0A96FC1D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Nežymus nuokrypis</w:t>
            </w:r>
          </w:p>
        </w:tc>
      </w:tr>
      <w:tr w:rsidR="00630E7E" w:rsidRPr="006F5874" w14:paraId="1B3B561B" w14:textId="77777777" w:rsidTr="00630E7E">
        <w:trPr>
          <w:trHeight w:val="68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23B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I.1.9.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D1B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Suaugusiųjų dalyvavimas mokymosi visą gyvenimą veiklose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F52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Suaugusiųjų tęstiniame švietime dalyvaujančių skaičiaus santykis su visu suaugusiųjų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81DA" w14:textId="12DC64ED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106D1" w14:textId="008394A1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BF343A" w14:textId="3A8C1DAA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4366AC" w14:textId="1E95138C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C6808A" w14:textId="38B342F5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3E26D7" w14:textId="3C05BD34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264F7EC" w14:textId="5D529F4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Dėl COVID -19 mažesnis dalyvavimas</w:t>
            </w:r>
          </w:p>
        </w:tc>
      </w:tr>
      <w:tr w:rsidR="00630E7E" w:rsidRPr="006F5874" w14:paraId="62160E5E" w14:textId="77777777" w:rsidTr="00630E7E">
        <w:trPr>
          <w:trHeight w:val="41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78D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I.1.10.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979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procesui ir aplinkai skiriamos lėšos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B36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procesui ir aplinkai skiriamų lėšų santykis | proc.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30B5" w14:textId="2C18A400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FF21CF" w14:textId="52E993D8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66,0/34,0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C0B7DA" w14:textId="2C5AD16F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66,0/34,0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59DBC6" w14:textId="08FF4ECE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50E989" w14:textId="6E97B9B6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66,0/34,0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1C05DC" w14:textId="43385140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rPr>
                <w:lang w:val="en-US"/>
              </w:rPr>
              <w:t>57/43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F19A1A3" w14:textId="45B55038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 xml:space="preserve">Išaugo komunalinių paslaugų , šildymo kainos, pirkta 10 išmaniųjų ekranų Molėtų </w:t>
            </w:r>
            <w:r w:rsidRPr="00B549FB">
              <w:lastRenderedPageBreak/>
              <w:t>gimnazijai, daug išlaidų mokyklinio transporto remontui</w:t>
            </w:r>
          </w:p>
        </w:tc>
      </w:tr>
      <w:tr w:rsidR="00630E7E" w:rsidRPr="006F5874" w14:paraId="0A800225" w14:textId="77777777" w:rsidTr="00630E7E">
        <w:trPr>
          <w:trHeight w:val="55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65E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I.1.11.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BF0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Pagrindinio ugdymo pasiekimo lygis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AF9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PUPP bent pagrindinį lygį pasiekusių mokinių santykis su visais PUPP dalyvavusiais mokiniais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AB53" w14:textId="48586DEA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9A98F" w14:textId="65D99784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nelaikė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4AAA63" w14:textId="33215E86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Nelaikė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779732" w14:textId="5C069F98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F01D20" w14:textId="5204D3D9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9A24CC" w14:textId="6291EA86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lang w:val="en-US"/>
              </w:rPr>
              <w:t>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6828D97" w14:textId="47754756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30E7E" w:rsidRPr="006F5874" w14:paraId="08D5CD93" w14:textId="77777777" w:rsidTr="00630E7E">
        <w:trPr>
          <w:trHeight w:val="836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671" w14:textId="7777777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I.1.12.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54F" w14:textId="77777777" w:rsidR="00630E7E" w:rsidRPr="006F5874" w:rsidRDefault="00630E7E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Mokiniai dalyvaujantys neformaliojo ugdymo veiklose 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612" w14:textId="77777777" w:rsidR="00630E7E" w:rsidRPr="006F5874" w:rsidRDefault="00630E7E" w:rsidP="00630E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švietimo galimybėmis mokykloje ir kitur besinaudojančių mokinių dalis nuo bendro mokinių skaičiaus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8ADA" w14:textId="037D82A7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4DD395E" w14:textId="67968448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EEBA45" w14:textId="2234144C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6CAADC" w14:textId="0A631E26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E35978" w14:textId="18998F7F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35EC1621" w14:textId="12DF1490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lang w:val="en-US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3D19D00C" w14:textId="5DEFEF53" w:rsidR="00630E7E" w:rsidRPr="006F5874" w:rsidRDefault="00630E7E" w:rsidP="00630E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Nuotolinis ugdymas COVID sąlygomis</w:t>
            </w:r>
          </w:p>
        </w:tc>
      </w:tr>
      <w:tr w:rsidR="00BB4589" w:rsidRPr="006F5874" w14:paraId="639CFF09" w14:textId="77777777" w:rsidTr="00BB4589">
        <w:trPr>
          <w:trHeight w:val="72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468" w14:textId="77777777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I.2.1.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F81" w14:textId="77777777" w:rsidR="00BB4589" w:rsidRPr="006F5874" w:rsidRDefault="00BB4589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dalyvavimas prevencijos programose.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AC5" w14:textId="77777777" w:rsidR="00BB4589" w:rsidRPr="006F5874" w:rsidRDefault="00BB4589" w:rsidP="00BB45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Gyventojų, dalyvaujančių ligų prevencijos programose, skaičiaus santykis su visu gyventojų skaičiumi |proc.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8725" w14:textId="149AB287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Hlk55899805"/>
            <w:r w:rsidRPr="003A5C13">
              <w:rPr>
                <w:rFonts w:eastAsia="Times New Roman" w:cs="Times New Roman"/>
                <w:color w:val="000000"/>
                <w:lang w:eastAsia="lt-LT"/>
              </w:rPr>
              <w:t>Savivaldybės gydytojas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6B386B" w14:textId="145DBC7D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013F9" w14:textId="5C166F56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EB0CA7" w14:textId="63BA24D6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Dėl Covid-19 situacijos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512A4C" w14:textId="0D045E07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D09854" w14:textId="7C1D934C" w:rsidR="00BB4589" w:rsidRPr="006F5874" w:rsidRDefault="004A73C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7F708596" w14:textId="15A8D71A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B4589" w:rsidRPr="006F5874" w14:paraId="2175814E" w14:textId="77777777" w:rsidTr="00BB4589">
        <w:trPr>
          <w:trHeight w:val="68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690" w14:textId="77777777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I.2.2.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111" w14:textId="77777777" w:rsidR="00BB4589" w:rsidRPr="006F5874" w:rsidRDefault="00BB4589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Profilaktinių apsilankymų PSPC procentas nuo bendro apsilankymų skaičiaus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034" w14:textId="77777777" w:rsidR="00BB4589" w:rsidRPr="006F5874" w:rsidRDefault="00BB4589" w:rsidP="00BB45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Profilaktinių apsilankymų PSPC procentas nuo bendro apsilankymų skaičiaus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DBCE" w14:textId="0DBFA243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Savivaldybės gydytojas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052B5D" w14:textId="6B14C453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5D6BC5" w14:textId="77240379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FC4E5E" w14:textId="3BA64214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Dėl Covid-19 situacijos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5731E8" w14:textId="0E20B6D4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4226F3F" w14:textId="24F98D47" w:rsidR="00BB4589" w:rsidRPr="006F5874" w:rsidRDefault="009E7C4E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8126ED2" w14:textId="6D3D7D61" w:rsidR="00BB4589" w:rsidRPr="006F5874" w:rsidRDefault="004A73C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Dėl Covid-19 situacijos</w:t>
            </w:r>
            <w:r w:rsidR="00BB4589">
              <w:rPr>
                <w:color w:val="000000"/>
              </w:rPr>
              <w:t>.</w:t>
            </w:r>
          </w:p>
        </w:tc>
      </w:tr>
      <w:tr w:rsidR="00BB4589" w:rsidRPr="006F5874" w14:paraId="75B25D1F" w14:textId="77777777" w:rsidTr="0063525B">
        <w:trPr>
          <w:trHeight w:val="6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48F" w14:textId="77777777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I.2.3.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6C4" w14:textId="77777777" w:rsidR="00BB4589" w:rsidRPr="006F5874" w:rsidRDefault="00BB4589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Suaugusiųjų sergamumas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EB7" w14:textId="77777777" w:rsidR="00BB4589" w:rsidRPr="006F5874" w:rsidRDefault="00BB4589" w:rsidP="00BB45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Metinis užregistruotų suaugusiųjų ligos atvejų skaičius, tenkantis tūkstančiui suaugusiųjų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71EF" w14:textId="0BC0A72E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Savivaldybės gydytojas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CEA9CD" w14:textId="16BC97D8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54F91C" w14:textId="7441BC53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E586A1" w14:textId="389181BB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6AB810" w14:textId="1AF37F28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241508" w14:textId="1483F85C" w:rsidR="00BB4589" w:rsidRPr="006F5874" w:rsidRDefault="000914C7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4797DE" w14:textId="76B588BE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B4589" w:rsidRPr="006F5874" w14:paraId="72875D62" w14:textId="77777777" w:rsidTr="0063525B">
        <w:trPr>
          <w:trHeight w:val="69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8E2" w14:textId="77777777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I.2.4.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23A" w14:textId="77777777" w:rsidR="00BB4589" w:rsidRPr="006F5874" w:rsidRDefault="00BB4589" w:rsidP="00E577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Vaikų (iki 17 metų) sergamumas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2AB" w14:textId="77777777" w:rsidR="00BB4589" w:rsidRPr="006F5874" w:rsidRDefault="00BB4589" w:rsidP="00BB45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Metinis užregistruotų vaikų (iki 17 metų) ligos atvejų skaičius, tenkantis tūkstančiui vaikų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CA527" w14:textId="78DA4415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Savivaldybės gydytojas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48B6B" w14:textId="4A05D41C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564C9" w14:textId="18E2ABCC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A82F7C" w14:textId="4D1C83C3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329849" w14:textId="685D6691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1092C78" w14:textId="3AE7C8C4" w:rsidR="00BB4589" w:rsidRPr="006F5874" w:rsidRDefault="000914C7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BCC7D" w14:textId="2D4BC714" w:rsidR="00BB4589" w:rsidRPr="006F5874" w:rsidRDefault="00BB4589" w:rsidP="00BB45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75D45C00" w14:textId="77777777" w:rsidTr="0063525B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CF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I.2.5.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1D0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Standartinis mirtingumo nuo savižudybių rodiklis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1C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Metinis užregistruotų savižudybių skaičius, tenkantis 100 tūkst. gyventojų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68F73" w14:textId="6872D88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Savivaldybės gydytojas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F5717B" w14:textId="5CA7187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0F34C8" w14:textId="4AE57D7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689FDD" w14:textId="610AF53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Nėra efektyviai veikiančios savižudybių prevencijos valstybinių lygių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C9DEDD" w14:textId="1A621B9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D77AE9C" w14:textId="5203CBF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ED6253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Nėra efektyviai veikiančios savižudybių prevencijos valstybinių lygių.</w:t>
            </w:r>
          </w:p>
          <w:p w14:paraId="337266D9" w14:textId="24B9612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Dėl mažo gyventojų skaičiaus rajone rodiklis didesnis. </w:t>
            </w:r>
          </w:p>
        </w:tc>
      </w:tr>
      <w:tr w:rsidR="00615D76" w:rsidRPr="006F5874" w14:paraId="1E757629" w14:textId="77777777" w:rsidTr="00223747">
        <w:trPr>
          <w:trHeight w:val="1126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80B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I.3.1.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B80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Šeimose ir bendruomeniniuose vaikų globos namuose globojami vaikai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0E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Vaikų, tais metais gyvenančių bendruomeniniuose vaikų globos namuose ir šeimose , skaičiaus santykis su vaikų, tais metais gyvenančių socialinės globos (instituciniuose) namuose,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63F7" w14:textId="2215BBB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Socialinės paramos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565BA" w14:textId="1162E62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8C4D31" w14:textId="370F1FB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7A0FE5" w14:textId="4276586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C0756B" w14:textId="6869CDE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C657C2D" w14:textId="383362D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C599487" w14:textId="4E19AA6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Mažėja globojamų vaikų skaičius</w:t>
            </w:r>
          </w:p>
        </w:tc>
      </w:tr>
      <w:tr w:rsidR="00615D76" w:rsidRPr="006F5874" w14:paraId="15A1D0D1" w14:textId="77777777" w:rsidTr="00223747">
        <w:trPr>
          <w:trHeight w:val="6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D5C5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I.3.2.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5F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Šeimų, susiduriančių su problemomis, skaičius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0A6" w14:textId="2B41AA2D" w:rsidR="00615D76" w:rsidRPr="00305AE3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05AE3">
              <w:rPr>
                <w:rFonts w:eastAsia="Times New Roman" w:cs="Times New Roman"/>
                <w:color w:val="000000"/>
                <w:szCs w:val="24"/>
                <w:lang w:eastAsia="lt-LT"/>
              </w:rPr>
              <w:t>Šeimų, susiduriančių su problemomis , skaičius | 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5B8D" w14:textId="36CEEE8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Socialinės paramos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29486B" w14:textId="1A2413E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CBEADD" w14:textId="5A3FE02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E10C1" w14:textId="1C691C7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D58850" w14:textId="0373F5C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DDB5AD9" w14:textId="33CE1DF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1339255B" w14:textId="49AB35F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Mažėjantis šių šeimų skaičius</w:t>
            </w:r>
          </w:p>
        </w:tc>
      </w:tr>
      <w:tr w:rsidR="00615D76" w:rsidRPr="006F5874" w14:paraId="6650A286" w14:textId="77777777" w:rsidTr="00223747">
        <w:trPr>
          <w:trHeight w:val="76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129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I.3.3.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DC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gavėjų skaičius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6A8" w14:textId="7ADFFCAD" w:rsidR="00615D76" w:rsidRPr="00305AE3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05A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gavėjų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3D1C" w14:textId="3BA0F6A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Socialinės paramos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1AE51" w14:textId="751B4A9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49379C" w14:textId="5F86447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E741E0" w14:textId="4133CE0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D6FEED" w14:textId="15CBE1E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FFE87B1" w14:textId="05614E0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A8509F" w14:textId="67872C2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60C09BEF" w14:textId="77777777" w:rsidTr="00223747">
        <w:trPr>
          <w:trHeight w:val="79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AC3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I.3.4.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CE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Naujų socialinių paslaugų skaičius / Naujų socialinių paslaugų gavėjų skaičius | vnt.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65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Naujų socialinių paslaugų skaičius / Naujų socialinių paslaugų gavėjų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4469" w14:textId="2924119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Socialinės paramos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063ADE" w14:textId="3308A6D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0CFDE8" w14:textId="3CFDEB2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75B460" w14:textId="6C08391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95B3E4" w14:textId="32AE9F8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233D1E" w14:textId="00FB113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EC9B84" w14:textId="47B6EC1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0B61A265" w14:textId="77777777" w:rsidTr="00E15E1E">
        <w:trPr>
          <w:trHeight w:val="164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C22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I.3.5.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C2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Paramos būstui išsinuomoti prieinamumo indeksas, teikiant socialinius būstus eilės tvarka, būsto nuomos ar išperkamosios būsto nuomos mokesčio dalies kompensacijas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BBB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Gyventojų, tais metais gavusių paramą būstui išsinuomoti, socialinių būstų eilės tvarka, būsto nuomos ar išperkamosios būsto nuomos mokesčio dalies kompensaciją, skaičiaus santykis su praėjusiais metais eilėje laukusių paramos būstui išsinuomoti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3C8C" w14:textId="67C3469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Turto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05429C" w14:textId="6DF5843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D94BAA" w14:textId="45851E2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388F4D" w14:textId="6B0EC37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 xml:space="preserve">Mažą prieinamumo indeksą įtakoja tai, kad rinkoje nėra būstų pasiūlos, nuomininkai </w:t>
            </w:r>
            <w:r w:rsidRPr="00514594">
              <w:rPr>
                <w:bCs/>
              </w:rPr>
              <w:lastRenderedPageBreak/>
              <w:t>nesinaudoja</w:t>
            </w:r>
            <w:r w:rsidRPr="00514594">
              <w:rPr>
                <w:bCs/>
                <w:color w:val="000000"/>
              </w:rPr>
              <w:t xml:space="preserve"> nuomos mokesčio dalies kompensacija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DE4EF2" w14:textId="5FC1717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8768D1" w14:textId="3AD097C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9CCD7AB" w14:textId="3AE631B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 xml:space="preserve">Mažą prieinamumo indeksą įtakoja tai, kad rinkoje nėra būstų pasiūlos, nuomininkai </w:t>
            </w:r>
            <w:r w:rsidRPr="00514594">
              <w:rPr>
                <w:bCs/>
              </w:rPr>
              <w:lastRenderedPageBreak/>
              <w:t>nesinaudoja</w:t>
            </w:r>
            <w:r w:rsidRPr="00514594">
              <w:rPr>
                <w:bCs/>
                <w:color w:val="000000"/>
              </w:rPr>
              <w:t xml:space="preserve"> nuomos mokesčio dalies kompensacija</w:t>
            </w:r>
          </w:p>
        </w:tc>
      </w:tr>
      <w:tr w:rsidR="00615D76" w:rsidRPr="006F5874" w14:paraId="1ABF4F45" w14:textId="77777777" w:rsidTr="00E15E1E">
        <w:trPr>
          <w:trHeight w:val="57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25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I.3.6.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F8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Paramą gavusios jaunos šeimos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C7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Paramą pirmam būstui įsigyti iš savivaldybės biudžeto gavusių jaunų šeimų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060D" w14:textId="4977D0F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Turto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035A78" w14:textId="7EDDD9F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B2943E" w14:textId="2CF2097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EE08E2" w14:textId="1EA6B78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D79167" w14:textId="2E0268E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BF20B51" w14:textId="6F5B0EC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FA8CF4E" w14:textId="3809884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3B067F5D" w14:textId="77777777" w:rsidTr="00223747">
        <w:trPr>
          <w:trHeight w:val="79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8D1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I.3.7.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019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Paramą gaunančių mokinių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E3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Paramą gavusių mokinių skaičiaus santykis su visų mokinių skaičiumi | proc.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7727" w14:textId="14978F5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Socialinės paramos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8911F" w14:textId="2000BF1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14347F" w14:textId="31E8480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2EA4B5" w14:textId="228BC2F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7192EB" w14:textId="65C8F73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1DFFB7" w14:textId="1353903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DE7C7C0" w14:textId="60BF1E6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4544EB90" w14:textId="77777777" w:rsidTr="00E93054">
        <w:trPr>
          <w:trHeight w:val="75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356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I.4.1.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7D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Rajono kultūros įstaigų organizuojamų renginių lankytojų ir paslaugų gavėjų skaičius per metus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C0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Rajono kultūros įstaigų ir jų organizuojamų renginių lankytojų skaičius per metus | tūkst. asm.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1F8B" w14:textId="234157A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881897" w14:textId="57B08D4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2403F1" w14:textId="545ECB5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B7F908" w14:textId="78ED1F8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D9A8DB" w14:textId="1DFB695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32FCAA1" w14:textId="5F1BD9E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B7D39B5" w14:textId="1EFD6DB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EE549A0" w14:textId="77777777" w:rsidTr="00E93054">
        <w:trPr>
          <w:trHeight w:val="78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ECE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FF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centro patalpų ir viešųjų erdvių pritaikytų renginiams užimtumas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851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centro patalpų ir viešųjų erdvių pritaikytų renginiams užimto laiko santykis su metiniu darbo valandų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AFDE" w14:textId="5F5985B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6CA775" w14:textId="2B28E38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61271F" w14:textId="5E7D03E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268E28" w14:textId="44870F3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28495A" w14:textId="25FCA3E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9930413" w14:textId="4A82D77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10198E" w14:textId="6657220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>
              <w:rPr>
                <w:lang w:val="en-US"/>
              </w:rPr>
              <w:t>Dėl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pandemijos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ribojimų</w:t>
            </w:r>
            <w:proofErr w:type="spellEnd"/>
          </w:p>
        </w:tc>
      </w:tr>
      <w:tr w:rsidR="00615D76" w:rsidRPr="006F5874" w14:paraId="0B93DA53" w14:textId="77777777" w:rsidTr="00E93054">
        <w:trPr>
          <w:trHeight w:val="9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50DF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B5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biudžeto dalies santykis su lankytojų kultūros įstaigose ir jų organizuojamuose renginiuose skaičiumi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159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išlaidos, tenkančios vienam renginių lankytojui ir paslaugų gavėjui, per metus | Eur.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60C1" w14:textId="1CCB9F2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11A9A" w14:textId="5AAD090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16555F" w14:textId="54FCBA1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D5E5AA" w14:textId="406CF0B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D8A7E4" w14:textId="54C8DB2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AD967E" w14:textId="1891EA8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73303F" w14:textId="3812F61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44B226B4" w14:textId="77777777" w:rsidTr="00E93054">
        <w:trPr>
          <w:trHeight w:val="72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9C0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I.4.4.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C0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Įgyvendinta muziejų plėtros programos dalis | proc.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654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Įgyvendinta muziejų plėtros programos dalis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E69" w14:textId="4AA5183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3EAE5" w14:textId="3B41509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Nėra duomenų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574370" w14:textId="659AE1A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Nėra duomenų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C2E260" w14:textId="703B190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Programa patvirtinta 2021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7349AE" w14:textId="0E66756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8DE52A8" w14:textId="30DFB44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1415C496" w14:textId="7B0169E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Dėl pandemijos ribojimų</w:t>
            </w:r>
          </w:p>
        </w:tc>
      </w:tr>
      <w:tr w:rsidR="00615D76" w:rsidRPr="006F5874" w14:paraId="41C89F6B" w14:textId="77777777" w:rsidTr="00E93054">
        <w:trPr>
          <w:trHeight w:val="527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53F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I.4.5.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3AC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Mokyklų sporto programose dalyvaujančių mokinių skaičius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84B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Mokyklų sporto programose dalyvaujančių mokinių skaičiaus santykis su visų mokinių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ECB3" w14:textId="3A9FFF8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A464D0" w14:textId="53BD063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BC4DEF" w14:textId="05F83D0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06C9E0" w14:textId="4E47085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7B808D" w14:textId="4A4CCB7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6FF6375" w14:textId="1114FE1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E976F39" w14:textId="004920D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Dėl pandemijos ribojimų</w:t>
            </w:r>
          </w:p>
        </w:tc>
      </w:tr>
      <w:tr w:rsidR="00615D76" w:rsidRPr="006F5874" w14:paraId="39DA18A7" w14:textId="77777777" w:rsidTr="00E93054">
        <w:trPr>
          <w:trHeight w:val="97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F7E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I.4.6.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38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Sporto centre ir klubuose sportuojančių vaikų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B1D8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Vaikų sporto centro mokinių ir sporto klubų  lankančių vaikų skaičiaus santykis su visų bendrojo ugdymo mokyklų mokinių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3799" w14:textId="2719D0C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E2A754" w14:textId="15A484F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39FEBB" w14:textId="3991186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EE3523" w14:textId="37AB5A0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793416" w14:textId="619B1C4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7D02EEC" w14:textId="6D636A9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A4E230" w14:textId="76FDED8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416CCE89" w14:textId="77777777" w:rsidTr="00E93054">
        <w:trPr>
          <w:trHeight w:val="8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89E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I.4.7.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050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Sporto infrastruktūros užimtumas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944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Sporto bazių mieste užimto laiko santykis su metiniu darbo valandų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EA9" w14:textId="246C399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FF1AF8" w14:textId="638E8DF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Nėra duomenų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BA7841" w14:textId="7F4CDEF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Nėra duomenų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A43F7D" w14:textId="6BF747E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246B37" w14:textId="228FA6C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431D76E" w14:textId="19FD780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7223E27" w14:textId="6DA707A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 xml:space="preserve">Sporto salėje (Statybininkų g. 9) buvo įrengtas vakcinacijos centras </w:t>
            </w:r>
          </w:p>
        </w:tc>
      </w:tr>
      <w:tr w:rsidR="00615D76" w:rsidRPr="006F5874" w14:paraId="62D2DE22" w14:textId="77777777" w:rsidTr="00E93054">
        <w:trPr>
          <w:trHeight w:val="69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BA0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I.4.8.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209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Sportuojantys rajono gyventojai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3D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Sportuojančių rajono gyventojų (unikalių) skaičiaus santykis su visų rajono gyventojų skaičiumi | proc.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31B3" w14:textId="66EB208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E1135" w14:textId="6EE81A9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D6DE05" w14:textId="0E611F8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102F66" w14:textId="17FD195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F71DC3" w14:textId="59497DD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23DCD81" w14:textId="2BF2758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801BDE2" w14:textId="3BDDFA2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Dėl pandemijos ribojimų</w:t>
            </w:r>
          </w:p>
        </w:tc>
      </w:tr>
      <w:tr w:rsidR="00615D76" w:rsidRPr="006F5874" w14:paraId="34D884C6" w14:textId="77777777" w:rsidTr="00B37146">
        <w:trPr>
          <w:trHeight w:val="82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9E0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I.5.1.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2F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lėšų dalis, skiriama bendruomeninei veiklai skatinti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68B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biudžete numatytos lėšos bendruomeniniai veiklai | tūkst.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FEE7" w14:textId="685F9D1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F36C6A" w14:textId="5950C3A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renkami duomenys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92D0C9" w14:textId="666C404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60844A" w14:textId="2B84640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BFD97B" w14:textId="41674B6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073248" w14:textId="262700C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F20AB88" w14:textId="4782767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>
              <w:rPr>
                <w:lang w:val="en-US"/>
              </w:rPr>
              <w:t>Rodiklis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Savivaldybės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biudžete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numatytos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lėšos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bendruomeninei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veiklai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tūkst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eurų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15D76" w:rsidRPr="006F5874" w14:paraId="61E2C982" w14:textId="77777777" w:rsidTr="00B37146">
        <w:trPr>
          <w:trHeight w:val="8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F3E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I.5.2.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A0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Savanorystės sutarčių skaičius ir akredituotų priimančių organizacijų skaičius | </w:t>
            </w:r>
            <w:proofErr w:type="spellStart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vnt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C4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Savanorystės sutarčių skaičius ir akredituotų priimančių organizacijų skaičius | </w:t>
            </w:r>
            <w:proofErr w:type="spellStart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2067" w14:textId="371A319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3B9CAB" w14:textId="0A6E014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F62AE7" w14:textId="61EB427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D8D781" w14:textId="0D58D18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D045CE" w14:textId="5AB7958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712D6CA" w14:textId="4155FCC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18C6CCE4" w14:textId="73073BD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45A1">
              <w:rPr>
                <w:color w:val="000000"/>
              </w:rPr>
              <w:t xml:space="preserve">2021 m. sudaryta 6 savanorystės sutartys pagal jaunimo savanoriškos tarnybos programą, akredituotų </w:t>
            </w:r>
            <w:r w:rsidRPr="00B845A1">
              <w:rPr>
                <w:color w:val="000000"/>
              </w:rPr>
              <w:lastRenderedPageBreak/>
              <w:t>priimančių organizacijų 2021 m. buvo 12.</w:t>
            </w:r>
          </w:p>
        </w:tc>
      </w:tr>
      <w:tr w:rsidR="00615D76" w:rsidRPr="006F5874" w14:paraId="46987E26" w14:textId="77777777" w:rsidTr="00B37146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2CA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I.5.3.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52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bendruomeniškumas 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12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Įgyvendintų NVO programų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E68C" w14:textId="02EDCE4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ABA8D9" w14:textId="3934026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794D58" w14:textId="19623C3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B8DF9" w14:textId="77777777" w:rsidR="00615D76" w:rsidRDefault="00615D76" w:rsidP="00615D76">
            <w:pPr>
              <w:spacing w:after="0"/>
            </w:pPr>
            <w:r>
              <w:t>1.NVO projektų;</w:t>
            </w:r>
          </w:p>
          <w:p w14:paraId="5B724061" w14:textId="77777777" w:rsidR="00615D76" w:rsidRDefault="00615D76" w:rsidP="00615D76">
            <w:pPr>
              <w:spacing w:after="0"/>
            </w:pPr>
            <w:r>
              <w:t>2.Sporto projektų;</w:t>
            </w:r>
          </w:p>
          <w:p w14:paraId="491CA88C" w14:textId="77777777" w:rsidR="00615D76" w:rsidRDefault="00615D76" w:rsidP="00615D76">
            <w:pPr>
              <w:spacing w:after="0"/>
            </w:pPr>
            <w:r>
              <w:t>3. Jaunimo iniciatyvų;</w:t>
            </w:r>
          </w:p>
          <w:p w14:paraId="6B7ADE7F" w14:textId="77777777" w:rsidR="00615D76" w:rsidRDefault="00615D76" w:rsidP="00615D76">
            <w:pPr>
              <w:spacing w:after="0"/>
            </w:pPr>
            <w:r>
              <w:t>4. Neįgaliųjų ir socialinės integracijos;</w:t>
            </w:r>
          </w:p>
          <w:p w14:paraId="63B68D98" w14:textId="77777777" w:rsidR="00615D76" w:rsidRDefault="00615D76" w:rsidP="00615D76">
            <w:pPr>
              <w:spacing w:after="0"/>
            </w:pPr>
            <w:r>
              <w:t>5.Bendruomeniškumo skatinimo;</w:t>
            </w:r>
          </w:p>
          <w:p w14:paraId="6E9911DE" w14:textId="6D62E9F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6.Kultūros paveldo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4F56E1" w14:textId="54B35BA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BC4B87F" w14:textId="1ACE71E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4E6DA46" w14:textId="778FC96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Rodiklis: Įgyvendintų NVO programų skaičius</w:t>
            </w:r>
          </w:p>
        </w:tc>
      </w:tr>
      <w:tr w:rsidR="00615D76" w:rsidRPr="006F5874" w14:paraId="1AB26822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0DC" w14:textId="77777777" w:rsidR="00615D76" w:rsidRPr="0001268A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01268A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I.5.4.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595" w14:textId="77777777" w:rsidR="00615D76" w:rsidRPr="0001268A" w:rsidRDefault="00615D76" w:rsidP="00615D7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01268A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Nusikalstamumas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0EB" w14:textId="77777777" w:rsidR="00615D76" w:rsidRPr="0001268A" w:rsidRDefault="00615D76" w:rsidP="00615D7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01268A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Nusikalstamų veiklų skaičius, tenkantis 100 000 savivaldybės gyventojų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873B" w14:textId="780EE110" w:rsidR="00615D76" w:rsidRPr="0001268A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Teisės ir civilinės metrikacijos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C8E68" w14:textId="7FDD7E36" w:rsidR="00615D76" w:rsidRPr="0001268A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lt-LT"/>
              </w:rPr>
              <w:t>190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BFE6C1" w14:textId="2E5EF16F" w:rsidR="00615D76" w:rsidRPr="0001268A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042BB7" w14:textId="1AFD55B5" w:rsidR="00615D76" w:rsidRPr="0001268A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0DEEC3" w14:textId="0B62FE7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B8D7C2B" w14:textId="41526E3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DE1427B" w14:textId="4DCDFEF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2E5B0FDE" w14:textId="77777777" w:rsidTr="00E15E1E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0B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I.6.1.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771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Paslaugų elektroniniu būdu teikimas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78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Teikiamų (siūlomų) elektroninių paslaugų dalis visose administracinėse paslaugose | 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53CB" w14:textId="6DDD254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Viešųjų ryšių ir informatikos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44A19D" w14:textId="0CE0740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8FE3F" w14:textId="6A2A996C" w:rsidR="00615D76" w:rsidRPr="00B352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lt-LT"/>
              </w:rPr>
              <w:t>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3E7441" w14:textId="47B0F0D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FEB264" w14:textId="5EC9876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50E5276" w14:textId="7BB6B49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7E522E" w14:textId="091777C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Elektroninių paslaugų skaičius liko tas pats, bet padidėjo procentas dėl to, nes dalis paslaugų buvo sujungtos arba centralizuotai perimtos iš savivaldybių</w:t>
            </w:r>
          </w:p>
        </w:tc>
      </w:tr>
      <w:tr w:rsidR="00615D76" w:rsidRPr="006F5874" w14:paraId="13D81A33" w14:textId="77777777" w:rsidTr="00E15E1E">
        <w:trPr>
          <w:trHeight w:val="8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39F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I.6.2.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720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Vidaus ir išorinė komunikacija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B5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Publikacijų, reportažų, pranešimų nacionalinėse visuomenės informavimo priemonėse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D2A7" w14:textId="57EB753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Viešųjų ryšių ir informatikos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9A566" w14:textId="19CF6C7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BB2760" w14:textId="3F71EA5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E2683D" w14:textId="16B27E0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C5C83F" w14:textId="212E2E7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9FFBCB" w14:textId="5B4B405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67E61">
              <w:rPr>
                <w:color w:val="000000" w:themeColor="text1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48B6B99" w14:textId="2860749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699C7AF" w14:textId="77777777" w:rsidTr="00195263">
        <w:trPr>
          <w:trHeight w:val="58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2E1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I.6.3.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AF1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Aptarnavimo kokybė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85B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pasitenkinimo teikiamomis paslaugomis rodiklis | </w:t>
            </w:r>
            <w:proofErr w:type="spellStart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skaič</w:t>
            </w:r>
            <w:proofErr w:type="spellEnd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D58D" w14:textId="7EFDE01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Bendrasis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01F8F2" w14:textId="457FB3E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B7FCCE" w14:textId="47F3E6D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6A6112" w14:textId="2B52FB8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1AE182" w14:textId="24FB4AC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49F645" w14:textId="372C18C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00B3D">
              <w:rPr>
                <w:color w:val="00000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7977D4" w14:textId="1764B04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6E5F4D54" w14:textId="77777777" w:rsidTr="00A5785A">
        <w:trPr>
          <w:trHeight w:val="56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48E3475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14:paraId="71D5240E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5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7E7F2299" w14:textId="372A6E4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RAJONO EKONOMINĖS PLĖTROS SĄLYGŲ KŪRIMAS</w:t>
            </w:r>
          </w:p>
        </w:tc>
      </w:tr>
      <w:tr w:rsidR="00615D76" w:rsidRPr="006F5874" w14:paraId="37E80095" w14:textId="77777777" w:rsidTr="0070242C">
        <w:trPr>
          <w:trHeight w:val="288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232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kodas</w:t>
            </w:r>
          </w:p>
        </w:tc>
        <w:tc>
          <w:tcPr>
            <w:tcW w:w="4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A8C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5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234A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aprašymas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8DA92F" w14:textId="4ADCE40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5785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Atsakingas skyrius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B0C432" w14:textId="141F0E1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F6384BC" w14:textId="595E02E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</w:tr>
      <w:tr w:rsidR="00615D76" w:rsidRPr="006F5874" w14:paraId="2EB36110" w14:textId="77777777" w:rsidTr="0070242C">
        <w:trPr>
          <w:trHeight w:val="288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174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85BF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67B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7215" w14:textId="1AAF1C4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341CD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  <w:p w14:paraId="7243F401" w14:textId="58100E6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82CB0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2020</w:t>
            </w:r>
          </w:p>
          <w:p w14:paraId="33F4B55D" w14:textId="4A871F4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72F2" w14:textId="74A699E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3DE476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</w:t>
            </w:r>
          </w:p>
          <w:p w14:paraId="69EC96A9" w14:textId="64727A4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C15ACC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2021</w:t>
            </w:r>
          </w:p>
          <w:p w14:paraId="345CCF0D" w14:textId="20C5333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7FF0A6" w14:textId="0522D07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</w:tr>
      <w:tr w:rsidR="00615D76" w:rsidRPr="006F5874" w14:paraId="64F7D974" w14:textId="77777777" w:rsidTr="00223747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8D5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II.1.1.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AF0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3F9F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Gyventojų užimtumas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E9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Nedarbo lygis metų pabaigoje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CF08" w14:textId="41F8C83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Socialinės paramos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E2885" w14:textId="7D400F7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055C38" w14:textId="19C04AC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AFAB63" w14:textId="2E5E40F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Rodiklis nebuvo planuotas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4E9CAE" w14:textId="31764A1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>
              <w:rPr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DD7D07" w14:textId="46A1A7C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  <w:color w:val="000000"/>
              </w:rPr>
              <w:t>15,1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1249C4" w14:textId="2E0BB1F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14594">
              <w:rPr>
                <w:bCs/>
                <w:color w:val="000000"/>
              </w:rPr>
              <w:t>Nedarbo lygis savivaldybėje mažėja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615D76" w:rsidRPr="006F5874" w14:paraId="51233AB7" w14:textId="77777777" w:rsidTr="00A23CFA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32C6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II.1.2.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488" w14:textId="77777777" w:rsidR="00615D76" w:rsidRPr="00121777" w:rsidRDefault="00615D76" w:rsidP="00615D7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21777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Materialinės investicijos vienam gyventojui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DA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Materialinės investicijos rajone, tenkančios vienam gyventojui metų pabaigoje |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E003" w14:textId="0026545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Strateginio planavimo ir investicijų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99F3F3" w14:textId="00CDB60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09409" w14:textId="02670765" w:rsidR="00615D76" w:rsidRPr="006F5874" w:rsidRDefault="0063525B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3525B">
              <w:rPr>
                <w:rFonts w:eastAsia="Times New Roman" w:cs="Times New Roman"/>
                <w:color w:val="000000"/>
                <w:szCs w:val="24"/>
                <w:lang w:eastAsia="lt-LT"/>
              </w:rPr>
              <w:t>1 347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ABE02F" w14:textId="5683899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Planavimo paklaida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9C4266B" w14:textId="4D470A3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1690,37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02AB50" w14:textId="522309D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85A14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273111A" w14:textId="0ED3D8D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85A14">
              <w:rPr>
                <w:lang w:val="en-US"/>
              </w:rPr>
              <w:t xml:space="preserve">2021 m. </w:t>
            </w:r>
            <w:proofErr w:type="spellStart"/>
            <w:r w:rsidRPr="00885A14">
              <w:rPr>
                <w:lang w:val="en-US"/>
              </w:rPr>
              <w:t>duomenys</w:t>
            </w:r>
            <w:proofErr w:type="spellEnd"/>
            <w:r w:rsidRPr="00885A14">
              <w:rPr>
                <w:lang w:val="en-US"/>
              </w:rPr>
              <w:t xml:space="preserve"> </w:t>
            </w:r>
            <w:proofErr w:type="spellStart"/>
            <w:r w:rsidRPr="00885A14">
              <w:rPr>
                <w:lang w:val="en-US"/>
              </w:rPr>
              <w:t>nepaskelbti</w:t>
            </w:r>
            <w:proofErr w:type="spellEnd"/>
          </w:p>
        </w:tc>
      </w:tr>
      <w:tr w:rsidR="00615D76" w:rsidRPr="006F5874" w14:paraId="7301CEA5" w14:textId="77777777" w:rsidTr="00A23CFA">
        <w:trPr>
          <w:trHeight w:val="64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43C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II.1.3.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EE5" w14:textId="77777777" w:rsidR="00615D76" w:rsidRPr="00121777" w:rsidRDefault="00615D76" w:rsidP="00615D7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21777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Vidutinis mėnesinis bruto darbo užmokestis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3D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Vidutinis mėnesinis darbo užmokestis metų pabaigoje, įtraukiant individualias įmones, prieš mokesčius |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21A2" w14:textId="597DECA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Strateginio planavimo ir investicijų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FAD571" w14:textId="4A86920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058,6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DB2B51" w14:textId="126C019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1 083,8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197F0B" w14:textId="071A3BA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2BA0CF" w14:textId="1AFA99A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1132,764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C520E8" w14:textId="3BDC24AE" w:rsidR="00615D76" w:rsidRPr="006F5874" w:rsidRDefault="00BD1353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D1353">
              <w:rPr>
                <w:color w:val="000000"/>
              </w:rPr>
              <w:t>1 277,8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68C39DA" w14:textId="0777FB6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3AD9ED2" w14:textId="77777777" w:rsidTr="00E12DD0">
        <w:trPr>
          <w:trHeight w:val="57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AFA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II.1.4.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62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Teritorijos (sklypai) investicijoms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03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Parengta teritorijų (sklypų) verslo plėtrai, naujoms investicijoms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1B08" w14:textId="4EEC060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Architektūros ir teritorijų planavimo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2C2A1D" w14:textId="4164C9D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5873D9" w14:textId="6E0C0EB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613973" w14:textId="172791A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E5E705" w14:textId="55C73A3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ADC500E" w14:textId="146F698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47B7B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0F80D7E" w14:textId="6C9E30E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47B7B">
              <w:t>Įvertinti ir tie sklypai, kurie suformuoti parduodamų pastatų eksploatacijai</w:t>
            </w:r>
          </w:p>
        </w:tc>
      </w:tr>
      <w:tr w:rsidR="00615D76" w:rsidRPr="006F5874" w14:paraId="0ECC91AE" w14:textId="77777777" w:rsidTr="000E06A3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C38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II.1.5.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03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Nakvynių skaičius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72C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Nakvynių per metus skaičius | tūkst.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54FB" w14:textId="4FB10AF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TVIC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51CC01" w14:textId="106FE3C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0C24F9" w14:textId="207AFD5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59 177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80227B" w14:textId="77777777" w:rsidR="00615D76" w:rsidRDefault="00615D76" w:rsidP="00615D76">
            <w:pPr>
              <w:pStyle w:val="prastasiniatinklio"/>
              <w:jc w:val="center"/>
            </w:pPr>
          </w:p>
          <w:p w14:paraId="2F58B2C2" w14:textId="2954DBC7" w:rsidR="00615D76" w:rsidRDefault="00615D76" w:rsidP="00615D76">
            <w:pPr>
              <w:pStyle w:val="prastasiniatinklio"/>
              <w:jc w:val="center"/>
              <w:rPr>
                <w:sz w:val="22"/>
              </w:rPr>
            </w:pPr>
            <w:r>
              <w:t>Pandemijos metai, kai apgyvendinimui buvo taikoma itin daug suvaržymų.</w:t>
            </w:r>
          </w:p>
          <w:p w14:paraId="5FF3196E" w14:textId="0B1CA5E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237AEA" w14:textId="286CA05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82F1057" w14:textId="7485C72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92 661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92AF53" w14:textId="4825884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E97">
              <w:t>33 484 daugiau nei 2020 m.</w:t>
            </w:r>
          </w:p>
        </w:tc>
      </w:tr>
      <w:tr w:rsidR="00615D76" w:rsidRPr="006F5874" w14:paraId="43C41513" w14:textId="77777777" w:rsidTr="00E15E1E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779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II.1.6.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DB1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Įsiskolinimas vienam gyventojui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5E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skolos dydis vienam gyventojui |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BC61" w14:textId="55FEBBA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Finansų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FAECFD" w14:textId="5A3B49D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2703D" w14:textId="1C23A2D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78B532" w14:textId="53D00EC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Skolinimosi limitai neviršyti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CBFB42" w14:textId="76E6599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A72E061" w14:textId="1C1719D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00B3D">
              <w:rPr>
                <w:color w:val="000000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416B511" w14:textId="0B7C532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00B3D">
              <w:rPr>
                <w:color w:val="000000"/>
              </w:rPr>
              <w:t>Kadangi pagal SD duomenis sumažėjo gyventojų (18650)</w:t>
            </w:r>
          </w:p>
        </w:tc>
      </w:tr>
      <w:tr w:rsidR="00615D76" w:rsidRPr="006F5874" w14:paraId="5C834173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C19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szCs w:val="24"/>
                <w:lang w:eastAsia="lt-LT"/>
              </w:rPr>
              <w:t>II.1.7.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EE2" w14:textId="77777777" w:rsidR="00615D76" w:rsidRPr="00567B5E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67B5E">
              <w:rPr>
                <w:rFonts w:eastAsia="Times New Roman" w:cs="Times New Roman"/>
                <w:szCs w:val="24"/>
                <w:lang w:eastAsia="lt-LT"/>
              </w:rPr>
              <w:t>Gyventojų skaičius rajone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235" w14:textId="77777777" w:rsidR="00615D76" w:rsidRPr="00567B5E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67B5E">
              <w:rPr>
                <w:rFonts w:eastAsia="Times New Roman" w:cs="Times New Roman"/>
                <w:szCs w:val="24"/>
                <w:lang w:eastAsia="lt-LT"/>
              </w:rPr>
              <w:t xml:space="preserve">Gyventojų skaičius rajone metų pabaigai | tūkst. vnt.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1303" w14:textId="28722DFE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Teisės ir civilinės metrikacijos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DA59A1" w14:textId="1D17803B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18600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AD4F2D" w14:textId="58155311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18701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C35B73" w14:textId="2CA5986D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98060B" w14:textId="1CD777B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18650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2CC7D6" w14:textId="7635AC9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3F07">
              <w:rPr>
                <w:color w:val="000000"/>
              </w:rPr>
              <w:t>16872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FB2F8A" w14:textId="20CBED0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33F07">
              <w:rPr>
                <w:color w:val="000000"/>
              </w:rPr>
              <w:t>Dėl didesnio mirtingumo nei gimstamumo.</w:t>
            </w:r>
          </w:p>
        </w:tc>
      </w:tr>
      <w:tr w:rsidR="00615D76" w14:paraId="7FA5C4C6" w14:textId="77777777" w:rsidTr="00E15E1E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2BCA8" w14:textId="77777777" w:rsidR="00615D76" w:rsidRPr="00746CBA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color w:val="000000"/>
                <w:lang w:eastAsia="lt-LT"/>
              </w:rPr>
              <w:t>II.1.8.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57BD" w14:textId="77777777" w:rsidR="00615D76" w:rsidRPr="00746CBA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color w:val="000000"/>
                <w:lang w:eastAsia="lt-LT"/>
              </w:rPr>
              <w:t>Savarankiškai dirbančių skaičius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E47" w14:textId="77777777" w:rsidR="00615D76" w:rsidRPr="00746CBA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color w:val="000000"/>
                <w:lang w:eastAsia="lt-LT"/>
              </w:rPr>
              <w:t>Gyventojai dirbantys pagal verslo liudijimus, individualios veiklos pažymas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3D30" w14:textId="3F5B3CD2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46CBA">
              <w:rPr>
                <w:rFonts w:eastAsia="Times New Roman" w:cs="Times New Roman"/>
                <w:color w:val="000000"/>
                <w:lang w:eastAsia="lt-LT"/>
              </w:rPr>
              <w:t>Finansų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2223EE" w14:textId="299F1C38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C94F01" w14:textId="0ED3A8E2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E8C8A2" w14:textId="1A2BF077" w:rsidR="00615D76" w:rsidRPr="00567B5E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Didėja savarankiškai dirbančių asmenų skaičius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65BE93" w14:textId="5CA88702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4CF16E" w14:textId="034AE6EA" w:rsidR="00615D76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2D6F5AF" w14:textId="3990CE66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7503565" w14:textId="77777777" w:rsidTr="00A5785A">
        <w:trPr>
          <w:trHeight w:val="56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57AD3EC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14:paraId="2E4C9894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5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2420BF1B" w14:textId="5C290FB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INFRASTRUKTŪRA, UŽTIKRINANTI KOKYBIŠKĄ, SAUGIĄ IR PATOGIĄ GYVENIMO APLINKĄ</w:t>
            </w:r>
          </w:p>
        </w:tc>
      </w:tr>
      <w:tr w:rsidR="00615D76" w:rsidRPr="006F5874" w14:paraId="241A18C3" w14:textId="77777777" w:rsidTr="00814215">
        <w:trPr>
          <w:trHeight w:val="288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B36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kodas</w:t>
            </w:r>
          </w:p>
        </w:tc>
        <w:tc>
          <w:tcPr>
            <w:tcW w:w="4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750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5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2BB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aprašymas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DED609" w14:textId="6BF367D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5785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Atsakingas skyrius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623264" w14:textId="2DF77CC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033F3BB" w14:textId="30F9C99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</w:tr>
      <w:tr w:rsidR="00615D76" w:rsidRPr="006F5874" w14:paraId="057BA68E" w14:textId="77777777" w:rsidTr="00814215">
        <w:trPr>
          <w:trHeight w:val="288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4C3C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D2C8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E178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F47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3DC2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  <w:p w14:paraId="138A4E59" w14:textId="730AF92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AABF1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2020</w:t>
            </w:r>
          </w:p>
          <w:p w14:paraId="3BEC62CE" w14:textId="74631D0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754B2" w14:textId="5E3FC5B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ED1C12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</w:t>
            </w:r>
          </w:p>
          <w:p w14:paraId="26992508" w14:textId="2C5AB27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D340AD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2021</w:t>
            </w:r>
          </w:p>
          <w:p w14:paraId="5C2E5AD4" w14:textId="1364DD7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5F5652" w14:textId="281F3D3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</w:tr>
      <w:tr w:rsidR="00615D76" w:rsidRPr="006F5874" w14:paraId="6ED9B21B" w14:textId="77777777" w:rsidTr="00E12DD0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251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III.1.1.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081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Patvirtinti teritorijų planavimo dokumentai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04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metus patvirtintų teritorijų planavimo dokumentų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27CB" w14:textId="00DDECE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Architektūros ir teritorijų planavimo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3F6BD" w14:textId="02BD6E0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ED8D6C" w14:textId="74316BAE" w:rsidR="00615D76" w:rsidRPr="00E12DD0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szCs w:val="24"/>
                <w:lang w:val="en-US" w:eastAsia="lt-LT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573D20" w14:textId="7470BCF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Kai kurie teritorijų planavimo dokumentai rengiami fizinių ar juridinių asmenų iniciatyva, jų skaičiaus negalima iš anksto numatyti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D0ED1B" w14:textId="203EF4F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8252802" w14:textId="014F8D7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47CB0AA" w14:textId="0423E10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7922C4C1" w14:textId="77777777" w:rsidTr="00E12DD0">
        <w:trPr>
          <w:trHeight w:val="8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869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III.1.2.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EB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Naujos statybos gyvenamieji namai ir butai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899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Per metus įregistruota naujos statybos gyvenamųjų namų ir butų skaičius, plotas | vnt., kv. m.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E6A4" w14:textId="5CD6A60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 xml:space="preserve">Architektūros ir teritorijų </w:t>
            </w:r>
            <w:r w:rsidRPr="003A5C13">
              <w:rPr>
                <w:rFonts w:eastAsia="Times New Roman" w:cs="Times New Roman"/>
                <w:color w:val="000000"/>
                <w:lang w:eastAsia="lt-LT"/>
              </w:rPr>
              <w:lastRenderedPageBreak/>
              <w:t>planavimo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869209" w14:textId="3832D31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9D583C" w14:textId="5145BA5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EBE08" w14:textId="45664D7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DCF048" w14:textId="46C8A3A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8FAB68C" w14:textId="63F3543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53A0222" w14:textId="2071604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CD55F9B" w14:textId="77777777" w:rsidTr="00E12DD0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60D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III.1.3.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6F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GIS – duomenų bazės kūrimas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E3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Įdiegtų priemonių dalis nuo visų suplanuotų |įdiegti priemonių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5667" w14:textId="31AC05E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Architektūros ir teritorijų planavimo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550D30" w14:textId="10D8FD5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E7A6AE" w14:textId="3EA951B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F23C8D" w14:textId="1B9251D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09B0D0" w14:textId="65FF1F0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D0C8E6" w14:textId="08F1B19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B7CEE9" w14:textId="391D842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3E275417" w14:textId="77777777" w:rsidTr="00E86CD6">
        <w:trPr>
          <w:trHeight w:val="8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AF0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III.1.4.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EA8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Atliktų žemės sklypų kadastrinių matavimų dalis nuo visų savivaldybės naudojamų žemės sklypų | proc.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3D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Atliktų žemės sklypų kadastriniai matavimai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36DF" w14:textId="2F6C40E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Turto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36CAB9" w14:textId="6F7ABC6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0C0BD3" w14:textId="48FA3C57" w:rsidR="00615D76" w:rsidRPr="00740F30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lt-LT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2E77B8" w14:textId="62B6D30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B38E10" w14:textId="2D7C2CD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F5DA279" w14:textId="46EFB4C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62EF1AC" w14:textId="029AA96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44AABCA7" w14:textId="77777777" w:rsidTr="00E12DD0">
        <w:trPr>
          <w:trHeight w:val="70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363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III.1.5.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5F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Suformuotų žemės sklypų skaičius | vnt.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2D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Suformuotų žemės sklypų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A162" w14:textId="67035FD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Architektūros ir teritorijų planavimo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29C9E8" w14:textId="5299B8A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33897F" w14:textId="3C4DF7F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D90926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Dauguma projektų buvo pradėti 2020 m. rugsėjį, todėl jie buvo pabaigti jau 2021 metais.</w:t>
            </w:r>
          </w:p>
          <w:p w14:paraId="2D2E9A2A" w14:textId="0F3854E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DD0C9B" w14:textId="682F681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E397DDD" w14:textId="725B418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9E3BF6" w14:textId="167E910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5436B600" w14:textId="77777777" w:rsidTr="00E12DD0">
        <w:trPr>
          <w:trHeight w:val="82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2CD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III.1.6.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E09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Pastatyti, rekonstruoti komercinės, gamybinės, administracinės paskirties pastatai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7C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metus pastatytų, rekonstruotų ir įregistruotų komercinės, gamybinės, administracinės paskirties pastatų skaičius, plotas | vnt., kv.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0FE3" w14:textId="077FDD1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Architektūros ir teritorijų planavimo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7FB2B" w14:textId="6E4E537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BB9DD3" w14:textId="162D971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A29592" w14:textId="5E510F2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Neturima informacijos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50EDDD" w14:textId="54144FD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C1F960" w14:textId="7AD70F5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88934B" w14:textId="74F91C9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2CB3F09F" w14:textId="77777777" w:rsidTr="000D6757">
        <w:trPr>
          <w:trHeight w:val="99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0F48B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III.2.1.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A78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oro užterštumo lygis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C7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Tiriamų teritorijų skaičius, kuriose vertinant teršalų SO</w:t>
            </w:r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>2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, NO</w:t>
            </w:r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>2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, LOJ, KD</w:t>
            </w:r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>10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ir CO koncentracijos skaitines reikšmes  nustatytas užterštumo lygis žemas arba labai žemas.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D1FC" w14:textId="4F50D6F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9941E0" w14:textId="4DE4997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nebuvo tirta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8121FD" w14:textId="0A95CB0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01CB3D" w14:textId="1D3A074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DEC550" w14:textId="1656E5E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 iš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448C51" w14:textId="04155D0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3 iš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C7DBBD" w14:textId="025EFD5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407F6D34" w14:textId="77777777" w:rsidTr="000D6757">
        <w:trPr>
          <w:trHeight w:val="97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2CE65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III.2.2.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8D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Natūralių paviršinių vandens telkinių ekologinė būklė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4F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Tiriamų paviršinių vandens telkinių skaičius pagal fizikinių- cheminių (BDS</w:t>
            </w:r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 xml:space="preserve">7, </w:t>
            </w:r>
            <w:proofErr w:type="spellStart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</w:t>
            </w:r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>b</w:t>
            </w:r>
            <w:proofErr w:type="spellEnd"/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 xml:space="preserve"> 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ir </w:t>
            </w:r>
            <w:proofErr w:type="spellStart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</w:t>
            </w:r>
            <w:r w:rsidRPr="006F5874">
              <w:rPr>
                <w:rFonts w:eastAsia="Times New Roman" w:cs="Times New Roman"/>
                <w:color w:val="000000"/>
                <w:szCs w:val="24"/>
                <w:vertAlign w:val="subscript"/>
                <w:lang w:eastAsia="lt-LT"/>
              </w:rPr>
              <w:t>b</w:t>
            </w:r>
            <w:proofErr w:type="spellEnd"/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)  kokybės elementų rodiklių vertes vertinami labai gerai arba gerai.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8D76" w14:textId="6B53193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64673" w14:textId="55DFCAF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nebuvo tirta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A96784" w14:textId="2F99DAC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F52691" w14:textId="59DDE1E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D56CEF" w14:textId="340F738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 iš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6C0C1A6" w14:textId="429E02B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7 iš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D1D952" w14:textId="1F553F9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7B843917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D3C9A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III.3.1.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28C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Nauji centralizuotai tiekiamo vandens vartotojai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F6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Naujų centralizuotai tiekiamo vandens vartotojų skaičius metų pabaigai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7F5E" w14:textId="6DFA62B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D4B514" w14:textId="057B093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3BCB8" w14:textId="3C6ACFF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DBD3BB" w14:textId="569A309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569490" w14:textId="17B465D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8E13CF" w14:textId="42DC3E3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03A7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9AA837" w14:textId="5A7AD6C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639E457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F2E2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III.3.2.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5F5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Nauji prie centralizuotų nuotekų tinklų prisijungę vartotojai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56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Naujų prie centralizuotų  nuotekų tinklų prisijungusių vartotojų skaičius metų pabaigai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6193" w14:textId="39AAC2E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FB522" w14:textId="5C1CD9B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14931F" w14:textId="68B948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5CE7D3" w14:textId="635E8B8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366224" w14:textId="58E1B82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05FECC7" w14:textId="164C96B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03A7"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0B3EC6" w14:textId="45D7D93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657F6F3F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99CC5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III.3.3.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021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Individualius valymo įrenginius įsirengusių gyventojų skaičius 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E4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paramą per metus gavusių gyventojų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D8B2" w14:textId="6703F47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3558A4" w14:textId="59D8584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967168" w14:textId="271DE23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8976D9" w14:textId="0D95914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A15B64" w14:textId="7AFCA32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03BEF35" w14:textId="133F655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654A2F6" w14:textId="1152224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Gyventojai nepateikė paraiškų atitinkančių reikalavimus</w:t>
            </w:r>
          </w:p>
        </w:tc>
      </w:tr>
      <w:tr w:rsidR="00615D76" w:rsidRPr="006F5874" w14:paraId="2321DB0D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B74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III.4.1.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52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Nauji centralizuoto šilumos tiekimo vartotojai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AE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Naujų per metus prisijungusių prie centralizuoto šilumos tiekimo sistemos vartotojų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BF9B" w14:textId="1DC5EC7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1671CF" w14:textId="5BBF9B1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32 (3677)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18F8A1" w14:textId="407CEBF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06F794" w14:textId="1AD9E0A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54C05B" w14:textId="540E744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16 (781)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6449DD" w14:textId="4DB8DF1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C725EDA" w14:textId="485F2FF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11D590A8" w14:textId="77777777" w:rsidTr="000D6757">
        <w:trPr>
          <w:trHeight w:val="72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D4887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III.4.2.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5D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Atsinaujinančių energijos išteklių naudojimas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0B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Viešųjų pastatų, kuriuose įrengta naujų atsinaujinančius energijos išteklius naudojančių sistemų, skaičius.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6C92" w14:textId="4D0E7C4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00F1E9" w14:textId="60ADD8D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4D4F89" w14:textId="137455B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F11715" w14:textId="2A1E0AF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0F5214" w14:textId="274F68F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CC8DC0" w14:textId="485492A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B66D957" w14:textId="7D588AF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Užsitęsė pirkimo procedūros fotovoltinių elektrinių įrengimui</w:t>
            </w:r>
          </w:p>
        </w:tc>
      </w:tr>
      <w:tr w:rsidR="00615D76" w:rsidRPr="006F5874" w14:paraId="5C5B41D6" w14:textId="77777777" w:rsidTr="000D6757">
        <w:trPr>
          <w:trHeight w:val="69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B2C89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III.4.3.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3C1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Daugiabučių gyvenamųjų namų modernizavimas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0B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Modernizuotų daugiabučių gyvenamųjų namų santykis su visais daugiabučiais namais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6193D" w14:textId="3FC1CBB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F42364" w14:textId="0865546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66                          51/26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FEA046" w14:textId="71092D2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577B52" w14:textId="543D7C1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229CC1" w14:textId="0CB2577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71                55/28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F8B3489" w14:textId="77777777" w:rsidR="00615D76" w:rsidRDefault="00615D76" w:rsidP="00615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14:paraId="45E47926" w14:textId="4A6B4F2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55/28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69087148" w14:textId="48D7B70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Mieste renovuoti 5 namai</w:t>
            </w:r>
          </w:p>
        </w:tc>
      </w:tr>
      <w:tr w:rsidR="00615D76" w:rsidRPr="006F5874" w14:paraId="354622EE" w14:textId="77777777" w:rsidTr="000D6757">
        <w:trPr>
          <w:trHeight w:val="4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985CF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III.4.4.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29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Modernizuoti viešieji pastatai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CE8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Modernizuotų viešųjų pastatų skaičius per metus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AE63" w14:textId="08B0055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88B702" w14:textId="3263BD2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E1A2B0" w14:textId="08167C61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B2768" w14:textId="42771B3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93A914" w14:textId="5EE2E9E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CCA5E79" w14:textId="11C7531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A972B9D" w14:textId="1695D2F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Molėtų gimnazija</w:t>
            </w:r>
          </w:p>
        </w:tc>
      </w:tr>
      <w:tr w:rsidR="00615D76" w:rsidRPr="006F5874" w14:paraId="0AC60AA1" w14:textId="77777777" w:rsidTr="000D6757">
        <w:trPr>
          <w:trHeight w:val="32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6D010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III.5.1.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A38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Sutvarkytos, suremontuotos teritorijos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91B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Sutvarkytų, suremontuotų teritorijų plota |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0CE7" w14:textId="63CAA63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3F3493" w14:textId="375C2A7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D0EE74" w14:textId="61AE39B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58A624" w14:textId="5D30BA1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EA904B" w14:textId="6989F33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1AE3F39" w14:textId="180C7C8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28100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4BC4D77" w14:textId="0A861BE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 xml:space="preserve">Sav. aikštė ir aplinkinės </w:t>
            </w:r>
            <w:proofErr w:type="spellStart"/>
            <w:r>
              <w:rPr>
                <w:color w:val="000000"/>
              </w:rPr>
              <w:t>terit</w:t>
            </w:r>
            <w:proofErr w:type="spellEnd"/>
            <w:r>
              <w:rPr>
                <w:color w:val="000000"/>
              </w:rPr>
              <w:t>., Janonio g. kvartalas, Amatų g. kvartalas</w:t>
            </w:r>
          </w:p>
        </w:tc>
      </w:tr>
      <w:tr w:rsidR="00615D76" w:rsidRPr="006F5874" w14:paraId="566170BE" w14:textId="77777777" w:rsidTr="000D6757">
        <w:trPr>
          <w:trHeight w:val="36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2712B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III.5.2.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EAF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Išasfaltuotų (suremontuotų) gatvių ilgis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DC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metus asfaltuotų (remontuotų) gatvių ilgis |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028F" w14:textId="705849C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B37472" w14:textId="65D58133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8726BC" w14:textId="73E9800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E5D4A9" w14:textId="3E67F95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1C337B" w14:textId="34F6EAE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0EFD898" w14:textId="3213152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54E9B4" w14:textId="5F3189C5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F5874" w14:paraId="5F164CAA" w14:textId="77777777" w:rsidTr="000D6757">
        <w:trPr>
          <w:trHeight w:val="41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F1BBC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III.5.3.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F0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Nutiestų pėsčiųjų ir dviračių takų ilgis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93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metus nutiestų pėsčiųjų ir dviračių takų ilgis |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720A" w14:textId="0612318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79B50D" w14:textId="4ACA724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23925C" w14:textId="5FE1056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B296B4" w14:textId="0D78E51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4C7BF0" w14:textId="6EBD056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3B8C78" w14:textId="211F2A2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D0A85">
              <w:t>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88888C0" w14:textId="5B02F5B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 xml:space="preserve">Kitų planuotų takų įrengimui ES finansavimas skirtas 2022 m. </w:t>
            </w:r>
          </w:p>
        </w:tc>
      </w:tr>
      <w:tr w:rsidR="00615D76" w:rsidRPr="006F5874" w14:paraId="3E98E46A" w14:textId="77777777" w:rsidTr="000D6757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801F4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III.5.4.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291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Išasfaltuotų žvyrkelių ilgis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84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metus asfaltuotų žvyrkelių ilgis |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79DF" w14:textId="0303D02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2B1337" w14:textId="538F8F3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8CE0C6" w14:textId="5699F6B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97E3D1" w14:textId="77F860F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0BCB9A" w14:textId="6D3F9E1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38EA464" w14:textId="2ED9F290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72457B2C" w14:textId="1B99EAB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Rangovas suvėlino Braškių g. (900 m) remonto darbus</w:t>
            </w:r>
          </w:p>
        </w:tc>
      </w:tr>
      <w:tr w:rsidR="00615D76" w:rsidRPr="006F5874" w14:paraId="0880B31C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F8B55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III.5.5.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0AB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Įrengtas kryptinis pėsčiųjų perėjų apšvietimas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11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Per metus sutvarkytų perėjų, įrengiant kryptinį apšvietimą skaičius | vnt.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B168" w14:textId="44555184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297C0" w14:textId="45774239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1498A2" w14:textId="6B99EB2B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3070AC" w14:textId="1F131D1E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5F2698" w14:textId="292410AD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5839DB" w14:textId="7A3B522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D0A8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FB07FF1" w14:textId="7ACF2C6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D0A85">
              <w:t>Vykdomos projektavimo procedūros</w:t>
            </w:r>
          </w:p>
        </w:tc>
      </w:tr>
      <w:tr w:rsidR="00615D76" w:rsidRPr="006F5874" w14:paraId="1F1A420F" w14:textId="77777777" w:rsidTr="000D6757">
        <w:trPr>
          <w:trHeight w:val="55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FA0F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III.5.6.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6D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Gatvių apšvietimo modernizavimas, įrengiant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LED</w:t>
            </w: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šviestuvus</w:t>
            </w:r>
            <w:r>
              <w:t xml:space="preserve"> 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3A3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Pakeistų šviestuvų į ledinius santykis su visais šviestuvais metų pabaigai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4FC0" w14:textId="18251DA2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Statybos ir žemės ūkio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309F24" w14:textId="0B34527C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C55E359" w14:textId="0ADFCF0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5FF9AD0" w14:textId="19870FE8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E2CA00" w14:textId="12ED7BB6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C6C0A76" w14:textId="50CBAC2F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37DA2E01" w14:textId="78E739CA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Darbai bus vykdomi 2022 m</w:t>
            </w:r>
          </w:p>
        </w:tc>
      </w:tr>
      <w:tr w:rsidR="00615D76" w:rsidRPr="006F5874" w14:paraId="0BFF3C36" w14:textId="77777777" w:rsidTr="00711488">
        <w:trPr>
          <w:trHeight w:val="288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3B4" w14:textId="77777777" w:rsidR="00615D76" w:rsidRPr="006F5874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A7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4AB7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A7357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1E0" w14:textId="2DEF694B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75D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BF9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8B6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47B0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884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5D76" w:rsidRPr="006F5874" w14:paraId="576FE5C7" w14:textId="77777777" w:rsidTr="00711488">
        <w:trPr>
          <w:trHeight w:val="124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12C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2F9C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95C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B491C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F0E" w14:textId="2DBBF50C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B25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C1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98A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BA2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7AE" w14:textId="77777777" w:rsidR="00615D76" w:rsidRPr="006F5874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5D76" w:rsidRPr="006C73EF" w14:paraId="5E4B41FB" w14:textId="77777777" w:rsidTr="00A5785A">
        <w:trPr>
          <w:trHeight w:val="55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64E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F2E30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0791" w14:textId="52CC739A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</w:t>
            </w: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DETALI SPP RODIKLIO </w:t>
            </w:r>
            <w:r w:rsidRPr="006C73EF">
              <w:rPr>
                <w:rFonts w:eastAsia="Times New Roman" w:cs="Times New Roman"/>
                <w:b/>
                <w:bCs/>
                <w:szCs w:val="24"/>
                <w:lang w:eastAsia="lt-LT"/>
              </w:rPr>
              <w:t>I.1.2.</w:t>
            </w: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„ABITURIENTŲ GAVUSIŲ IŠ VALSTYBINIŲ BRANDOS EGZAMINŲ 86-100 BALŲ ĮVERTINIMĄ DALIS“ STATISTIKA IR SIEKTINOS REIKŠMĖS</w:t>
            </w:r>
          </w:p>
        </w:tc>
      </w:tr>
      <w:tr w:rsidR="00615D76" w:rsidRPr="006C73EF" w14:paraId="6AA58993" w14:textId="77777777" w:rsidTr="00711488">
        <w:trPr>
          <w:trHeight w:val="288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2137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518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057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45B8CD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367" w14:textId="161BBD9C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28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617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805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E71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87D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5D76" w:rsidRPr="006C73EF" w14:paraId="4377BECF" w14:textId="77777777" w:rsidTr="00A5785A">
        <w:trPr>
          <w:trHeight w:val="2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B9BB73F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14:paraId="73A1200C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4FD1ECD6" w14:textId="2ACF73F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BESIMOKANTI, ATSAKINGA IR AKTYVI BENDRUOMENĖ</w:t>
            </w:r>
          </w:p>
        </w:tc>
      </w:tr>
      <w:tr w:rsidR="00615D76" w:rsidRPr="006C73EF" w14:paraId="523525AD" w14:textId="77777777" w:rsidTr="005933D9">
        <w:trPr>
          <w:trHeight w:val="288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8B5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kodas</w:t>
            </w:r>
          </w:p>
        </w:tc>
        <w:tc>
          <w:tcPr>
            <w:tcW w:w="49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BF8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Abiturientų, gavusių iš valstybinių brandos egzaminų 86-100 balų įvertinimą, dalis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085E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3978" w14:textId="53AF284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5785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Atsakingas skyrius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55DEBC" w14:textId="3BBDA2F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A4E8AF2" w14:textId="0D79F10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</w:tr>
      <w:tr w:rsidR="00615D76" w:rsidRPr="006C73EF" w14:paraId="35A8112E" w14:textId="77777777" w:rsidTr="005933D9">
        <w:trPr>
          <w:trHeight w:val="552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4DC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C2676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BCF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ABC8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2C475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  <w:p w14:paraId="186F3DDB" w14:textId="15C78AE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B46B2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2020</w:t>
            </w:r>
          </w:p>
          <w:p w14:paraId="7EA4C33C" w14:textId="4273FC4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2DC58" w14:textId="5C3CC7C9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593143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</w:t>
            </w:r>
          </w:p>
          <w:p w14:paraId="472BE613" w14:textId="52C3A49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66225D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2021</w:t>
            </w:r>
          </w:p>
          <w:p w14:paraId="7A263307" w14:textId="5D40FF6F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80825D" w14:textId="4ACCDC4F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</w:tr>
      <w:tr w:rsidR="00615D76" w:rsidRPr="006C73EF" w14:paraId="5DBACCC3" w14:textId="77777777" w:rsidTr="00B37146">
        <w:trPr>
          <w:trHeight w:val="68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7E93B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5E7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lietuvių kalbos ir literatūros VBE 86-100 balų įvertinimą, dalis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4F9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Aukščiausius balus (86-100) gavusių mokinių dalis nuo bendro, valstybinius egzaminus laikiusių, mokinių skaičiaus pagal dalykus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67CA" w14:textId="767FC55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744712" w14:textId="52F9C59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D7435F" w14:textId="6307715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407871" w14:textId="577C39B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59543B" w14:textId="1FDE2B8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01125B" w14:textId="7F9132C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52A0C5D" w14:textId="13C9D61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4FA530D1" w14:textId="77777777" w:rsidTr="00B37146">
        <w:trPr>
          <w:trHeight w:val="82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E4E72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40C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matematikos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F0B22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4760" w14:textId="1EC2AF7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FAEB0B" w14:textId="531F054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180114" w14:textId="2F93E4D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EE2E51" w14:textId="1EFE615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7388EF" w14:textId="6ACD637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58F272" w14:textId="00551F9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759CD0B" w14:textId="6F34FFA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2BECC472" w14:textId="77777777" w:rsidTr="00B37146">
        <w:trPr>
          <w:trHeight w:val="69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29F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86E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užsienio kalbos (anglų)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B66B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266F" w14:textId="2DD3254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DEF447" w14:textId="681A6E8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4DED41" w14:textId="57BE8B2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93CFED" w14:textId="0C73D6A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9C6D7F" w14:textId="3891FC0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217609" w14:textId="5CAA632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4BB9E307" w14:textId="3408583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Nuotolinis ugdymas COVID sąlygomis</w:t>
            </w:r>
          </w:p>
        </w:tc>
      </w:tr>
      <w:tr w:rsidR="00615D76" w:rsidRPr="006C73EF" w14:paraId="4905059E" w14:textId="77777777" w:rsidTr="00B37146">
        <w:trPr>
          <w:trHeight w:val="71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926A0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077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geografijos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D4FD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E4E" w14:textId="1848F619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D2CD25" w14:textId="590FF76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4D91C" w14:textId="43EC635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D9EAC1" w14:textId="7D19C80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0FB0F4" w14:textId="33D4985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043505" w14:textId="0FAA09CA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1672B305" w14:textId="3F2CEAA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Nuotolinis ugdymas COVID sąlygomis</w:t>
            </w:r>
          </w:p>
        </w:tc>
      </w:tr>
      <w:tr w:rsidR="00615D76" w:rsidRPr="006C73EF" w14:paraId="32A9BCEC" w14:textId="77777777" w:rsidTr="00B37146">
        <w:trPr>
          <w:trHeight w:val="68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5FA7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108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fizikos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D0F1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4AA9" w14:textId="4215DB7F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71A0DE" w14:textId="5494197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352D07" w14:textId="5EAB6E6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0D5138" w14:textId="6705158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F18593" w14:textId="52AC6309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99DFCAB" w14:textId="0946449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CF302AB" w14:textId="3932FD1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 xml:space="preserve">Nuotolinis ugdymas </w:t>
            </w:r>
            <w:r w:rsidRPr="00B549FB">
              <w:lastRenderedPageBreak/>
              <w:t>COVID sąlygomis</w:t>
            </w:r>
          </w:p>
        </w:tc>
      </w:tr>
      <w:tr w:rsidR="00615D76" w:rsidRPr="006C73EF" w14:paraId="5EDE29BC" w14:textId="77777777" w:rsidTr="00B37146">
        <w:trPr>
          <w:trHeight w:val="5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1678D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070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chemijos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AF30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BAB6" w14:textId="5B927CB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6B79B7" w14:textId="50A2CB2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291A93" w14:textId="71B7139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ED62FA" w14:textId="4527961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FAE80A" w14:textId="15B24C0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7A48B98" w14:textId="67C2A6F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1E8C1665" w14:textId="7424D8F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>Nuotolinis ugdymas COVID sąlygomis</w:t>
            </w:r>
          </w:p>
        </w:tc>
      </w:tr>
      <w:tr w:rsidR="00615D76" w:rsidRPr="006C73EF" w14:paraId="2C242882" w14:textId="77777777" w:rsidTr="00B37146">
        <w:trPr>
          <w:trHeight w:val="63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FD59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EFF6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 informacinių technologijų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85C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33F0" w14:textId="1DC8443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ED4C8F" w14:textId="1058122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9EC9F1" w14:textId="1776C40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B5DAAB" w14:textId="5AF4163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92D432" w14:textId="01B8E46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6E36898" w14:textId="318BC4C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D304E4F" w14:textId="1FDA150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5C17FEB2" w14:textId="77777777" w:rsidTr="00B37146">
        <w:trPr>
          <w:trHeight w:val="69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2C637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EE4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 biologijos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8391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CDF0" w14:textId="26ECC40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85E2B" w14:textId="1DBD0F2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416147" w14:textId="424BCB8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3DA979" w14:textId="58312A3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9B6823" w14:textId="2F2AF56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F6F71C" w14:textId="5A08832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F72B255" w14:textId="1B56AAE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>Rezultatas vis vien viršija šalies vidurkį ir yra geras</w:t>
            </w:r>
          </w:p>
        </w:tc>
      </w:tr>
      <w:tr w:rsidR="00615D76" w:rsidRPr="006C73EF" w14:paraId="1103BFA0" w14:textId="77777777" w:rsidTr="00B37146">
        <w:trPr>
          <w:trHeight w:val="687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2CB4E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449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gavusių iš istorijos VBE 86-100 balų įvertinimą, dalis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BCE9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78B7" w14:textId="6427F05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5DFEE1" w14:textId="78FA17D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07B51B" w14:textId="70CB418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BD5EE" w14:textId="0FB48E6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0ACE85" w14:textId="4B5451B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6A1B3F5" w14:textId="139C0A8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481B092" w14:textId="3581756F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61BCE64E" w14:textId="77777777" w:rsidTr="00711488">
        <w:trPr>
          <w:trHeight w:val="288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E03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E79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238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4517F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2E7" w14:textId="6B77D50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979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3D5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2302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926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CF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5D76" w:rsidRPr="006C73EF" w14:paraId="63B6AE73" w14:textId="77777777" w:rsidTr="00711488">
        <w:trPr>
          <w:trHeight w:val="288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4C4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324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ED7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D989E1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E8B" w14:textId="45275AF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7C6E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AF2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E96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72F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EC2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5D76" w:rsidRPr="006C73EF" w14:paraId="6C1C8421" w14:textId="77777777" w:rsidTr="00A5785A">
        <w:trPr>
          <w:trHeight w:val="588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BA0D1" w14:textId="77777777" w:rsidR="00615D76" w:rsidRPr="006C73EF" w:rsidRDefault="00615D76" w:rsidP="00615D76">
            <w:pPr>
              <w:pStyle w:val="Sraopastraipa"/>
              <w:spacing w:after="0" w:line="240" w:lineRule="auto"/>
              <w:ind w:left="128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F6D2E" w14:textId="50964E37" w:rsidR="00615D76" w:rsidRPr="003B30D0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 </w:t>
            </w:r>
            <w:r w:rsidRPr="003B30D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DETALI SPP RODIKLIO</w:t>
            </w:r>
            <w:r w:rsidRPr="003B30D0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I.1.7.</w:t>
            </w:r>
            <w:r w:rsidRPr="003B30D0">
              <w:rPr>
                <w:rFonts w:eastAsia="Times New Roman" w:cs="Times New Roman"/>
                <w:b/>
                <w:bCs/>
                <w:color w:val="FF0000"/>
                <w:szCs w:val="24"/>
                <w:lang w:eastAsia="lt-LT"/>
              </w:rPr>
              <w:t xml:space="preserve"> </w:t>
            </w:r>
            <w:r w:rsidRPr="003B30D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„ABITURIENTŲ NEIŠLAIKIUSIŲ VALSTYBINIŲ BRANDOS EGZAMINŲ DALIS“ STATISTIKA IR SIEKTINOS REIKŠMĖS</w:t>
            </w:r>
          </w:p>
        </w:tc>
      </w:tr>
      <w:tr w:rsidR="00615D76" w:rsidRPr="006C73EF" w14:paraId="53754ABC" w14:textId="77777777" w:rsidTr="00711488">
        <w:trPr>
          <w:trHeight w:val="288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119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058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35A6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3652D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EAA" w14:textId="5A454A0A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ED0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E19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B70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FD0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3E9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5D76" w:rsidRPr="006C73EF" w14:paraId="4B3E7674" w14:textId="77777777" w:rsidTr="00A5785A">
        <w:trPr>
          <w:trHeight w:val="2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5C0F0FA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8EA9DB"/>
          </w:tcPr>
          <w:p w14:paraId="1369A1C5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519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65E98920" w14:textId="52153A4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BESIMOKANTI, ATSAKINGA IR AKTYVI BENDRUOMENĖ</w:t>
            </w:r>
          </w:p>
        </w:tc>
      </w:tr>
      <w:tr w:rsidR="00615D76" w:rsidRPr="006C73EF" w14:paraId="4C3A1674" w14:textId="77777777" w:rsidTr="002C5421">
        <w:trPr>
          <w:trHeight w:val="312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436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kodas</w:t>
            </w:r>
          </w:p>
        </w:tc>
        <w:tc>
          <w:tcPr>
            <w:tcW w:w="4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DD1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Abiturientų, neišlaikiusių valstybinių brandos egzaminų, dalis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9685D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F069D" w14:textId="48F6F4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5785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Atsakingas skyrius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05B5E5" w14:textId="675C664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01FBA48" w14:textId="67915D7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Rodiklio reikšmė</w:t>
            </w:r>
          </w:p>
        </w:tc>
      </w:tr>
      <w:tr w:rsidR="00615D76" w:rsidRPr="006C73EF" w14:paraId="1DC28C86" w14:textId="77777777" w:rsidTr="002C5421">
        <w:trPr>
          <w:trHeight w:val="54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36C1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96B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98B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5741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9BC6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  <w:p w14:paraId="7CF8DCA7" w14:textId="1C43D02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96753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2020</w:t>
            </w:r>
          </w:p>
          <w:p w14:paraId="7235DEA3" w14:textId="2F9DDEF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B09AE" w14:textId="60D3B0F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CAB2E7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</w:t>
            </w:r>
          </w:p>
          <w:p w14:paraId="179F126F" w14:textId="2C3E3F2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Planuota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196D56" w14:textId="77777777" w:rsidR="00615D76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87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2021</w:t>
            </w:r>
          </w:p>
          <w:p w14:paraId="4C92E4F8" w14:textId="358443F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Faktinė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66E439" w14:textId="72648AD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Komentaras</w:t>
            </w:r>
          </w:p>
        </w:tc>
      </w:tr>
      <w:tr w:rsidR="00615D76" w:rsidRPr="006C73EF" w14:paraId="22BFD769" w14:textId="77777777" w:rsidTr="00B37146">
        <w:trPr>
          <w:trHeight w:val="5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5BA55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DEC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lietuvių kalbos ir literatūros VBE, dalis</w:t>
            </w:r>
          </w:p>
        </w:tc>
        <w:tc>
          <w:tcPr>
            <w:tcW w:w="5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7EA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Valstybinių brandos egzaminų neišlaikiusių mokinių dalis nuo bendro, valstybinius egzaminus laikiusių, mokinių skaičiaus pagal dalykus | proc.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5471" w14:textId="6B3B35B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D6C67" w14:textId="3D8648A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847095" w14:textId="203B7A6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DFAA58" w14:textId="386EE87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96BDE0" w14:textId="22B273EF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FEEDEE" w14:textId="5B318C99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FA75BD" w14:textId="0DAFF88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4D9C8607" w14:textId="77777777" w:rsidTr="00B37146">
        <w:trPr>
          <w:trHeight w:val="41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78BBF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57F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matematikos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FB13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0462" w14:textId="59892CC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94DBC0" w14:textId="639DE18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BF1D81" w14:textId="24D436E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DBC603" w14:textId="1049171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484D83" w14:textId="7A958C2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5D26E0F" w14:textId="16EBBC6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4D51CA1" w14:textId="73211D2F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23614790" w14:textId="77777777" w:rsidTr="00B37146">
        <w:trPr>
          <w:trHeight w:val="69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EA000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13A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užsienio k. (anglų)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84E0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1DC5" w14:textId="7E8708FB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1D40F1" w14:textId="3AE2782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146E6" w14:textId="7C4A5809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19CE3B" w14:textId="6D4EE7D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097DC2" w14:textId="5E4AF2E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2A4A87" w14:textId="6CA66CD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7979E8B8" w14:textId="26B0CD5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49FB">
              <w:t>Nuotolinis ugdymas COVID sąlygomis</w:t>
            </w:r>
          </w:p>
        </w:tc>
      </w:tr>
      <w:tr w:rsidR="00615D76" w:rsidRPr="006C73EF" w14:paraId="1AD239D2" w14:textId="77777777" w:rsidTr="00B37146">
        <w:trPr>
          <w:trHeight w:val="417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3345B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71E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geografijos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BE7F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761" w14:textId="1D7084B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F4C462" w14:textId="1D281DCD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ED0EB" w14:textId="4B204C9A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41C82C" w14:textId="5C5EA1CC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A9231D" w14:textId="5EA5E6B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3B4F54A" w14:textId="47AA564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032E4FC" w14:textId="276D9B5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393CE33F" w14:textId="77777777" w:rsidTr="00B37146">
        <w:trPr>
          <w:trHeight w:val="70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0F0E1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512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informacinių technologijų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A942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101E" w14:textId="00A019F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E1B07" w14:textId="270C0CB4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0F8B0C" w14:textId="3127893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562B58" w14:textId="78ABF67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C9B39A" w14:textId="45007C59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FBCC40" w14:textId="6CBC206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ED77AA9" w14:textId="7E9EBD06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Nuotolinis ugdymas COVID sąlygomis, mokytojų kaita</w:t>
            </w:r>
          </w:p>
        </w:tc>
      </w:tr>
      <w:tr w:rsidR="00615D76" w:rsidRPr="006C73EF" w14:paraId="57829CAC" w14:textId="77777777" w:rsidTr="00B37146">
        <w:trPr>
          <w:trHeight w:val="40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6AA92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9633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biologijos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29C6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2398" w14:textId="1910655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3C6586" w14:textId="145016F5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0FA24A" w14:textId="54C6B6BA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1DE34" w14:textId="36B7F202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464B40" w14:textId="665056E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9C1D8B4" w14:textId="434D4F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CA32E02" w14:textId="65678AA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5D76" w:rsidRPr="006C73EF" w14:paraId="4ACB83B8" w14:textId="77777777" w:rsidTr="00B37146">
        <w:trPr>
          <w:trHeight w:val="4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15CF5" w14:textId="77777777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011D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Abiturientų, neišlaikiusių istorijos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94C4" w14:textId="77777777" w:rsidR="00615D76" w:rsidRPr="006C73EF" w:rsidRDefault="00615D76" w:rsidP="00615D7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5F29" w14:textId="250C307E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2B1E3C" w14:textId="5F8D660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33C761" w14:textId="665CD19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749726" w14:textId="43EAC7F1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D76E83" w14:textId="2FD258B8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2B76C08" w14:textId="07EE5530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B863F3" w14:textId="472BF943" w:rsidR="00615D76" w:rsidRPr="006C73EF" w:rsidRDefault="00615D76" w:rsidP="00615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C669D" w:rsidRPr="006C73EF" w14:paraId="154440D4" w14:textId="77777777" w:rsidTr="00C211F0">
        <w:trPr>
          <w:trHeight w:val="69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90747" w14:textId="77777777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1C0A" w14:textId="404EAF95" w:rsidR="000C669D" w:rsidRPr="006C73EF" w:rsidRDefault="000C669D" w:rsidP="000C66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218C">
              <w:t>Abiturientų, neišlaikiusių chemijos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7F2E" w14:textId="77777777" w:rsidR="000C669D" w:rsidRPr="006C73EF" w:rsidRDefault="000C669D" w:rsidP="000C66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CBA7" w14:textId="5FAD231B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4CCF7E" w14:textId="4E8F2C9F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C0EF10" w14:textId="11E072E8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A00DEE" w14:textId="0E33416F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434A7D" w14:textId="76C12D78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B8D6DE2" w14:textId="5D46B474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BBD5416" w14:textId="6B122F07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Nuotolinis ugdymas COVID sąlygomis</w:t>
            </w:r>
          </w:p>
        </w:tc>
      </w:tr>
      <w:tr w:rsidR="000C669D" w:rsidRPr="006C73EF" w14:paraId="2D81A19E" w14:textId="77777777" w:rsidTr="00C211F0">
        <w:trPr>
          <w:trHeight w:val="35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7AFF2" w14:textId="77777777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DA30" w14:textId="52A51E2A" w:rsidR="000C669D" w:rsidRPr="006C73EF" w:rsidRDefault="000C669D" w:rsidP="000C66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218C">
              <w:t>Abiturientų, neišlaikiusių fizikos VBE, dalis</w:t>
            </w:r>
          </w:p>
        </w:tc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4645" w14:textId="77777777" w:rsidR="000C669D" w:rsidRPr="006C73EF" w:rsidRDefault="000C669D" w:rsidP="000C66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526A" w14:textId="1028B664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5C13">
              <w:rPr>
                <w:rFonts w:eastAsia="Times New Roman" w:cs="Times New Roman"/>
                <w:color w:val="000000"/>
                <w:lang w:eastAsia="lt-LT"/>
              </w:rPr>
              <w:t>Kultūros ir švietimo skyrius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848EF2" w14:textId="65AFBE0E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CB780" w14:textId="6AA4EFD7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C87E52" w14:textId="260ABC06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A2DAF0" w14:textId="7C7474C9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3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3B63083" w14:textId="7C85B1CF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6FC6DC" w14:textId="20A33530" w:rsidR="000C669D" w:rsidRPr="006C73EF" w:rsidRDefault="000C669D" w:rsidP="000C6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307A070" w14:textId="77777777" w:rsidR="00933C63" w:rsidRDefault="00933C63"/>
    <w:sectPr w:rsidR="00933C63" w:rsidSect="00314876">
      <w:pgSz w:w="23811" w:h="16838" w:orient="landscape" w:code="8"/>
      <w:pgMar w:top="1701" w:right="1701" w:bottom="567" w:left="1134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4440" w14:textId="77777777" w:rsidR="00495375" w:rsidRDefault="00495375" w:rsidP="00314876">
      <w:pPr>
        <w:spacing w:after="0" w:line="240" w:lineRule="auto"/>
      </w:pPr>
      <w:r>
        <w:separator/>
      </w:r>
    </w:p>
  </w:endnote>
  <w:endnote w:type="continuationSeparator" w:id="0">
    <w:p w14:paraId="5D7AC077" w14:textId="77777777" w:rsidR="00495375" w:rsidRDefault="00495375" w:rsidP="0031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E69A" w14:textId="77777777" w:rsidR="00495375" w:rsidRDefault="00495375" w:rsidP="00314876">
      <w:pPr>
        <w:spacing w:after="0" w:line="240" w:lineRule="auto"/>
      </w:pPr>
      <w:r>
        <w:separator/>
      </w:r>
    </w:p>
  </w:footnote>
  <w:footnote w:type="continuationSeparator" w:id="0">
    <w:p w14:paraId="74ECAF65" w14:textId="77777777" w:rsidR="00495375" w:rsidRDefault="00495375" w:rsidP="0031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D4D"/>
    <w:multiLevelType w:val="hybridMultilevel"/>
    <w:tmpl w:val="C66CB362"/>
    <w:lvl w:ilvl="0" w:tplc="8982B30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73D"/>
    <w:multiLevelType w:val="multilevel"/>
    <w:tmpl w:val="503C656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</w:abstractNum>
  <w:abstractNum w:abstractNumId="2" w15:restartNumberingAfterBreak="0">
    <w:nsid w:val="07AB5326"/>
    <w:multiLevelType w:val="multilevel"/>
    <w:tmpl w:val="65E47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55673"/>
    <w:multiLevelType w:val="multilevel"/>
    <w:tmpl w:val="969432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B5F5E8F"/>
    <w:multiLevelType w:val="hybridMultilevel"/>
    <w:tmpl w:val="4D54FD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777"/>
    <w:multiLevelType w:val="multilevel"/>
    <w:tmpl w:val="CE88B7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0C875AF3"/>
    <w:multiLevelType w:val="hybridMultilevel"/>
    <w:tmpl w:val="47AA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56214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A7ACF"/>
    <w:multiLevelType w:val="multilevel"/>
    <w:tmpl w:val="61A425F4"/>
    <w:lvl w:ilvl="0">
      <w:start w:val="1"/>
      <w:numFmt w:val="decimal"/>
      <w:pStyle w:val="Antrat1"/>
      <w:lvlText w:val="%1."/>
      <w:lvlJc w:val="left"/>
      <w:pPr>
        <w:ind w:left="2345" w:hanging="360"/>
      </w:pPr>
    </w:lvl>
    <w:lvl w:ilvl="1">
      <w:start w:val="2"/>
      <w:numFmt w:val="decimal"/>
      <w:isLgl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4" w:hanging="2160"/>
      </w:pPr>
      <w:rPr>
        <w:rFonts w:hint="default"/>
      </w:rPr>
    </w:lvl>
  </w:abstractNum>
  <w:abstractNum w:abstractNumId="8" w15:restartNumberingAfterBreak="0">
    <w:nsid w:val="102D4C85"/>
    <w:multiLevelType w:val="hybridMultilevel"/>
    <w:tmpl w:val="857ED1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11EA"/>
    <w:multiLevelType w:val="multilevel"/>
    <w:tmpl w:val="F37693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3BE12A1"/>
    <w:multiLevelType w:val="hybridMultilevel"/>
    <w:tmpl w:val="D74279EA"/>
    <w:lvl w:ilvl="0" w:tplc="8982B304">
      <w:start w:val="1"/>
      <w:numFmt w:val="bullet"/>
      <w:lvlText w:val=""/>
      <w:lvlJc w:val="left"/>
      <w:pPr>
        <w:ind w:left="1287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2E2411"/>
    <w:multiLevelType w:val="hybridMultilevel"/>
    <w:tmpl w:val="88441B00"/>
    <w:lvl w:ilvl="0" w:tplc="8300F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E71386"/>
    <w:multiLevelType w:val="hybridMultilevel"/>
    <w:tmpl w:val="77603A14"/>
    <w:lvl w:ilvl="0" w:tplc="8982B30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54EE"/>
    <w:multiLevelType w:val="multilevel"/>
    <w:tmpl w:val="C32642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2E6B44"/>
    <w:multiLevelType w:val="multilevel"/>
    <w:tmpl w:val="740A0B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AA5AF5"/>
    <w:multiLevelType w:val="multilevel"/>
    <w:tmpl w:val="6BAE8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 w15:restartNumberingAfterBreak="0">
    <w:nsid w:val="27EA6B6A"/>
    <w:multiLevelType w:val="hybridMultilevel"/>
    <w:tmpl w:val="260E605C"/>
    <w:lvl w:ilvl="0" w:tplc="042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5E2DB7"/>
    <w:multiLevelType w:val="multilevel"/>
    <w:tmpl w:val="0270E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696EC2"/>
    <w:multiLevelType w:val="multilevel"/>
    <w:tmpl w:val="8C728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64379EF"/>
    <w:multiLevelType w:val="hybridMultilevel"/>
    <w:tmpl w:val="B4DA7CD6"/>
    <w:lvl w:ilvl="0" w:tplc="1C240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4D6527"/>
    <w:multiLevelType w:val="hybridMultilevel"/>
    <w:tmpl w:val="9D541388"/>
    <w:lvl w:ilvl="0" w:tplc="8982B30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A1B2D"/>
    <w:multiLevelType w:val="multilevel"/>
    <w:tmpl w:val="A7F036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2D6E6F"/>
    <w:multiLevelType w:val="multilevel"/>
    <w:tmpl w:val="D5E403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F571A7"/>
    <w:multiLevelType w:val="multilevel"/>
    <w:tmpl w:val="C32642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5E7612"/>
    <w:multiLevelType w:val="multilevel"/>
    <w:tmpl w:val="18F825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bCs w:val="0"/>
        <w:strike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57090"/>
    <w:multiLevelType w:val="hybridMultilevel"/>
    <w:tmpl w:val="8D1E3CAA"/>
    <w:lvl w:ilvl="0" w:tplc="B756C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C92EBB"/>
    <w:multiLevelType w:val="multilevel"/>
    <w:tmpl w:val="D96A7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0C32C0"/>
    <w:multiLevelType w:val="multilevel"/>
    <w:tmpl w:val="78606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 w15:restartNumberingAfterBreak="0">
    <w:nsid w:val="4D916AD6"/>
    <w:multiLevelType w:val="hybridMultilevel"/>
    <w:tmpl w:val="A1D84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4C27"/>
    <w:multiLevelType w:val="multilevel"/>
    <w:tmpl w:val="919A25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A953D1"/>
    <w:multiLevelType w:val="hybridMultilevel"/>
    <w:tmpl w:val="9D544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665C4"/>
    <w:multiLevelType w:val="multilevel"/>
    <w:tmpl w:val="B3BEF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1F03DE8"/>
    <w:multiLevelType w:val="hybridMultilevel"/>
    <w:tmpl w:val="52D2CD4A"/>
    <w:lvl w:ilvl="0" w:tplc="8982B30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05E71"/>
    <w:multiLevelType w:val="multilevel"/>
    <w:tmpl w:val="E732F314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  <w:color w:val="002060"/>
      </w:rPr>
    </w:lvl>
  </w:abstractNum>
  <w:abstractNum w:abstractNumId="34" w15:restartNumberingAfterBreak="0">
    <w:nsid w:val="54BA30D5"/>
    <w:multiLevelType w:val="hybridMultilevel"/>
    <w:tmpl w:val="1A0EFCD0"/>
    <w:lvl w:ilvl="0" w:tplc="8982B30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05FE"/>
    <w:multiLevelType w:val="hybridMultilevel"/>
    <w:tmpl w:val="0B007CA6"/>
    <w:lvl w:ilvl="0" w:tplc="75884F82">
      <w:start w:val="1"/>
      <w:numFmt w:val="decimal"/>
      <w:pStyle w:val="Antrat2"/>
      <w:lvlText w:val="%1.1"/>
      <w:lvlJc w:val="left"/>
      <w:pPr>
        <w:ind w:left="882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9543" w:hanging="360"/>
      </w:pPr>
    </w:lvl>
    <w:lvl w:ilvl="2" w:tplc="0427001B" w:tentative="1">
      <w:start w:val="1"/>
      <w:numFmt w:val="lowerRoman"/>
      <w:lvlText w:val="%3."/>
      <w:lvlJc w:val="right"/>
      <w:pPr>
        <w:ind w:left="10263" w:hanging="180"/>
      </w:pPr>
    </w:lvl>
    <w:lvl w:ilvl="3" w:tplc="0427000F" w:tentative="1">
      <w:start w:val="1"/>
      <w:numFmt w:val="decimal"/>
      <w:lvlText w:val="%4."/>
      <w:lvlJc w:val="left"/>
      <w:pPr>
        <w:ind w:left="10983" w:hanging="360"/>
      </w:pPr>
    </w:lvl>
    <w:lvl w:ilvl="4" w:tplc="04270019" w:tentative="1">
      <w:start w:val="1"/>
      <w:numFmt w:val="lowerLetter"/>
      <w:lvlText w:val="%5."/>
      <w:lvlJc w:val="left"/>
      <w:pPr>
        <w:ind w:left="11703" w:hanging="360"/>
      </w:pPr>
    </w:lvl>
    <w:lvl w:ilvl="5" w:tplc="0427001B" w:tentative="1">
      <w:start w:val="1"/>
      <w:numFmt w:val="lowerRoman"/>
      <w:lvlText w:val="%6."/>
      <w:lvlJc w:val="right"/>
      <w:pPr>
        <w:ind w:left="12423" w:hanging="180"/>
      </w:pPr>
    </w:lvl>
    <w:lvl w:ilvl="6" w:tplc="0427000F" w:tentative="1">
      <w:start w:val="1"/>
      <w:numFmt w:val="decimal"/>
      <w:lvlText w:val="%7."/>
      <w:lvlJc w:val="left"/>
      <w:pPr>
        <w:ind w:left="13143" w:hanging="360"/>
      </w:pPr>
    </w:lvl>
    <w:lvl w:ilvl="7" w:tplc="04270019" w:tentative="1">
      <w:start w:val="1"/>
      <w:numFmt w:val="lowerLetter"/>
      <w:lvlText w:val="%8."/>
      <w:lvlJc w:val="left"/>
      <w:pPr>
        <w:ind w:left="13863" w:hanging="360"/>
      </w:pPr>
    </w:lvl>
    <w:lvl w:ilvl="8" w:tplc="0427001B" w:tentative="1">
      <w:start w:val="1"/>
      <w:numFmt w:val="lowerRoman"/>
      <w:lvlText w:val="%9."/>
      <w:lvlJc w:val="right"/>
      <w:pPr>
        <w:ind w:left="14583" w:hanging="180"/>
      </w:pPr>
    </w:lvl>
  </w:abstractNum>
  <w:abstractNum w:abstractNumId="36" w15:restartNumberingAfterBreak="0">
    <w:nsid w:val="5BCE3475"/>
    <w:multiLevelType w:val="multilevel"/>
    <w:tmpl w:val="6A1C4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F2721AA"/>
    <w:multiLevelType w:val="multilevel"/>
    <w:tmpl w:val="4C06FF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F4A5E2F"/>
    <w:multiLevelType w:val="hybridMultilevel"/>
    <w:tmpl w:val="0890E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0238C"/>
    <w:multiLevelType w:val="multilevel"/>
    <w:tmpl w:val="E732F314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  <w:color w:val="002060"/>
      </w:rPr>
    </w:lvl>
  </w:abstractNum>
  <w:abstractNum w:abstractNumId="40" w15:restartNumberingAfterBreak="0">
    <w:nsid w:val="609B71D9"/>
    <w:multiLevelType w:val="hybridMultilevel"/>
    <w:tmpl w:val="99F26C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A33DF"/>
    <w:multiLevelType w:val="hybridMultilevel"/>
    <w:tmpl w:val="628ADCE8"/>
    <w:lvl w:ilvl="0" w:tplc="8982B30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B1552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304F39"/>
    <w:multiLevelType w:val="hybridMultilevel"/>
    <w:tmpl w:val="1ED8B0AC"/>
    <w:lvl w:ilvl="0" w:tplc="8982B304">
      <w:start w:val="1"/>
      <w:numFmt w:val="bullet"/>
      <w:lvlText w:val=""/>
      <w:lvlJc w:val="left"/>
      <w:pPr>
        <w:ind w:left="1287" w:hanging="360"/>
      </w:pPr>
      <w:rPr>
        <w:rFonts w:ascii="Wingdings 2" w:hAnsi="Wingdings 2" w:hint="default"/>
        <w:color w:val="003D79"/>
        <w:u w:color="003D79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1C37AF"/>
    <w:multiLevelType w:val="multilevel"/>
    <w:tmpl w:val="50C4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7B4977"/>
    <w:multiLevelType w:val="hybridMultilevel"/>
    <w:tmpl w:val="B5224F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95025"/>
    <w:multiLevelType w:val="hybridMultilevel"/>
    <w:tmpl w:val="0AE2C83A"/>
    <w:lvl w:ilvl="0" w:tplc="D3BC8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6595">
    <w:abstractNumId w:val="18"/>
  </w:num>
  <w:num w:numId="2" w16cid:durableId="1141969505">
    <w:abstractNumId w:val="7"/>
  </w:num>
  <w:num w:numId="3" w16cid:durableId="342126988">
    <w:abstractNumId w:val="35"/>
  </w:num>
  <w:num w:numId="4" w16cid:durableId="1010570551">
    <w:abstractNumId w:val="11"/>
  </w:num>
  <w:num w:numId="5" w16cid:durableId="1551182989">
    <w:abstractNumId w:val="34"/>
  </w:num>
  <w:num w:numId="6" w16cid:durableId="41097406">
    <w:abstractNumId w:val="41"/>
  </w:num>
  <w:num w:numId="7" w16cid:durableId="1748454879">
    <w:abstractNumId w:val="43"/>
  </w:num>
  <w:num w:numId="8" w16cid:durableId="1944412441">
    <w:abstractNumId w:val="10"/>
  </w:num>
  <w:num w:numId="9" w16cid:durableId="1457212565">
    <w:abstractNumId w:val="6"/>
  </w:num>
  <w:num w:numId="10" w16cid:durableId="1669476024">
    <w:abstractNumId w:val="33"/>
  </w:num>
  <w:num w:numId="11" w16cid:durableId="2054570586">
    <w:abstractNumId w:val="36"/>
  </w:num>
  <w:num w:numId="12" w16cid:durableId="625964635">
    <w:abstractNumId w:val="45"/>
  </w:num>
  <w:num w:numId="13" w16cid:durableId="1132871142">
    <w:abstractNumId w:val="8"/>
  </w:num>
  <w:num w:numId="14" w16cid:durableId="672219047">
    <w:abstractNumId w:val="7"/>
    <w:lvlOverride w:ilvl="0">
      <w:startOverride w:val="2"/>
    </w:lvlOverride>
    <w:lvlOverride w:ilvl="1">
      <w:startOverride w:val="4"/>
    </w:lvlOverride>
  </w:num>
  <w:num w:numId="15" w16cid:durableId="2106031733">
    <w:abstractNumId w:val="38"/>
  </w:num>
  <w:num w:numId="16" w16cid:durableId="1801877327">
    <w:abstractNumId w:val="29"/>
  </w:num>
  <w:num w:numId="17" w16cid:durableId="1144348627">
    <w:abstractNumId w:val="9"/>
  </w:num>
  <w:num w:numId="18" w16cid:durableId="1087965769">
    <w:abstractNumId w:val="21"/>
  </w:num>
  <w:num w:numId="19" w16cid:durableId="108429025">
    <w:abstractNumId w:val="39"/>
  </w:num>
  <w:num w:numId="20" w16cid:durableId="11424756">
    <w:abstractNumId w:val="19"/>
  </w:num>
  <w:num w:numId="21" w16cid:durableId="1979456133">
    <w:abstractNumId w:val="1"/>
  </w:num>
  <w:num w:numId="22" w16cid:durableId="228154657">
    <w:abstractNumId w:val="30"/>
  </w:num>
  <w:num w:numId="23" w16cid:durableId="1318340935">
    <w:abstractNumId w:val="0"/>
  </w:num>
  <w:num w:numId="24" w16cid:durableId="592931991">
    <w:abstractNumId w:val="12"/>
  </w:num>
  <w:num w:numId="25" w16cid:durableId="792137436">
    <w:abstractNumId w:val="23"/>
  </w:num>
  <w:num w:numId="26" w16cid:durableId="896362215">
    <w:abstractNumId w:val="13"/>
  </w:num>
  <w:num w:numId="27" w16cid:durableId="1758861687">
    <w:abstractNumId w:val="17"/>
  </w:num>
  <w:num w:numId="28" w16cid:durableId="2082368032">
    <w:abstractNumId w:val="20"/>
  </w:num>
  <w:num w:numId="29" w16cid:durableId="1895582298">
    <w:abstractNumId w:val="32"/>
  </w:num>
  <w:num w:numId="30" w16cid:durableId="1620838087">
    <w:abstractNumId w:val="25"/>
  </w:num>
  <w:num w:numId="31" w16cid:durableId="727915953">
    <w:abstractNumId w:val="46"/>
  </w:num>
  <w:num w:numId="32" w16cid:durableId="1757944741">
    <w:abstractNumId w:val="44"/>
  </w:num>
  <w:num w:numId="33" w16cid:durableId="189731055">
    <w:abstractNumId w:val="2"/>
  </w:num>
  <w:num w:numId="34" w16cid:durableId="1931422540">
    <w:abstractNumId w:val="26"/>
  </w:num>
  <w:num w:numId="35" w16cid:durableId="833226380">
    <w:abstractNumId w:val="22"/>
  </w:num>
  <w:num w:numId="36" w16cid:durableId="1341467056">
    <w:abstractNumId w:val="24"/>
  </w:num>
  <w:num w:numId="37" w16cid:durableId="957301593">
    <w:abstractNumId w:val="16"/>
  </w:num>
  <w:num w:numId="38" w16cid:durableId="1242829859">
    <w:abstractNumId w:val="14"/>
  </w:num>
  <w:num w:numId="39" w16cid:durableId="1453212436">
    <w:abstractNumId w:val="42"/>
  </w:num>
  <w:num w:numId="40" w16cid:durableId="2016111707">
    <w:abstractNumId w:val="4"/>
  </w:num>
  <w:num w:numId="41" w16cid:durableId="1061250991">
    <w:abstractNumId w:val="28"/>
  </w:num>
  <w:num w:numId="42" w16cid:durableId="1680159850">
    <w:abstractNumId w:val="40"/>
  </w:num>
  <w:num w:numId="43" w16cid:durableId="1458992293">
    <w:abstractNumId w:val="37"/>
  </w:num>
  <w:num w:numId="44" w16cid:durableId="1326320131">
    <w:abstractNumId w:val="3"/>
  </w:num>
  <w:num w:numId="45" w16cid:durableId="1123960071">
    <w:abstractNumId w:val="5"/>
  </w:num>
  <w:num w:numId="46" w16cid:durableId="174658436">
    <w:abstractNumId w:val="31"/>
  </w:num>
  <w:num w:numId="47" w16cid:durableId="1057436891">
    <w:abstractNumId w:val="15"/>
  </w:num>
  <w:num w:numId="48" w16cid:durableId="506185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6"/>
    <w:rsid w:val="0000574C"/>
    <w:rsid w:val="000362B1"/>
    <w:rsid w:val="000914C7"/>
    <w:rsid w:val="000C669D"/>
    <w:rsid w:val="000D6757"/>
    <w:rsid w:val="000E06A3"/>
    <w:rsid w:val="000F2C6D"/>
    <w:rsid w:val="00121777"/>
    <w:rsid w:val="00195263"/>
    <w:rsid w:val="001A3270"/>
    <w:rsid w:val="00223747"/>
    <w:rsid w:val="0027673E"/>
    <w:rsid w:val="002C6274"/>
    <w:rsid w:val="00305AE3"/>
    <w:rsid w:val="00314876"/>
    <w:rsid w:val="003B1CD9"/>
    <w:rsid w:val="003B30D0"/>
    <w:rsid w:val="00475391"/>
    <w:rsid w:val="00495375"/>
    <w:rsid w:val="004A73C9"/>
    <w:rsid w:val="004F063B"/>
    <w:rsid w:val="0053309B"/>
    <w:rsid w:val="00534D3F"/>
    <w:rsid w:val="00615D76"/>
    <w:rsid w:val="00630E7E"/>
    <w:rsid w:val="0063525B"/>
    <w:rsid w:val="00675CC6"/>
    <w:rsid w:val="00711488"/>
    <w:rsid w:val="007322C0"/>
    <w:rsid w:val="00740F30"/>
    <w:rsid w:val="007660AE"/>
    <w:rsid w:val="007C7035"/>
    <w:rsid w:val="007E4727"/>
    <w:rsid w:val="007F6DBD"/>
    <w:rsid w:val="00833973"/>
    <w:rsid w:val="0086404A"/>
    <w:rsid w:val="0089612D"/>
    <w:rsid w:val="008B69E7"/>
    <w:rsid w:val="00933C63"/>
    <w:rsid w:val="009E7C4E"/>
    <w:rsid w:val="009F023B"/>
    <w:rsid w:val="00A03F9F"/>
    <w:rsid w:val="00A160CF"/>
    <w:rsid w:val="00A23CFA"/>
    <w:rsid w:val="00A5785A"/>
    <w:rsid w:val="00AA3593"/>
    <w:rsid w:val="00AB5480"/>
    <w:rsid w:val="00B3525E"/>
    <w:rsid w:val="00B37146"/>
    <w:rsid w:val="00BB4589"/>
    <w:rsid w:val="00BD1353"/>
    <w:rsid w:val="00BF39BB"/>
    <w:rsid w:val="00CE5FBA"/>
    <w:rsid w:val="00D41E02"/>
    <w:rsid w:val="00D448B1"/>
    <w:rsid w:val="00D67E61"/>
    <w:rsid w:val="00D95EFF"/>
    <w:rsid w:val="00E12DD0"/>
    <w:rsid w:val="00E15E1E"/>
    <w:rsid w:val="00E577FF"/>
    <w:rsid w:val="00E70EDD"/>
    <w:rsid w:val="00E86CD6"/>
    <w:rsid w:val="00E93054"/>
    <w:rsid w:val="00F11508"/>
    <w:rsid w:val="00F87768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488"/>
  <w15:chartTrackingRefBased/>
  <w15:docId w15:val="{572C4549-E5ED-4724-8563-78AF8B8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1508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F39BB"/>
    <w:pPr>
      <w:keepNext/>
      <w:keepLines/>
      <w:framePr w:wrap="notBeside" w:vAnchor="text" w:hAnchor="text" w:y="1"/>
      <w:numPr>
        <w:numId w:val="2"/>
      </w:numPr>
      <w:tabs>
        <w:tab w:val="left" w:pos="0"/>
      </w:tabs>
      <w:spacing w:before="360" w:after="360" w:line="276" w:lineRule="auto"/>
      <w:ind w:left="714" w:hanging="357"/>
      <w:jc w:val="both"/>
      <w:outlineLvl w:val="0"/>
    </w:pPr>
    <w:rPr>
      <w:rFonts w:ascii="Calibri" w:eastAsiaTheme="majorEastAsia" w:hAnsi="Calibri" w:cstheme="majorBidi"/>
      <w:b/>
      <w:bCs/>
      <w:caps/>
      <w:color w:val="44546A" w:themeColor="text2"/>
      <w:sz w:val="30"/>
      <w:szCs w:val="28"/>
      <w:u w:color="44546A" w:themeColor="text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F39BB"/>
    <w:pPr>
      <w:keepNext/>
      <w:keepLines/>
      <w:numPr>
        <w:numId w:val="3"/>
      </w:numPr>
      <w:tabs>
        <w:tab w:val="left" w:pos="6237"/>
      </w:tabs>
      <w:spacing w:before="120" w:after="120" w:line="312" w:lineRule="auto"/>
      <w:ind w:left="567" w:hanging="567"/>
      <w:jc w:val="both"/>
      <w:outlineLvl w:val="1"/>
    </w:pPr>
    <w:rPr>
      <w:rFonts w:ascii="Calibri" w:eastAsiaTheme="majorEastAsia" w:hAnsi="Calibri" w:cstheme="majorBidi"/>
      <w:b/>
      <w:bCs/>
      <w:color w:val="44546A" w:themeColor="text2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F39BB"/>
    <w:pPr>
      <w:keepNext/>
      <w:keepLines/>
      <w:spacing w:before="40" w:after="0" w:line="312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BF39BB"/>
    <w:pPr>
      <w:keepNext/>
      <w:keepLines/>
      <w:spacing w:before="40" w:after="0" w:line="312" w:lineRule="auto"/>
      <w:ind w:firstLine="567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14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487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14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4876"/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F39BB"/>
    <w:rPr>
      <w:rFonts w:ascii="Calibri" w:eastAsiaTheme="majorEastAsia" w:hAnsi="Calibri" w:cstheme="majorBidi"/>
      <w:b/>
      <w:bCs/>
      <w:caps/>
      <w:color w:val="44546A" w:themeColor="text2"/>
      <w:sz w:val="30"/>
      <w:szCs w:val="28"/>
      <w:u w:color="44546A" w:themeColor="text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F39BB"/>
    <w:rPr>
      <w:rFonts w:ascii="Calibri" w:eastAsiaTheme="majorEastAsia" w:hAnsi="Calibri" w:cstheme="majorBidi"/>
      <w:b/>
      <w:bCs/>
      <w:color w:val="44546A" w:themeColor="text2"/>
      <w:sz w:val="28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F39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BF39B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etarp">
    <w:name w:val="No Spacing"/>
    <w:uiPriority w:val="1"/>
    <w:qFormat/>
    <w:rsid w:val="00BF39BB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9BB"/>
    <w:pPr>
      <w:spacing w:after="6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9BB"/>
    <w:rPr>
      <w:rFonts w:ascii="Tahoma" w:hAnsi="Tahoma" w:cs="Tahoma"/>
      <w:sz w:val="16"/>
      <w:szCs w:val="16"/>
    </w:rPr>
  </w:style>
  <w:style w:type="paragraph" w:styleId="Antrat">
    <w:name w:val="caption"/>
    <w:aliases w:val="pav."/>
    <w:basedOn w:val="prastasis"/>
    <w:next w:val="prastasis"/>
    <w:unhideWhenUsed/>
    <w:qFormat/>
    <w:rsid w:val="00BF39BB"/>
    <w:pPr>
      <w:spacing w:after="200" w:line="240" w:lineRule="auto"/>
      <w:ind w:firstLine="567"/>
      <w:jc w:val="both"/>
    </w:pPr>
    <w:rPr>
      <w:rFonts w:ascii="Calibri" w:hAnsi="Calibri"/>
      <w:b/>
      <w:bCs/>
      <w:color w:val="4472C4" w:themeColor="accent1"/>
      <w:sz w:val="18"/>
      <w:szCs w:val="18"/>
    </w:rPr>
  </w:style>
  <w:style w:type="paragraph" w:customStyle="1" w:styleId="Lentelesstilius">
    <w:name w:val="Lenteles stilius"/>
    <w:basedOn w:val="prastasis"/>
    <w:link w:val="LentelesstiliusChar"/>
    <w:qFormat/>
    <w:rsid w:val="00BF39BB"/>
    <w:pPr>
      <w:spacing w:after="60" w:line="240" w:lineRule="auto"/>
      <w:jc w:val="both"/>
    </w:pPr>
    <w:rPr>
      <w:rFonts w:ascii="Calibri" w:eastAsia="Cambria" w:hAnsi="Calibri" w:cs="Times New Roman"/>
      <w:sz w:val="16"/>
      <w:szCs w:val="24"/>
    </w:rPr>
  </w:style>
  <w:style w:type="character" w:customStyle="1" w:styleId="LentelesstiliusChar">
    <w:name w:val="Lenteles stilius Char"/>
    <w:link w:val="Lentelesstilius"/>
    <w:rsid w:val="00BF39BB"/>
    <w:rPr>
      <w:rFonts w:ascii="Calibri" w:eastAsia="Cambria" w:hAnsi="Calibri" w:cs="Times New Roman"/>
      <w:sz w:val="16"/>
      <w:szCs w:val="24"/>
    </w:rPr>
  </w:style>
  <w:style w:type="paragraph" w:customStyle="1" w:styleId="altinis">
    <w:name w:val="Šaltinis"/>
    <w:basedOn w:val="prastasis"/>
    <w:link w:val="altinisChar"/>
    <w:qFormat/>
    <w:rsid w:val="00BF39BB"/>
    <w:pPr>
      <w:spacing w:before="60" w:after="60" w:line="240" w:lineRule="auto"/>
      <w:jc w:val="both"/>
    </w:pPr>
    <w:rPr>
      <w:rFonts w:ascii="Calibri" w:eastAsia="Cambria" w:hAnsi="Calibri" w:cs="Times New Roman"/>
      <w:color w:val="808080"/>
      <w:sz w:val="16"/>
      <w:szCs w:val="24"/>
    </w:rPr>
  </w:style>
  <w:style w:type="character" w:customStyle="1" w:styleId="altinisChar">
    <w:name w:val="Šaltinis Char"/>
    <w:link w:val="altinis"/>
    <w:rsid w:val="00BF39BB"/>
    <w:rPr>
      <w:rFonts w:ascii="Calibri" w:eastAsia="Cambria" w:hAnsi="Calibri" w:cs="Times New Roman"/>
      <w:color w:val="808080"/>
      <w:sz w:val="16"/>
      <w:szCs w:val="24"/>
    </w:rPr>
  </w:style>
  <w:style w:type="character" w:styleId="Puslapionumeris">
    <w:name w:val="page number"/>
    <w:basedOn w:val="Numatytasispastraiposriftas"/>
    <w:rsid w:val="00BF39BB"/>
  </w:style>
  <w:style w:type="table" w:customStyle="1" w:styleId="Style1">
    <w:name w:val="Style1"/>
    <w:basedOn w:val="LentelTinklelis8"/>
    <w:uiPriority w:val="99"/>
    <w:qFormat/>
    <w:rsid w:val="00BF39BB"/>
    <w:rPr>
      <w:rFonts w:ascii="Calibri" w:eastAsia="Cambria" w:hAnsi="Calibri" w:cs="Times New Roman"/>
      <w:sz w:val="20"/>
      <w:szCs w:val="20"/>
      <w:lang w:val="en-GB" w:eastAsia="en-GB"/>
    </w:rPr>
    <w:tblPr>
      <w:tblBorders>
        <w:top w:val="single" w:sz="4" w:space="0" w:color="003D79"/>
        <w:left w:val="single" w:sz="4" w:space="0" w:color="003D79"/>
        <w:bottom w:val="single" w:sz="4" w:space="0" w:color="003D79"/>
        <w:right w:val="single" w:sz="4" w:space="0" w:color="003D79"/>
        <w:insideH w:val="single" w:sz="4" w:space="0" w:color="003D79"/>
        <w:insideV w:val="single" w:sz="4" w:space="0" w:color="003D7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3D7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BF39BB"/>
    <w:pPr>
      <w:spacing w:after="0" w:line="360" w:lineRule="auto"/>
      <w:ind w:firstLine="567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opastraipa">
    <w:name w:val="List Paragraph"/>
    <w:basedOn w:val="prastasis"/>
    <w:uiPriority w:val="34"/>
    <w:qFormat/>
    <w:rsid w:val="00BF39BB"/>
    <w:pPr>
      <w:spacing w:after="60" w:line="312" w:lineRule="auto"/>
      <w:ind w:left="720" w:firstLine="567"/>
      <w:contextualSpacing/>
      <w:jc w:val="both"/>
    </w:pPr>
    <w:rPr>
      <w:rFonts w:ascii="Calibri" w:hAnsi="Calibri"/>
    </w:rPr>
  </w:style>
  <w:style w:type="character" w:styleId="Grietas">
    <w:name w:val="Strong"/>
    <w:basedOn w:val="Numatytasispastraiposriftas"/>
    <w:qFormat/>
    <w:rsid w:val="00BF39BB"/>
    <w:rPr>
      <w:b/>
      <w:bCs/>
    </w:rPr>
  </w:style>
  <w:style w:type="character" w:customStyle="1" w:styleId="apple-converted-space">
    <w:name w:val="apple-converted-space"/>
    <w:basedOn w:val="Numatytasispastraiposriftas"/>
    <w:rsid w:val="00BF39BB"/>
  </w:style>
  <w:style w:type="character" w:styleId="Emfaz">
    <w:name w:val="Emphasis"/>
    <w:uiPriority w:val="20"/>
    <w:qFormat/>
    <w:rsid w:val="00BF39BB"/>
    <w:rPr>
      <w:i/>
      <w:iCs/>
    </w:rPr>
  </w:style>
  <w:style w:type="table" w:styleId="Lentelstinklelis">
    <w:name w:val="Table Grid"/>
    <w:basedOn w:val="prastojilentel"/>
    <w:uiPriority w:val="59"/>
    <w:rsid w:val="00BF39B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uiPriority w:val="99"/>
    <w:rsid w:val="00BF39BB"/>
    <w:rPr>
      <w:color w:val="0000FF"/>
      <w:u w:val="single"/>
    </w:rPr>
  </w:style>
  <w:style w:type="paragraph" w:styleId="Turinioantrat">
    <w:name w:val="TOC Heading"/>
    <w:basedOn w:val="Antrat1"/>
    <w:next w:val="prastasis"/>
    <w:uiPriority w:val="39"/>
    <w:unhideWhenUsed/>
    <w:qFormat/>
    <w:rsid w:val="00BF39BB"/>
    <w:pPr>
      <w:framePr w:wrap="auto" w:vAnchor="margin" w:yAlign="inline"/>
      <w:numPr>
        <w:numId w:val="0"/>
      </w:numPr>
      <w:tabs>
        <w:tab w:val="clear" w:pos="0"/>
      </w:tabs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32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BF39BB"/>
    <w:pPr>
      <w:tabs>
        <w:tab w:val="left" w:pos="284"/>
        <w:tab w:val="left" w:pos="426"/>
        <w:tab w:val="left" w:pos="567"/>
        <w:tab w:val="left" w:pos="1540"/>
        <w:tab w:val="right" w:leader="dot" w:pos="9639"/>
      </w:tabs>
      <w:spacing w:after="100" w:line="312" w:lineRule="auto"/>
      <w:ind w:left="567" w:right="282" w:hanging="283"/>
      <w:jc w:val="center"/>
    </w:pPr>
    <w:rPr>
      <w:rFonts w:cs="Times New Roman"/>
      <w:b/>
      <w:caps/>
      <w:noProof/>
      <w:color w:val="002060"/>
      <w:szCs w:val="24"/>
      <w:u w:color="44546A" w:themeColor="text2"/>
    </w:rPr>
  </w:style>
  <w:style w:type="paragraph" w:styleId="Turinys2">
    <w:name w:val="toc 2"/>
    <w:basedOn w:val="prastasis"/>
    <w:next w:val="prastasis"/>
    <w:autoRedefine/>
    <w:uiPriority w:val="39"/>
    <w:unhideWhenUsed/>
    <w:rsid w:val="00BF39BB"/>
    <w:pPr>
      <w:tabs>
        <w:tab w:val="left" w:pos="660"/>
        <w:tab w:val="left" w:pos="1100"/>
        <w:tab w:val="right" w:leader="dot" w:pos="9638"/>
      </w:tabs>
      <w:spacing w:after="0" w:line="240" w:lineRule="auto"/>
      <w:ind w:left="567"/>
      <w:jc w:val="both"/>
    </w:pPr>
    <w:rPr>
      <w:rFonts w:ascii="Calibri" w:hAnsi="Calibri"/>
    </w:rPr>
  </w:style>
  <w:style w:type="paragraph" w:styleId="Iliustracijsraas">
    <w:name w:val="table of figures"/>
    <w:basedOn w:val="prastasis"/>
    <w:next w:val="prastasis"/>
    <w:uiPriority w:val="99"/>
    <w:unhideWhenUsed/>
    <w:rsid w:val="00BF39BB"/>
    <w:pPr>
      <w:spacing w:after="60" w:line="312" w:lineRule="auto"/>
      <w:ind w:firstLine="567"/>
      <w:jc w:val="both"/>
    </w:pPr>
    <w:rPr>
      <w:rFonts w:ascii="Calibri" w:hAnsi="Calibri"/>
    </w:rPr>
  </w:style>
  <w:style w:type="paragraph" w:styleId="prastasiniatinklio">
    <w:name w:val="Normal (Web)"/>
    <w:basedOn w:val="prastasis"/>
    <w:uiPriority w:val="99"/>
    <w:semiHidden/>
    <w:unhideWhenUsed/>
    <w:rsid w:val="00BF39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BF39BB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39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39BB"/>
    <w:pPr>
      <w:spacing w:after="60" w:line="240" w:lineRule="auto"/>
      <w:ind w:firstLine="567"/>
      <w:jc w:val="both"/>
    </w:pPr>
    <w:rPr>
      <w:rFonts w:ascii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39BB"/>
    <w:rPr>
      <w:rFonts w:ascii="Calibri" w:hAnsi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39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39BB"/>
    <w:rPr>
      <w:rFonts w:ascii="Calibri" w:hAnsi="Calibri"/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BF39BB"/>
    <w:rPr>
      <w:color w:val="808080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BF39BB"/>
    <w:rPr>
      <w:color w:val="2B579A"/>
      <w:shd w:val="clear" w:color="auto" w:fill="E6E6E6"/>
    </w:rPr>
  </w:style>
  <w:style w:type="paragraph" w:styleId="HTMLiankstoformatuotas">
    <w:name w:val="HTML Preformatted"/>
    <w:basedOn w:val="prastasis"/>
    <w:link w:val="HTMLiankstoformatuotasDiagrama"/>
    <w:rsid w:val="00BF39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9B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F39BB"/>
    <w:pPr>
      <w:spacing w:after="0" w:line="240" w:lineRule="auto"/>
      <w:ind w:firstLine="567"/>
      <w:jc w:val="both"/>
    </w:pPr>
    <w:rPr>
      <w:rFonts w:ascii="Calibri" w:hAnsi="Calibr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F39BB"/>
    <w:rPr>
      <w:rFonts w:ascii="Calibri" w:hAnsi="Calibri"/>
      <w:sz w:val="20"/>
      <w:szCs w:val="20"/>
    </w:rPr>
  </w:style>
  <w:style w:type="character" w:styleId="Puslapioinaosnuoroda">
    <w:name w:val="footnote reference"/>
    <w:uiPriority w:val="99"/>
    <w:rsid w:val="00BF39BB"/>
    <w:rPr>
      <w:vertAlign w:val="superscript"/>
    </w:rPr>
  </w:style>
  <w:style w:type="paragraph" w:customStyle="1" w:styleId="Lentele">
    <w:name w:val="Lentele"/>
    <w:basedOn w:val="prastasis"/>
    <w:link w:val="LenteleDiagrama"/>
    <w:qFormat/>
    <w:rsid w:val="00BF39BB"/>
    <w:pPr>
      <w:spacing w:after="60" w:line="240" w:lineRule="auto"/>
      <w:ind w:firstLine="567"/>
      <w:jc w:val="both"/>
    </w:pPr>
    <w:rPr>
      <w:rFonts w:cs="Times New Roman"/>
      <w:b/>
    </w:rPr>
  </w:style>
  <w:style w:type="character" w:customStyle="1" w:styleId="LenteleDiagrama">
    <w:name w:val="Lentele Diagrama"/>
    <w:basedOn w:val="Numatytasispastraiposriftas"/>
    <w:link w:val="Lentele"/>
    <w:rsid w:val="00BF39BB"/>
    <w:rPr>
      <w:rFonts w:ascii="Times New Roman" w:hAnsi="Times New Roman" w:cs="Times New Roman"/>
      <w:b/>
      <w:sz w:val="24"/>
    </w:rPr>
  </w:style>
  <w:style w:type="table" w:customStyle="1" w:styleId="Style11">
    <w:name w:val="Style11"/>
    <w:basedOn w:val="LentelTinklelis8"/>
    <w:uiPriority w:val="99"/>
    <w:qFormat/>
    <w:rsid w:val="00BF39BB"/>
    <w:rPr>
      <w:rFonts w:ascii="Calibri" w:eastAsia="Cambria" w:hAnsi="Calibri" w:cs="Times New Roman"/>
      <w:sz w:val="20"/>
      <w:szCs w:val="20"/>
      <w:lang w:val="en-GB" w:eastAsia="en-GB"/>
    </w:rPr>
    <w:tblPr>
      <w:tblBorders>
        <w:top w:val="single" w:sz="4" w:space="0" w:color="003D79"/>
        <w:left w:val="single" w:sz="4" w:space="0" w:color="003D79"/>
        <w:bottom w:val="single" w:sz="4" w:space="0" w:color="003D79"/>
        <w:right w:val="single" w:sz="4" w:space="0" w:color="003D79"/>
        <w:insideH w:val="single" w:sz="4" w:space="0" w:color="003D79"/>
        <w:insideV w:val="single" w:sz="4" w:space="0" w:color="003D7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3D7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F39BB"/>
    <w:pPr>
      <w:spacing w:after="0" w:line="240" w:lineRule="auto"/>
      <w:ind w:firstLine="567"/>
      <w:jc w:val="both"/>
    </w:pPr>
    <w:rPr>
      <w:rFonts w:ascii="Calibri" w:hAnsi="Calibri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F39BB"/>
    <w:rPr>
      <w:rFonts w:ascii="Calibri" w:hAnsi="Calibri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F39BB"/>
    <w:rPr>
      <w:vertAlign w:val="superscript"/>
    </w:rPr>
  </w:style>
  <w:style w:type="paragraph" w:styleId="Pataisymai">
    <w:name w:val="Revision"/>
    <w:hidden/>
    <w:uiPriority w:val="99"/>
    <w:semiHidden/>
    <w:rsid w:val="00BF39BB"/>
    <w:pPr>
      <w:spacing w:after="0" w:line="240" w:lineRule="auto"/>
    </w:pPr>
    <w:rPr>
      <w:rFonts w:ascii="Calibri" w:hAnsi="Calibri"/>
      <w:sz w:val="24"/>
    </w:rPr>
  </w:style>
  <w:style w:type="paragraph" w:styleId="Pagrindinistekstas">
    <w:name w:val="Body Text"/>
    <w:basedOn w:val="prastasis"/>
    <w:link w:val="PagrindinistekstasDiagrama"/>
    <w:semiHidden/>
    <w:unhideWhenUsed/>
    <w:qFormat/>
    <w:rsid w:val="00BF39BB"/>
    <w:pPr>
      <w:widowControl w:val="0"/>
      <w:shd w:val="clear" w:color="auto" w:fill="FFFFFF"/>
      <w:spacing w:line="393" w:lineRule="auto"/>
      <w:ind w:firstLine="400"/>
    </w:pPr>
    <w:rPr>
      <w:rFonts w:eastAsia="Times New Roman" w:cs="Times New Roman"/>
      <w:sz w:val="22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F39BB"/>
    <w:rPr>
      <w:rFonts w:ascii="Times New Roman" w:eastAsia="Times New Roman" w:hAnsi="Times New Roman" w:cs="Times New Roman"/>
      <w:shd w:val="clear" w:color="auto" w:fill="FFFFFF"/>
      <w:lang w:eastAsia="lt-LT" w:bidi="lt-LT"/>
    </w:rPr>
  </w:style>
  <w:style w:type="paragraph" w:customStyle="1" w:styleId="default">
    <w:name w:val="default"/>
    <w:basedOn w:val="prastasis"/>
    <w:rsid w:val="008339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13805</Words>
  <Characters>7869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Vakaris Atkočiūnas</cp:lastModifiedBy>
  <cp:revision>4</cp:revision>
  <dcterms:created xsi:type="dcterms:W3CDTF">2022-09-12T06:48:00Z</dcterms:created>
  <dcterms:modified xsi:type="dcterms:W3CDTF">2022-09-14T08:02:00Z</dcterms:modified>
</cp:coreProperties>
</file>