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1CA5" w14:textId="77777777" w:rsidR="00A9204E" w:rsidRPr="00A9168E" w:rsidRDefault="00A9204E">
      <w:pPr>
        <w:rPr>
          <w:lang w:val="en-US"/>
        </w:rPr>
      </w:pPr>
    </w:p>
    <w:p w14:paraId="3313BCC9" w14:textId="77777777" w:rsidR="009A0866" w:rsidRDefault="009A0866" w:rsidP="009A0866">
      <w:pPr>
        <w:ind w:firstLine="9072"/>
        <w:rPr>
          <w:sz w:val="20"/>
          <w:szCs w:val="24"/>
          <w:lang w:eastAsia="lt-LT"/>
        </w:rPr>
      </w:pPr>
      <w:r>
        <w:rPr>
          <w:sz w:val="20"/>
          <w:szCs w:val="24"/>
          <w:lang w:eastAsia="lt-LT"/>
        </w:rPr>
        <w:t>TVIRTINTU</w:t>
      </w:r>
    </w:p>
    <w:p w14:paraId="173E3281" w14:textId="77777777" w:rsidR="009A0866" w:rsidRDefault="009A0866" w:rsidP="009A0866">
      <w:pPr>
        <w:ind w:firstLine="9072"/>
        <w:rPr>
          <w:sz w:val="20"/>
          <w:szCs w:val="24"/>
          <w:lang w:eastAsia="lt-LT"/>
        </w:rPr>
      </w:pPr>
      <w:r>
        <w:rPr>
          <w:sz w:val="20"/>
          <w:szCs w:val="24"/>
          <w:lang w:eastAsia="lt-LT"/>
        </w:rPr>
        <w:t>Viešosios įstaigos Centrinės projektų</w:t>
      </w:r>
    </w:p>
    <w:p w14:paraId="48243D47" w14:textId="77777777" w:rsidR="009A0866" w:rsidRDefault="009A0866" w:rsidP="009A0866">
      <w:pPr>
        <w:ind w:firstLine="9072"/>
        <w:rPr>
          <w:sz w:val="20"/>
          <w:szCs w:val="24"/>
          <w:lang w:eastAsia="lt-LT"/>
        </w:rPr>
      </w:pPr>
      <w:r>
        <w:rPr>
          <w:sz w:val="20"/>
          <w:szCs w:val="24"/>
          <w:lang w:eastAsia="lt-LT"/>
        </w:rPr>
        <w:t xml:space="preserve">valdymo agentūros </w:t>
      </w:r>
    </w:p>
    <w:p w14:paraId="314FB266" w14:textId="77777777" w:rsidR="009A0866" w:rsidRDefault="009A0866" w:rsidP="009A0866">
      <w:pPr>
        <w:ind w:firstLine="9072"/>
        <w:rPr>
          <w:sz w:val="20"/>
          <w:szCs w:val="24"/>
          <w:lang w:eastAsia="lt-LT"/>
        </w:rPr>
      </w:pPr>
      <w:r>
        <w:rPr>
          <w:sz w:val="20"/>
          <w:szCs w:val="24"/>
          <w:lang w:eastAsia="lt-LT"/>
        </w:rPr>
        <w:t>Viešosios ir privačios partnerystės skyriaus</w:t>
      </w:r>
    </w:p>
    <w:p w14:paraId="7970ECE6" w14:textId="47FBFA32" w:rsidR="009A0866" w:rsidRDefault="00AB3672" w:rsidP="009A0866">
      <w:pPr>
        <w:ind w:firstLine="9072"/>
        <w:rPr>
          <w:sz w:val="20"/>
          <w:szCs w:val="24"/>
          <w:lang w:eastAsia="lt-LT"/>
        </w:rPr>
      </w:pPr>
      <w:r w:rsidRPr="00AB3672">
        <w:rPr>
          <w:sz w:val="20"/>
          <w:szCs w:val="24"/>
          <w:lang w:eastAsia="lt-LT"/>
        </w:rPr>
        <w:t>Vadovė Jekaterina Šarmavičienė</w:t>
      </w:r>
    </w:p>
    <w:p w14:paraId="544A9BF6" w14:textId="77777777" w:rsidR="009A0866" w:rsidRDefault="009A0866" w:rsidP="009A0866">
      <w:pPr>
        <w:ind w:firstLine="9072"/>
        <w:rPr>
          <w:sz w:val="20"/>
          <w:szCs w:val="24"/>
          <w:lang w:eastAsia="lt-LT"/>
        </w:rPr>
      </w:pPr>
    </w:p>
    <w:p w14:paraId="4D4E193D" w14:textId="77777777" w:rsidR="009A0866" w:rsidRDefault="009A0866" w:rsidP="009A0866">
      <w:pPr>
        <w:ind w:firstLine="5812"/>
        <w:rPr>
          <w:szCs w:val="24"/>
          <w:lang w:eastAsia="lt-LT"/>
        </w:rPr>
      </w:pPr>
    </w:p>
    <w:p w14:paraId="482B1014" w14:textId="77777777" w:rsidR="009A0866" w:rsidRDefault="009A0866" w:rsidP="009A0866">
      <w:pPr>
        <w:jc w:val="center"/>
        <w:rPr>
          <w:b/>
          <w:color w:val="000000"/>
          <w:sz w:val="20"/>
          <w:szCs w:val="24"/>
          <w:lang w:eastAsia="lt-LT"/>
        </w:rPr>
      </w:pPr>
      <w:r>
        <w:rPr>
          <w:b/>
          <w:szCs w:val="24"/>
          <w:lang w:eastAsia="lt-LT"/>
        </w:rPr>
        <w:t>(VIEŠOJO IR PRIVATAUS SEKTORIŲ PARTNERYSTĖS PROJEKTO PAGRINDINIŲ DUOMENŲ IR IŠVADOS DĖL PROJEKTO IR PARTNERYSTĖS SOCIALINĖS EKONOMINĖS NAUDOS FORMĄ</w:t>
      </w:r>
      <w:r>
        <w:rPr>
          <w:b/>
          <w:color w:val="000000"/>
          <w:sz w:val="20"/>
          <w:szCs w:val="24"/>
          <w:lang w:eastAsia="lt-LT"/>
        </w:rPr>
        <w:t>)</w:t>
      </w:r>
    </w:p>
    <w:p w14:paraId="37149DB7" w14:textId="77777777" w:rsidR="009A0866" w:rsidRDefault="009A0866" w:rsidP="009A0866">
      <w:pPr>
        <w:jc w:val="center"/>
        <w:rPr>
          <w:b/>
          <w:szCs w:val="24"/>
          <w:lang w:eastAsia="lt-LT"/>
        </w:rPr>
      </w:pPr>
    </w:p>
    <w:p w14:paraId="2CF35624" w14:textId="77777777" w:rsidR="009A0866" w:rsidRDefault="009A0866" w:rsidP="009A0866">
      <w:pPr>
        <w:tabs>
          <w:tab w:val="center" w:pos="4986"/>
          <w:tab w:val="right" w:pos="9972"/>
        </w:tabs>
        <w:rPr>
          <w:sz w:val="10"/>
          <w:szCs w:val="10"/>
          <w:lang w:eastAsia="lt-LT"/>
        </w:rPr>
      </w:pPr>
    </w:p>
    <w:p w14:paraId="0E3C62B2" w14:textId="77777777" w:rsidR="009A0866" w:rsidRDefault="009A0866" w:rsidP="009A0866">
      <w:pPr>
        <w:rPr>
          <w:szCs w:val="24"/>
          <w:lang w:eastAsia="lt-LT"/>
        </w:rPr>
      </w:pPr>
    </w:p>
    <w:p w14:paraId="3DA3024F" w14:textId="77777777" w:rsidR="009A0866" w:rsidRDefault="009A0866" w:rsidP="009A0866">
      <w:pPr>
        <w:jc w:val="center"/>
        <w:rPr>
          <w:szCs w:val="24"/>
          <w:lang w:eastAsia="lt-LT"/>
        </w:rPr>
      </w:pPr>
      <w:r>
        <w:rPr>
          <w:noProof/>
          <w:szCs w:val="24"/>
          <w:lang w:eastAsia="lt-LT"/>
        </w:rPr>
        <mc:AlternateContent>
          <mc:Choice Requires="wpg">
            <w:drawing>
              <wp:inline distT="0" distB="0" distL="0" distR="0" wp14:anchorId="4AEB6BEC" wp14:editId="4498299B">
                <wp:extent cx="5972175" cy="857250"/>
                <wp:effectExtent l="0" t="0" r="0" b="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857250"/>
                          <a:chOff x="-190" y="0"/>
                          <a:chExt cx="59721" cy="8572"/>
                        </a:xfrm>
                      </wpg:grpSpPr>
                      <wps:wsp>
                        <wps:cNvPr id="2" name="Text Box 1"/>
                        <wps:cNvSpPr txBox="1">
                          <a:spLocks noChangeArrowheads="1"/>
                        </wps:cNvSpPr>
                        <wps:spPr bwMode="auto">
                          <a:xfrm>
                            <a:off x="7905" y="3048"/>
                            <a:ext cx="51626"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2CAD" w14:textId="77777777" w:rsidR="00B35690" w:rsidRDefault="00B35690" w:rsidP="009A0866">
                              <w:pPr>
                                <w:jc w:val="center"/>
                                <w:rPr>
                                  <w:b/>
                                  <w:sz w:val="28"/>
                                  <w:szCs w:val="28"/>
                                  <w:lang w:val="en-US" w:eastAsia="lt-LT"/>
                                </w:rPr>
                              </w:pPr>
                              <w:r>
                                <w:rPr>
                                  <w:b/>
                                  <w:sz w:val="28"/>
                                  <w:szCs w:val="28"/>
                                  <w:lang w:val="en-US" w:eastAsia="lt-LT"/>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3" name="Picture 2" descr="tautvydas:Desktop:CPVA Logo 2008-500px.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0" y="0"/>
                            <a:ext cx="9143" cy="85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AEB6BEC" id="Group 3" o:spid="_x0000_s1026" style="width:470.25pt;height:67.5pt;mso-position-horizontal-relative:char;mso-position-vertical-relative:line"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DE22CAD" w14:textId="77777777" w:rsidR="00B35690" w:rsidRDefault="00B35690" w:rsidP="009A0866">
                        <w:pPr>
                          <w:jc w:val="center"/>
                          <w:rPr>
                            <w:b/>
                            <w:sz w:val="28"/>
                            <w:szCs w:val="28"/>
                            <w:lang w:val="en-US" w:eastAsia="lt-LT"/>
                          </w:rPr>
                        </w:pPr>
                        <w:r>
                          <w:rPr>
                            <w:b/>
                            <w:sz w:val="28"/>
                            <w:szCs w:val="28"/>
                            <w:lang w:val="en-US" w:eastAsia="lt-LT"/>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">
                  <v:imagedata r:id="rId12" o:title="CPVA Logo 2008-500px"/>
                </v:shape>
                <w10:anchorlock/>
              </v:group>
            </w:pict>
          </mc:Fallback>
        </mc:AlternateContent>
      </w:r>
    </w:p>
    <w:p w14:paraId="319C5AA8" w14:textId="77777777" w:rsidR="009A0866" w:rsidRDefault="009A0866" w:rsidP="009A0866">
      <w:pPr>
        <w:tabs>
          <w:tab w:val="left" w:pos="2235"/>
          <w:tab w:val="center" w:pos="4986"/>
          <w:tab w:val="right" w:pos="9972"/>
        </w:tabs>
        <w:rPr>
          <w:szCs w:val="24"/>
          <w:lang w:eastAsia="lt-LT"/>
        </w:rPr>
      </w:pPr>
    </w:p>
    <w:p w14:paraId="0E02B550" w14:textId="77777777" w:rsidR="009A0866" w:rsidRPr="00954A46" w:rsidRDefault="009A0866" w:rsidP="00954A46">
      <w:pPr>
        <w:rPr>
          <w:b/>
          <w:szCs w:val="24"/>
          <w:u w:val="single"/>
          <w:lang w:eastAsia="lt-LT"/>
        </w:rPr>
      </w:pPr>
    </w:p>
    <w:p w14:paraId="18F27523" w14:textId="77777777" w:rsidR="009A0866" w:rsidRDefault="009A0866" w:rsidP="009A0866">
      <w:pPr>
        <w:jc w:val="center"/>
        <w:rPr>
          <w:b/>
          <w:szCs w:val="24"/>
          <w:lang w:eastAsia="lt-LT"/>
        </w:rPr>
      </w:pPr>
    </w:p>
    <w:p w14:paraId="28848699" w14:textId="77777777" w:rsidR="009A0866" w:rsidRDefault="009A0866" w:rsidP="009A0866">
      <w:pPr>
        <w:jc w:val="center"/>
        <w:rPr>
          <w:b/>
          <w:szCs w:val="24"/>
          <w:lang w:eastAsia="lt-LT"/>
        </w:rPr>
      </w:pPr>
      <w:r>
        <w:rPr>
          <w:b/>
          <w:szCs w:val="24"/>
          <w:lang w:eastAsia="lt-LT"/>
        </w:rPr>
        <w:t xml:space="preserve">VIEŠOJO IR PRIVATAUS SEKTORIŲ PARTNERYSTĖS PROJEKTO </w:t>
      </w:r>
    </w:p>
    <w:sdt>
      <w:sdtPr>
        <w:rPr>
          <w:b/>
          <w:color w:val="FF0000"/>
          <w:szCs w:val="24"/>
          <w:u w:val="single"/>
          <w:lang w:eastAsia="lt-LT"/>
        </w:rPr>
        <w:id w:val="-1269534212"/>
        <w:placeholder>
          <w:docPart w:val="B7FDFE4C65014478BD7E9EAE44085222"/>
        </w:placeholder>
      </w:sdtPr>
      <w:sdtEndPr>
        <w:rPr>
          <w:u w:val="none"/>
        </w:rPr>
      </w:sdtEndPr>
      <w:sdtContent>
        <w:p w14:paraId="4CDF3308" w14:textId="77777777" w:rsidR="00AB3672" w:rsidRDefault="00AB3672" w:rsidP="00AB3672">
          <w:pPr>
            <w:jc w:val="center"/>
            <w:rPr>
              <w:b/>
              <w:color w:val="FF0000"/>
              <w:szCs w:val="24"/>
              <w:lang w:eastAsia="lt-LT"/>
            </w:rPr>
          </w:pPr>
          <w:r w:rsidRPr="00A74983">
            <w:rPr>
              <w:rFonts w:cstheme="minorHAnsi"/>
              <w:b/>
              <w:szCs w:val="24"/>
            </w:rPr>
            <w:t>Molėtų rajono sporto infrastruktūros ir baseino komplekso investicijų projekto įgyvendinimas koncesijos būdu</w:t>
          </w:r>
          <w:r>
            <w:rPr>
              <w:rFonts w:cstheme="minorHAnsi"/>
              <w:b/>
              <w:szCs w:val="24"/>
            </w:rPr>
            <w:t xml:space="preserve"> (toliau – Projektas)</w:t>
          </w:r>
        </w:p>
      </w:sdtContent>
    </w:sdt>
    <w:p w14:paraId="66AA4D07" w14:textId="4884908F" w:rsidR="009A0866" w:rsidRDefault="009A0866" w:rsidP="009A0866">
      <w:pPr>
        <w:jc w:val="center"/>
        <w:rPr>
          <w:szCs w:val="24"/>
          <w:lang w:eastAsia="lt-LT"/>
        </w:rPr>
      </w:pPr>
      <w:r>
        <w:rPr>
          <w:szCs w:val="24"/>
          <w:lang w:eastAsia="lt-LT"/>
        </w:rPr>
        <w:t>Viešojo ir privataus sektorių partnerystės (VPSP) projekto pavadinimas</w:t>
      </w:r>
    </w:p>
    <w:p w14:paraId="2E59E813" w14:textId="77777777" w:rsidR="009A0866" w:rsidRDefault="009A0866" w:rsidP="009A0866">
      <w:pPr>
        <w:jc w:val="center"/>
        <w:rPr>
          <w:b/>
          <w:szCs w:val="24"/>
          <w:lang w:eastAsia="lt-LT"/>
        </w:rPr>
      </w:pPr>
    </w:p>
    <w:p w14:paraId="4A28F545" w14:textId="77777777" w:rsidR="009A0866" w:rsidRDefault="009A0866" w:rsidP="009A0866">
      <w:pPr>
        <w:jc w:val="center"/>
        <w:rPr>
          <w:b/>
          <w:szCs w:val="24"/>
          <w:lang w:eastAsia="lt-LT"/>
        </w:rPr>
      </w:pPr>
      <w:r>
        <w:rPr>
          <w:b/>
          <w:szCs w:val="24"/>
          <w:lang w:eastAsia="lt-LT"/>
        </w:rPr>
        <w:t>ĮGYVENDINAMO</w:t>
      </w:r>
    </w:p>
    <w:p w14:paraId="75944B76" w14:textId="77777777" w:rsidR="00AB3672" w:rsidRPr="0064788F" w:rsidRDefault="00EB5B23" w:rsidP="00AB3672">
      <w:pPr>
        <w:jc w:val="center"/>
        <w:rPr>
          <w:rFonts w:cstheme="minorHAnsi"/>
          <w:bCs/>
          <w:szCs w:val="24"/>
        </w:rPr>
      </w:pPr>
      <w:sdt>
        <w:sdtPr>
          <w:rPr>
            <w:b/>
            <w:color w:val="FF0000"/>
            <w:szCs w:val="24"/>
            <w:u w:val="single"/>
            <w:lang w:eastAsia="lt-LT"/>
          </w:rPr>
          <w:id w:val="933092667"/>
          <w:placeholder>
            <w:docPart w:val="38ADD830CC9E4338A1A322CF0998346E"/>
          </w:placeholder>
        </w:sdtPr>
        <w:sdtEndPr>
          <w:rPr>
            <w:color w:val="auto"/>
          </w:rPr>
        </w:sdtEndPr>
        <w:sdtContent>
          <w:r w:rsidR="00AB3672">
            <w:rPr>
              <w:rFonts w:cstheme="minorHAnsi"/>
              <w:b/>
              <w:bCs/>
              <w:szCs w:val="24"/>
            </w:rPr>
            <w:t>Molėtų rajono</w:t>
          </w:r>
          <w:r w:rsidR="00AB3672" w:rsidRPr="00944C98">
            <w:rPr>
              <w:rFonts w:cstheme="minorHAnsi"/>
              <w:b/>
              <w:bCs/>
              <w:szCs w:val="24"/>
            </w:rPr>
            <w:t xml:space="preserve"> savivaldybės administracijos</w:t>
          </w:r>
          <w:r w:rsidR="00AB3672">
            <w:rPr>
              <w:rFonts w:cstheme="minorHAnsi"/>
              <w:b/>
              <w:bCs/>
              <w:szCs w:val="24"/>
            </w:rPr>
            <w:t xml:space="preserve"> (toliau – MRSA)</w:t>
          </w:r>
        </w:sdtContent>
      </w:sdt>
    </w:p>
    <w:p w14:paraId="28CD8009" w14:textId="77777777" w:rsidR="009A0866" w:rsidRDefault="009A0866" w:rsidP="009A0866">
      <w:pPr>
        <w:jc w:val="center"/>
        <w:rPr>
          <w:szCs w:val="24"/>
          <w:lang w:eastAsia="lt-LT"/>
        </w:rPr>
      </w:pPr>
      <w:r>
        <w:rPr>
          <w:szCs w:val="24"/>
          <w:lang w:eastAsia="lt-LT"/>
        </w:rPr>
        <w:t>Institucija, įgyvendinanti VPSP projektą</w:t>
      </w:r>
    </w:p>
    <w:p w14:paraId="6EB5B282" w14:textId="77777777" w:rsidR="009A0866" w:rsidRDefault="009A0866" w:rsidP="009A0866">
      <w:pPr>
        <w:jc w:val="center"/>
        <w:rPr>
          <w:b/>
          <w:szCs w:val="24"/>
          <w:lang w:eastAsia="lt-LT"/>
        </w:rPr>
      </w:pPr>
    </w:p>
    <w:p w14:paraId="4B8E0BE1" w14:textId="77777777" w:rsidR="001F0E46" w:rsidRDefault="009A0866" w:rsidP="00954A46">
      <w:pPr>
        <w:jc w:val="center"/>
        <w:rPr>
          <w:b/>
          <w:szCs w:val="24"/>
          <w:lang w:eastAsia="lt-LT"/>
        </w:rPr>
      </w:pPr>
      <w:r>
        <w:rPr>
          <w:b/>
          <w:szCs w:val="24"/>
          <w:lang w:eastAsia="lt-LT"/>
        </w:rPr>
        <w:t>PAGRINDINIAI DUOMENYS IR IŠVADA DĖL PROJEKTO IR PARTNETRYSTĖS SOCIALINĖS EKONOMINĖS NAUDOS</w:t>
      </w:r>
    </w:p>
    <w:p w14:paraId="56C1E563" w14:textId="0F93DE1B" w:rsidR="009A0866" w:rsidRDefault="001F0E46">
      <w:pPr>
        <w:jc w:val="center"/>
        <w:rPr>
          <w:b/>
          <w:szCs w:val="24"/>
          <w:lang w:eastAsia="lt-LT"/>
        </w:rPr>
      </w:pPr>
      <w:r>
        <w:rPr>
          <w:b/>
          <w:szCs w:val="24"/>
          <w:lang w:eastAsia="lt-LT"/>
        </w:rPr>
        <w:br w:type="page"/>
      </w:r>
      <w:r w:rsidR="009A0866">
        <w:rPr>
          <w:b/>
          <w:szCs w:val="24"/>
          <w:lang w:eastAsia="lt-LT"/>
        </w:rPr>
        <w:lastRenderedPageBreak/>
        <w:t>I DALIS</w:t>
      </w:r>
    </w:p>
    <w:p w14:paraId="6789DF14" w14:textId="77777777" w:rsidR="009A0866" w:rsidRDefault="009A0866" w:rsidP="009A0866">
      <w:pPr>
        <w:jc w:val="center"/>
        <w:rPr>
          <w:b/>
          <w:szCs w:val="24"/>
          <w:lang w:eastAsia="lt-LT"/>
        </w:rPr>
      </w:pPr>
    </w:p>
    <w:p w14:paraId="2F3FF37C" w14:textId="77777777" w:rsidR="009A0866" w:rsidRDefault="009A0866" w:rsidP="009A0866">
      <w:pPr>
        <w:jc w:val="center"/>
        <w:rPr>
          <w:b/>
          <w:szCs w:val="24"/>
          <w:lang w:eastAsia="lt-LT"/>
        </w:rPr>
      </w:pPr>
      <w:r>
        <w:rPr>
          <w:b/>
          <w:szCs w:val="24"/>
          <w:lang w:eastAsia="lt-LT"/>
        </w:rPr>
        <w:t>INFORMACIJA APIE INVESTICIJŲ PROJEKTĄ</w:t>
      </w:r>
    </w:p>
    <w:p w14:paraId="436CA122" w14:textId="77777777" w:rsidR="009A0866" w:rsidRDefault="009A0866" w:rsidP="00954A46">
      <w:pPr>
        <w:jc w:val="cente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214"/>
      </w:tblGrid>
      <w:tr w:rsidR="00AB3672" w:rsidRPr="00BF47BA" w14:paraId="409FC656" w14:textId="77777777" w:rsidTr="00D455F3">
        <w:tc>
          <w:tcPr>
            <w:tcW w:w="13745" w:type="dxa"/>
            <w:gridSpan w:val="2"/>
            <w:shd w:val="clear" w:color="auto" w:fill="D9D9D9" w:themeFill="background1" w:themeFillShade="D9"/>
          </w:tcPr>
          <w:p w14:paraId="341FBCEE" w14:textId="77777777" w:rsidR="00AB3672" w:rsidRPr="00BF47BA" w:rsidRDefault="00AB3672" w:rsidP="00D455F3">
            <w:pPr>
              <w:ind w:left="720" w:hanging="360"/>
              <w:jc w:val="center"/>
              <w:rPr>
                <w:b/>
                <w:szCs w:val="24"/>
                <w:lang w:eastAsia="lt-LT"/>
              </w:rPr>
            </w:pPr>
            <w:r w:rsidRPr="00BF47BA">
              <w:rPr>
                <w:b/>
                <w:szCs w:val="24"/>
                <w:lang w:eastAsia="lt-LT"/>
              </w:rPr>
              <w:t>1.</w:t>
            </w:r>
            <w:r w:rsidRPr="00BF47BA">
              <w:rPr>
                <w:b/>
                <w:szCs w:val="24"/>
                <w:lang w:eastAsia="lt-LT"/>
              </w:rPr>
              <w:tab/>
              <w:t>Informacija apie investicijų projektą</w:t>
            </w:r>
          </w:p>
        </w:tc>
      </w:tr>
      <w:tr w:rsidR="00AB3672" w:rsidRPr="00BF47BA" w14:paraId="08D9CA24" w14:textId="77777777" w:rsidTr="00D455F3">
        <w:tc>
          <w:tcPr>
            <w:tcW w:w="4531" w:type="dxa"/>
            <w:shd w:val="clear" w:color="auto" w:fill="D9D9D9" w:themeFill="background1" w:themeFillShade="D9"/>
          </w:tcPr>
          <w:p w14:paraId="4C889CD8" w14:textId="77777777" w:rsidR="00AB3672" w:rsidRPr="00BF47BA" w:rsidRDefault="00AB3672" w:rsidP="00D455F3">
            <w:pPr>
              <w:rPr>
                <w:szCs w:val="24"/>
                <w:lang w:eastAsia="lt-LT"/>
              </w:rPr>
            </w:pPr>
            <w:r w:rsidRPr="00BF47BA">
              <w:rPr>
                <w:szCs w:val="24"/>
                <w:lang w:eastAsia="lt-LT"/>
              </w:rPr>
              <w:t>1.1. Strate</w:t>
            </w:r>
            <w:r>
              <w:rPr>
                <w:szCs w:val="24"/>
                <w:lang w:eastAsia="lt-LT"/>
              </w:rPr>
              <w:t>ginis dokumentas, pagrindžiantis</w:t>
            </w:r>
            <w:r w:rsidRPr="00BF47BA">
              <w:rPr>
                <w:szCs w:val="24"/>
                <w:lang w:eastAsia="lt-LT"/>
              </w:rPr>
              <w:t xml:space="preserve"> projekto poreikius</w:t>
            </w:r>
          </w:p>
        </w:tc>
        <w:tc>
          <w:tcPr>
            <w:tcW w:w="9214" w:type="dxa"/>
          </w:tcPr>
          <w:p w14:paraId="2FF5EEE0" w14:textId="77777777" w:rsidR="00AB3672" w:rsidRPr="001C03FE" w:rsidRDefault="00AB3672" w:rsidP="00D455F3">
            <w:pPr>
              <w:jc w:val="both"/>
              <w:rPr>
                <w:highlight w:val="yellow"/>
              </w:rPr>
            </w:pPr>
            <w:r w:rsidRPr="00F96D61">
              <w:t>Projektas atitinka 2021-2023 m. Molėtų rajono savivaldybės strateginio veiklos plano 5-osios programos „Kultūrinės ir sportinės veiklos bei jos infrastruktūros programa“ I-ojo prioriteto „Besimokanti, atsakinga ir aktyvi bendruomenė“</w:t>
            </w:r>
            <w:r>
              <w:t xml:space="preserve"> </w:t>
            </w:r>
            <w:r w:rsidRPr="00F96D61">
              <w:t>1.4 tikslo „Išplėtota kultūros, sporto, laisvalaikio paslaugų sistema ir sudarytos sąlygos asmens saviraiškai“ 1.4.3 uždavin</w:t>
            </w:r>
            <w:r>
              <w:t>į</w:t>
            </w:r>
            <w:r w:rsidRPr="00F96D61">
              <w:t xml:space="preserve"> „Plėtoti kūno kultūrą ir skatinti aktyvų laisvalaikį, įveiklinant sukurtą infrastruktūrą“</w:t>
            </w:r>
            <w:r>
              <w:t>.</w:t>
            </w:r>
          </w:p>
        </w:tc>
      </w:tr>
      <w:tr w:rsidR="00AB3672" w:rsidRPr="00BF47BA" w14:paraId="5A3CDD70" w14:textId="77777777" w:rsidTr="00D455F3">
        <w:tc>
          <w:tcPr>
            <w:tcW w:w="4531" w:type="dxa"/>
            <w:shd w:val="clear" w:color="auto" w:fill="D9D9D9" w:themeFill="background1" w:themeFillShade="D9"/>
          </w:tcPr>
          <w:p w14:paraId="262C747D" w14:textId="77777777" w:rsidR="00AB3672" w:rsidRPr="00BF47BA" w:rsidRDefault="00AB3672" w:rsidP="00D455F3">
            <w:pPr>
              <w:rPr>
                <w:szCs w:val="24"/>
                <w:lang w:eastAsia="lt-LT"/>
              </w:rPr>
            </w:pPr>
            <w:r w:rsidRPr="00BF47BA">
              <w:rPr>
                <w:szCs w:val="24"/>
                <w:lang w:eastAsia="lt-LT"/>
              </w:rPr>
              <w:t>1.2. Sprendžiama problema / projekto poreikis</w:t>
            </w:r>
          </w:p>
        </w:tc>
        <w:tc>
          <w:tcPr>
            <w:tcW w:w="9214" w:type="dxa"/>
          </w:tcPr>
          <w:p w14:paraId="127D95BC" w14:textId="77777777" w:rsidR="00AB3672" w:rsidRPr="009F543E" w:rsidRDefault="00AB3672" w:rsidP="00D455F3">
            <w:pPr>
              <w:jc w:val="both"/>
              <w:rPr>
                <w:szCs w:val="24"/>
              </w:rPr>
            </w:pPr>
            <w:r w:rsidRPr="009F543E">
              <w:rPr>
                <w:szCs w:val="24"/>
              </w:rPr>
              <w:t xml:space="preserve">Pagrindinė </w:t>
            </w:r>
            <w:r w:rsidRPr="007F3500">
              <w:rPr>
                <w:b/>
                <w:bCs/>
                <w:szCs w:val="24"/>
              </w:rPr>
              <w:t>problema</w:t>
            </w:r>
            <w:r w:rsidRPr="009F543E">
              <w:rPr>
                <w:szCs w:val="24"/>
              </w:rPr>
              <w:t>, kuri</w:t>
            </w:r>
            <w:r>
              <w:rPr>
                <w:szCs w:val="24"/>
              </w:rPr>
              <w:t>ą</w:t>
            </w:r>
            <w:r w:rsidRPr="009F543E">
              <w:rPr>
                <w:szCs w:val="24"/>
              </w:rPr>
              <w:t xml:space="preserve"> bus siekiama išspręsti įgyvendinant šį </w:t>
            </w:r>
            <w:r>
              <w:rPr>
                <w:szCs w:val="24"/>
              </w:rPr>
              <w:t xml:space="preserve">investicijų projektą </w:t>
            </w:r>
            <w:r w:rsidRPr="009F543E">
              <w:rPr>
                <w:szCs w:val="24"/>
              </w:rPr>
              <w:t xml:space="preserve">– </w:t>
            </w:r>
            <w:r>
              <w:rPr>
                <w:szCs w:val="24"/>
              </w:rPr>
              <w:t>n</w:t>
            </w:r>
            <w:r w:rsidRPr="000774B2">
              <w:rPr>
                <w:szCs w:val="24"/>
              </w:rPr>
              <w:t>eužtikrintas kokybiškas sporto ir sveikatingumo paslaugų prieinamumas Molėtų rajono savivaldybėje</w:t>
            </w:r>
            <w:r>
              <w:rPr>
                <w:szCs w:val="24"/>
              </w:rPr>
              <w:t xml:space="preserve">. </w:t>
            </w:r>
          </w:p>
          <w:p w14:paraId="76E61B38" w14:textId="77777777" w:rsidR="00AB3672" w:rsidRPr="009F543E" w:rsidRDefault="00AB3672" w:rsidP="00D455F3">
            <w:pPr>
              <w:tabs>
                <w:tab w:val="left" w:pos="1134"/>
              </w:tabs>
              <w:jc w:val="both"/>
              <w:rPr>
                <w:szCs w:val="24"/>
              </w:rPr>
            </w:pPr>
            <w:r w:rsidRPr="009F543E">
              <w:rPr>
                <w:szCs w:val="24"/>
              </w:rPr>
              <w:t xml:space="preserve">Pagrindinės priežastys, kurios sąlygoja kokybiškų </w:t>
            </w:r>
            <w:r w:rsidRPr="000774B2">
              <w:rPr>
                <w:szCs w:val="24"/>
              </w:rPr>
              <w:t xml:space="preserve">sporto ir sveikatingumo </w:t>
            </w:r>
            <w:r w:rsidRPr="009F543E">
              <w:rPr>
                <w:szCs w:val="24"/>
              </w:rPr>
              <w:t>paslaugų prieinamumo</w:t>
            </w:r>
            <w:r>
              <w:rPr>
                <w:szCs w:val="24"/>
              </w:rPr>
              <w:t xml:space="preserve"> </w:t>
            </w:r>
            <w:r w:rsidRPr="009F543E">
              <w:rPr>
                <w:szCs w:val="24"/>
              </w:rPr>
              <w:t>trūkumą:</w:t>
            </w:r>
          </w:p>
          <w:p w14:paraId="74AF2FF2" w14:textId="77777777" w:rsidR="00AB3672" w:rsidRDefault="00AB3672" w:rsidP="00AB3672">
            <w:pPr>
              <w:pStyle w:val="ListParagraph"/>
              <w:numPr>
                <w:ilvl w:val="0"/>
                <w:numId w:val="30"/>
              </w:numPr>
              <w:tabs>
                <w:tab w:val="left" w:pos="1134"/>
              </w:tabs>
              <w:jc w:val="both"/>
              <w:rPr>
                <w:szCs w:val="24"/>
              </w:rPr>
            </w:pPr>
            <w:r>
              <w:rPr>
                <w:szCs w:val="24"/>
              </w:rPr>
              <w:t>a</w:t>
            </w:r>
            <w:r w:rsidRPr="000774B2">
              <w:rPr>
                <w:szCs w:val="24"/>
              </w:rPr>
              <w:t>rtimiausi daugiafunkciniai sporto bei sveikatingumo centrai nutolę didesniu nei 30 km. atstumu nuo Molėtų</w:t>
            </w:r>
            <w:r>
              <w:rPr>
                <w:szCs w:val="24"/>
              </w:rPr>
              <w:t>;</w:t>
            </w:r>
          </w:p>
          <w:p w14:paraId="7FCF59CF" w14:textId="77777777" w:rsidR="00AB3672" w:rsidRDefault="00AB3672" w:rsidP="00AB3672">
            <w:pPr>
              <w:pStyle w:val="ListParagraph"/>
              <w:numPr>
                <w:ilvl w:val="0"/>
                <w:numId w:val="30"/>
              </w:numPr>
              <w:tabs>
                <w:tab w:val="left" w:pos="1134"/>
              </w:tabs>
              <w:jc w:val="both"/>
              <w:rPr>
                <w:szCs w:val="24"/>
              </w:rPr>
            </w:pPr>
            <w:r>
              <w:rPr>
                <w:szCs w:val="24"/>
              </w:rPr>
              <w:t>t</w:t>
            </w:r>
            <w:r w:rsidRPr="000774B2">
              <w:rPr>
                <w:szCs w:val="24"/>
              </w:rPr>
              <w:t>inkamai pritaikytų sporto ir sveikatingumo erdvių žmonėms su judėjimo apribojimais trūkumas</w:t>
            </w:r>
            <w:r>
              <w:rPr>
                <w:szCs w:val="24"/>
              </w:rPr>
              <w:t>;</w:t>
            </w:r>
          </w:p>
          <w:p w14:paraId="50B566FD" w14:textId="77777777" w:rsidR="00AB3672" w:rsidRPr="0008112E" w:rsidRDefault="00AB3672" w:rsidP="00AB3672">
            <w:pPr>
              <w:pStyle w:val="ListParagraph"/>
              <w:numPr>
                <w:ilvl w:val="0"/>
                <w:numId w:val="30"/>
              </w:numPr>
              <w:tabs>
                <w:tab w:val="left" w:pos="1134"/>
              </w:tabs>
              <w:jc w:val="both"/>
              <w:rPr>
                <w:szCs w:val="24"/>
              </w:rPr>
            </w:pPr>
            <w:r w:rsidRPr="000774B2">
              <w:rPr>
                <w:szCs w:val="24"/>
              </w:rPr>
              <w:t>Molėtų rajono savivaldybės lėšų trūkumas</w:t>
            </w:r>
            <w:r>
              <w:rPr>
                <w:szCs w:val="24"/>
              </w:rPr>
              <w:t>.</w:t>
            </w:r>
          </w:p>
        </w:tc>
      </w:tr>
      <w:tr w:rsidR="00AB3672" w:rsidRPr="00BF47BA" w14:paraId="6ECA530C" w14:textId="77777777" w:rsidTr="00D455F3">
        <w:tc>
          <w:tcPr>
            <w:tcW w:w="4531" w:type="dxa"/>
            <w:shd w:val="clear" w:color="auto" w:fill="D9D9D9" w:themeFill="background1" w:themeFillShade="D9"/>
          </w:tcPr>
          <w:p w14:paraId="6C07F03F" w14:textId="77777777" w:rsidR="00AB3672" w:rsidRPr="00BF47BA" w:rsidRDefault="00AB3672" w:rsidP="00D455F3">
            <w:pPr>
              <w:rPr>
                <w:szCs w:val="24"/>
                <w:lang w:eastAsia="lt-LT"/>
              </w:rPr>
            </w:pPr>
            <w:r w:rsidRPr="00BF47BA">
              <w:rPr>
                <w:szCs w:val="24"/>
                <w:lang w:eastAsia="lt-LT"/>
              </w:rPr>
              <w:t xml:space="preserve">1.3. Tikslas ir siekiamas rezultatas </w:t>
            </w:r>
          </w:p>
        </w:tc>
        <w:tc>
          <w:tcPr>
            <w:tcW w:w="9214" w:type="dxa"/>
          </w:tcPr>
          <w:p w14:paraId="07988392" w14:textId="77777777" w:rsidR="00AB3672" w:rsidRDefault="00AB3672" w:rsidP="00D455F3">
            <w:pPr>
              <w:jc w:val="both"/>
            </w:pPr>
            <w:r w:rsidRPr="000D6135">
              <w:rPr>
                <w:b/>
              </w:rPr>
              <w:t>Projekto tikslas</w:t>
            </w:r>
            <w:r w:rsidRPr="0053544C">
              <w:t xml:space="preserve"> –</w:t>
            </w:r>
            <w:r>
              <w:t xml:space="preserve"> </w:t>
            </w:r>
            <w:r w:rsidRPr="000774B2">
              <w:t>gerinti Molėtų rajono savivaldybės sveikatinimo paslaugų kokybę ir didinti sporto infrastruktūros prieinamumą Molėtų rajono gyventojams bei miesto svečiams</w:t>
            </w:r>
            <w:r>
              <w:t>.</w:t>
            </w:r>
          </w:p>
          <w:p w14:paraId="00FC3410" w14:textId="77777777" w:rsidR="00AB3672" w:rsidRDefault="00AB3672" w:rsidP="00D455F3">
            <w:pPr>
              <w:jc w:val="both"/>
              <w:rPr>
                <w:b/>
              </w:rPr>
            </w:pPr>
            <w:r w:rsidRPr="0008112E">
              <w:rPr>
                <w:b/>
                <w:bCs/>
              </w:rPr>
              <w:t xml:space="preserve">Projekto </w:t>
            </w:r>
            <w:r>
              <w:rPr>
                <w:b/>
              </w:rPr>
              <w:t>u</w:t>
            </w:r>
            <w:r w:rsidRPr="000D6135">
              <w:rPr>
                <w:b/>
              </w:rPr>
              <w:t>ždavin</w:t>
            </w:r>
            <w:r>
              <w:rPr>
                <w:b/>
              </w:rPr>
              <w:t xml:space="preserve">ys - </w:t>
            </w:r>
            <w:r w:rsidRPr="00306D1D">
              <w:rPr>
                <w:bCs/>
              </w:rPr>
              <w:t>įrengti bei pradėti eksploatuoti baseino patalpas Molėtuose</w:t>
            </w:r>
            <w:r>
              <w:rPr>
                <w:bCs/>
              </w:rPr>
              <w:t>.</w:t>
            </w:r>
          </w:p>
          <w:p w14:paraId="6665E9E1" w14:textId="77777777" w:rsidR="00AB3672" w:rsidRPr="00954A46" w:rsidRDefault="00AB3672" w:rsidP="00D455F3">
            <w:pPr>
              <w:jc w:val="both"/>
            </w:pPr>
            <w:r>
              <w:t xml:space="preserve">Siekiami minimalūs </w:t>
            </w:r>
            <w:r w:rsidRPr="00306D1D">
              <w:rPr>
                <w:b/>
              </w:rPr>
              <w:t>rezultatai</w:t>
            </w:r>
            <w:r>
              <w:rPr>
                <w:b/>
              </w:rPr>
              <w:t xml:space="preserve"> - </w:t>
            </w:r>
            <w:r w:rsidRPr="00306D1D">
              <w:rPr>
                <w:bCs/>
              </w:rPr>
              <w:t>išspręsta kokybiškos sporto ir sveikatingumo pa</w:t>
            </w:r>
            <w:r>
              <w:rPr>
                <w:bCs/>
              </w:rPr>
              <w:t>siūlo</w:t>
            </w:r>
            <w:r w:rsidRPr="00306D1D">
              <w:rPr>
                <w:bCs/>
              </w:rPr>
              <w:t>s nebuvimo problema, įrengiant baseino priestatą</w:t>
            </w:r>
            <w:r>
              <w:rPr>
                <w:bCs/>
              </w:rPr>
              <w:t>.</w:t>
            </w:r>
          </w:p>
        </w:tc>
      </w:tr>
      <w:tr w:rsidR="00AB3672" w:rsidRPr="00BF47BA" w14:paraId="0C7B43DF" w14:textId="77777777" w:rsidTr="00D455F3">
        <w:tc>
          <w:tcPr>
            <w:tcW w:w="4531" w:type="dxa"/>
            <w:shd w:val="clear" w:color="auto" w:fill="D9D9D9" w:themeFill="background1" w:themeFillShade="D9"/>
          </w:tcPr>
          <w:p w14:paraId="62E0F7C2" w14:textId="77777777" w:rsidR="00AB3672" w:rsidRPr="00BF47BA" w:rsidRDefault="00AB3672" w:rsidP="00D455F3">
            <w:pPr>
              <w:rPr>
                <w:szCs w:val="24"/>
                <w:lang w:eastAsia="lt-LT"/>
              </w:rPr>
            </w:pPr>
            <w:r w:rsidRPr="00BF47BA">
              <w:rPr>
                <w:szCs w:val="24"/>
                <w:lang w:eastAsia="lt-LT"/>
              </w:rPr>
              <w:t xml:space="preserve">1.4. Nagrinėtos investicijų projekto įgyvendinimo alternatyvos </w:t>
            </w:r>
          </w:p>
        </w:tc>
        <w:tc>
          <w:tcPr>
            <w:tcW w:w="9214" w:type="dxa"/>
          </w:tcPr>
          <w:p w14:paraId="6B8DA5D1" w14:textId="77777777" w:rsidR="00AB3672" w:rsidRPr="00650237" w:rsidRDefault="00AB3672" w:rsidP="00D455F3">
            <w:pPr>
              <w:jc w:val="both"/>
              <w:rPr>
                <w:bCs/>
              </w:rPr>
            </w:pPr>
            <w:r>
              <w:rPr>
                <w:bCs/>
              </w:rPr>
              <w:t xml:space="preserve">Kadangi MRSA jau įgyvendina baseino pastato statybos I etapą (rangos darbų sutartis dėl sporto centro pastato rekonstrukcijos pristatant baseino priestatą), </w:t>
            </w:r>
            <w:r w:rsidRPr="00650237">
              <w:rPr>
                <w:bCs/>
              </w:rPr>
              <w:t xml:space="preserve">IP </w:t>
            </w:r>
            <w:r>
              <w:rPr>
                <w:bCs/>
              </w:rPr>
              <w:t xml:space="preserve">nagrinėjamos valdymo alternatyvos (planuojami II etapo rangos darbai (dalies patalpų įrengimas) ir sporto infrastruktūros valdymas):  </w:t>
            </w:r>
          </w:p>
          <w:p w14:paraId="341F22AF" w14:textId="77777777" w:rsidR="00AB3672" w:rsidRPr="0058568F" w:rsidRDefault="00AB3672" w:rsidP="00D455F3">
            <w:pPr>
              <w:jc w:val="both"/>
            </w:pPr>
            <w:r w:rsidRPr="0058568F">
              <w:rPr>
                <w:b/>
              </w:rPr>
              <w:t>I alternatyva</w:t>
            </w:r>
            <w:r w:rsidRPr="0058568F">
              <w:t xml:space="preserve"> – </w:t>
            </w:r>
            <w:r>
              <w:t>Baseino koncesija;</w:t>
            </w:r>
          </w:p>
          <w:p w14:paraId="298272CF" w14:textId="77777777" w:rsidR="00AB3672" w:rsidRPr="00954A46" w:rsidRDefault="00AB3672" w:rsidP="00D455F3">
            <w:pPr>
              <w:jc w:val="both"/>
            </w:pPr>
            <w:r w:rsidRPr="0058568F">
              <w:rPr>
                <w:b/>
              </w:rPr>
              <w:t>II alternatyva</w:t>
            </w:r>
            <w:r w:rsidRPr="0058568F">
              <w:t xml:space="preserve"> –</w:t>
            </w:r>
            <w:r>
              <w:t xml:space="preserve"> Baseino ir teniso kortų koncesija</w:t>
            </w:r>
            <w:r w:rsidRPr="0058568F">
              <w:t>.</w:t>
            </w:r>
            <w:r>
              <w:t xml:space="preserve"> </w:t>
            </w:r>
          </w:p>
        </w:tc>
      </w:tr>
      <w:tr w:rsidR="00AB3672" w:rsidRPr="00BF47BA" w14:paraId="2D51DACE" w14:textId="77777777" w:rsidTr="00D455F3">
        <w:tc>
          <w:tcPr>
            <w:tcW w:w="4531" w:type="dxa"/>
            <w:shd w:val="clear" w:color="auto" w:fill="D9D9D9" w:themeFill="background1" w:themeFillShade="D9"/>
          </w:tcPr>
          <w:p w14:paraId="6FE77F3A" w14:textId="77777777" w:rsidR="00AB3672" w:rsidRPr="00BF47BA" w:rsidRDefault="00AB3672" w:rsidP="00D455F3">
            <w:pPr>
              <w:rPr>
                <w:szCs w:val="24"/>
                <w:lang w:eastAsia="lt-LT"/>
              </w:rPr>
            </w:pPr>
            <w:r w:rsidRPr="00BF47BA">
              <w:rPr>
                <w:szCs w:val="24"/>
                <w:lang w:eastAsia="lt-LT"/>
              </w:rPr>
              <w:t>1.5. Projekto ataskaitinis laikotarpis</w:t>
            </w:r>
          </w:p>
        </w:tc>
        <w:tc>
          <w:tcPr>
            <w:tcW w:w="9214" w:type="dxa"/>
          </w:tcPr>
          <w:p w14:paraId="1F08BD46" w14:textId="77777777" w:rsidR="00AB3672" w:rsidRPr="00954A46" w:rsidRDefault="00AB3672" w:rsidP="00D455F3">
            <w:r>
              <w:t>15 metų</w:t>
            </w:r>
          </w:p>
        </w:tc>
      </w:tr>
      <w:tr w:rsidR="00AB3672" w:rsidRPr="00BF47BA" w14:paraId="4CCF7F90" w14:textId="77777777" w:rsidTr="00D455F3">
        <w:tc>
          <w:tcPr>
            <w:tcW w:w="4531" w:type="dxa"/>
            <w:tcBorders>
              <w:bottom w:val="single" w:sz="12" w:space="0" w:color="auto"/>
            </w:tcBorders>
            <w:shd w:val="clear" w:color="auto" w:fill="D9D9D9" w:themeFill="background1" w:themeFillShade="D9"/>
          </w:tcPr>
          <w:p w14:paraId="3843E967" w14:textId="77777777" w:rsidR="00AB3672" w:rsidRPr="009F2ACA" w:rsidRDefault="00AB3672" w:rsidP="00D455F3">
            <w:pPr>
              <w:rPr>
                <w:szCs w:val="24"/>
                <w:lang w:val="en-US" w:eastAsia="lt-LT"/>
              </w:rPr>
            </w:pPr>
            <w:r w:rsidRPr="00BF47BA">
              <w:rPr>
                <w:szCs w:val="24"/>
                <w:lang w:eastAsia="lt-LT"/>
              </w:rPr>
              <w:t>1.6. Pasirinkta alternatyva</w:t>
            </w:r>
          </w:p>
        </w:tc>
        <w:tc>
          <w:tcPr>
            <w:tcW w:w="9214" w:type="dxa"/>
          </w:tcPr>
          <w:p w14:paraId="205DE2B8" w14:textId="77777777" w:rsidR="00AB3672" w:rsidRPr="00954A46" w:rsidRDefault="00AB3672" w:rsidP="00D455F3">
            <w:r w:rsidRPr="0058568F">
              <w:rPr>
                <w:b/>
              </w:rPr>
              <w:t>I</w:t>
            </w:r>
            <w:r>
              <w:rPr>
                <w:b/>
              </w:rPr>
              <w:t>I</w:t>
            </w:r>
            <w:r w:rsidRPr="0058568F">
              <w:rPr>
                <w:b/>
              </w:rPr>
              <w:t xml:space="preserve"> alternatyva</w:t>
            </w:r>
            <w:r w:rsidRPr="0058568F">
              <w:t xml:space="preserve"> – </w:t>
            </w:r>
            <w:r>
              <w:t>Baseino ir teniso kortų koncesija</w:t>
            </w:r>
          </w:p>
        </w:tc>
      </w:tr>
      <w:tr w:rsidR="00AB3672" w:rsidRPr="00BF47BA" w14:paraId="22C26032" w14:textId="77777777" w:rsidTr="00D455F3">
        <w:tc>
          <w:tcPr>
            <w:tcW w:w="13745" w:type="dxa"/>
            <w:gridSpan w:val="2"/>
            <w:tcBorders>
              <w:top w:val="single" w:sz="12" w:space="0" w:color="auto"/>
              <w:left w:val="single" w:sz="12" w:space="0" w:color="auto"/>
              <w:bottom w:val="single" w:sz="12" w:space="0" w:color="auto"/>
              <w:right w:val="single" w:sz="12" w:space="0" w:color="auto"/>
            </w:tcBorders>
          </w:tcPr>
          <w:p w14:paraId="4F5DA588" w14:textId="77777777" w:rsidR="00AB3672" w:rsidRDefault="00AB3672" w:rsidP="00D455F3">
            <w:pPr>
              <w:rPr>
                <w:i/>
                <w:szCs w:val="24"/>
                <w:lang w:eastAsia="lt-LT"/>
              </w:rPr>
            </w:pPr>
            <w:r w:rsidRPr="00BF47BA">
              <w:rPr>
                <w:b/>
                <w:szCs w:val="24"/>
                <w:lang w:eastAsia="lt-LT"/>
              </w:rPr>
              <w:lastRenderedPageBreak/>
              <w:t>CPVA išvada</w:t>
            </w:r>
            <w:r>
              <w:rPr>
                <w:i/>
                <w:szCs w:val="24"/>
                <w:lang w:eastAsia="lt-LT"/>
              </w:rPr>
              <w:t xml:space="preserve"> </w:t>
            </w:r>
          </w:p>
          <w:p w14:paraId="56A433AA" w14:textId="77777777" w:rsidR="00AB3672" w:rsidRPr="00135520" w:rsidRDefault="00AB3672" w:rsidP="00D455F3">
            <w:pPr>
              <w:rPr>
                <w:b/>
                <w:i/>
                <w:szCs w:val="24"/>
                <w:lang w:eastAsia="lt-LT"/>
              </w:rPr>
            </w:pPr>
            <w:r w:rsidRPr="00135520">
              <w:rPr>
                <w:b/>
                <w:i/>
                <w:szCs w:val="24"/>
                <w:lang w:eastAsia="lt-LT"/>
              </w:rPr>
              <w:t>I.</w:t>
            </w:r>
            <w:r w:rsidRPr="00135520">
              <w:rPr>
                <w:b/>
                <w:i/>
                <w:szCs w:val="24"/>
                <w:lang w:eastAsia="lt-LT"/>
              </w:rPr>
              <w:tab/>
              <w:t xml:space="preserve">Paklausos ir pasiūlos / poreikio / prielaidų pagrįstumas </w:t>
            </w:r>
          </w:p>
          <w:p w14:paraId="745ED1C1" w14:textId="77777777" w:rsidR="00AB3672" w:rsidRDefault="00AB3672" w:rsidP="00D455F3">
            <w:pPr>
              <w:jc w:val="both"/>
              <w:rPr>
                <w:szCs w:val="24"/>
                <w:lang w:eastAsia="lt-LT"/>
              </w:rPr>
            </w:pPr>
            <w:r>
              <w:rPr>
                <w:szCs w:val="24"/>
                <w:lang w:eastAsia="lt-LT"/>
              </w:rPr>
              <w:t xml:space="preserve">Gyventojų skaičius, pagrindinis šio investicinio Projekto paklausos rodiklis, tiek Utenos apskrityje, tiek Molėtų rajono savivaldybėje pastaraisiais metais nuolat mažėja, kaip ir daugumoje mažesniųjų Lietuvos savivaldybių. Nuo 2020 m. stebimas gyventojų skaičiaus mažėjimo tempo sulėtėjimas, greičiausiai įtakotas epidemiologinės situacijos pasaulyje ir Lietuvoje, tačiau sunku prognozuoti, ar ši stabilizacija bus ilgalaikė. Pagal investiciniame projekte (toliau - IP) pateiktą informaciją, </w:t>
            </w:r>
            <w:r w:rsidRPr="00C34C31">
              <w:rPr>
                <w:szCs w:val="24"/>
                <w:lang w:eastAsia="lt-LT"/>
              </w:rPr>
              <w:t>mažėjant bendram gyventojų skaičiui,</w:t>
            </w:r>
            <w:r>
              <w:rPr>
                <w:szCs w:val="24"/>
                <w:lang w:eastAsia="lt-LT"/>
              </w:rPr>
              <w:t xml:space="preserve"> atitinkamai</w:t>
            </w:r>
            <w:r w:rsidRPr="00C34C31">
              <w:rPr>
                <w:szCs w:val="24"/>
                <w:lang w:eastAsia="lt-LT"/>
              </w:rPr>
              <w:t xml:space="preserve"> mažėjo ir bendrojo ugdymo mokyklų mokinių skaičius</w:t>
            </w:r>
            <w:r>
              <w:rPr>
                <w:szCs w:val="24"/>
                <w:lang w:eastAsia="lt-LT"/>
              </w:rPr>
              <w:t xml:space="preserve"> - nuo</w:t>
            </w:r>
            <w:r w:rsidRPr="00C34C31">
              <w:rPr>
                <w:szCs w:val="24"/>
                <w:lang w:eastAsia="lt-LT"/>
              </w:rPr>
              <w:t xml:space="preserve"> 2016</w:t>
            </w:r>
            <w:r>
              <w:rPr>
                <w:szCs w:val="24"/>
                <w:lang w:eastAsia="lt-LT"/>
              </w:rPr>
              <w:t xml:space="preserve"> iki </w:t>
            </w:r>
            <w:r w:rsidRPr="00C34C31">
              <w:rPr>
                <w:szCs w:val="24"/>
                <w:lang w:eastAsia="lt-LT"/>
              </w:rPr>
              <w:t>2021 m. bendras mokinių skaičius sumažėjo 13,7 proc.</w:t>
            </w:r>
            <w:r>
              <w:rPr>
                <w:szCs w:val="24"/>
                <w:lang w:eastAsia="lt-LT"/>
              </w:rPr>
              <w:t xml:space="preserve"> </w:t>
            </w:r>
          </w:p>
          <w:p w14:paraId="74A1C083" w14:textId="77777777" w:rsidR="00AB3672" w:rsidRDefault="00AB3672" w:rsidP="00D455F3">
            <w:pPr>
              <w:jc w:val="both"/>
              <w:rPr>
                <w:szCs w:val="24"/>
                <w:lang w:eastAsia="lt-LT"/>
              </w:rPr>
            </w:pPr>
            <w:r>
              <w:rPr>
                <w:szCs w:val="24"/>
                <w:lang w:eastAsia="lt-LT"/>
              </w:rPr>
              <w:t xml:space="preserve">IP duomenimis, atitinkamos infrastruktūros pasiūla Molėtų rajono savivaldybėje (toliau – Savivaldybė) yra ribota (teniso, padelio, treniruoklių salės) arba jos nėra (baseinas), artimiausias baseinas – Utenoje (~35 km nuo Molėtų m.). </w:t>
            </w:r>
          </w:p>
          <w:p w14:paraId="7C6354E7" w14:textId="49D3595C" w:rsidR="00AB3672" w:rsidRDefault="00AB3672" w:rsidP="00D455F3">
            <w:pPr>
              <w:jc w:val="both"/>
              <w:rPr>
                <w:szCs w:val="24"/>
                <w:lang w:eastAsia="lt-LT"/>
              </w:rPr>
            </w:pPr>
            <w:r>
              <w:rPr>
                <w:szCs w:val="24"/>
                <w:lang w:eastAsia="lt-LT"/>
              </w:rPr>
              <w:t>Nepaisant gyventojų skaičiaus mažėjimo tendencijos, kokybiškų ir prieinamų sporto paslaugų pasiūla sukuria prielaidas gyventojų fiziniam aktyvumui, sveikatos būklės gerinimui, sudaromos galimybės įgyti ir tobulinti plaukimo įgūdžius vaikams, todėl iš esmės paslaugos poreikis yra pagrįstas, tačiau paklausos apimt</w:t>
            </w:r>
            <w:r w:rsidR="00FD4B58">
              <w:rPr>
                <w:szCs w:val="24"/>
                <w:lang w:eastAsia="lt-LT"/>
              </w:rPr>
              <w:t>ies</w:t>
            </w:r>
            <w:r w:rsidR="000E3F36">
              <w:rPr>
                <w:szCs w:val="24"/>
                <w:lang w:eastAsia="lt-LT"/>
              </w:rPr>
              <w:t xml:space="preserve"> prognozes</w:t>
            </w:r>
            <w:r>
              <w:rPr>
                <w:szCs w:val="24"/>
                <w:lang w:eastAsia="lt-LT"/>
              </w:rPr>
              <w:t xml:space="preserve"> sudėtinga </w:t>
            </w:r>
            <w:r w:rsidR="000E3F36">
              <w:rPr>
                <w:szCs w:val="24"/>
                <w:lang w:eastAsia="lt-LT"/>
              </w:rPr>
              <w:t>vertinti</w:t>
            </w:r>
            <w:r>
              <w:rPr>
                <w:szCs w:val="24"/>
                <w:lang w:eastAsia="lt-LT"/>
              </w:rPr>
              <w:t xml:space="preserve"> tiek dėl mažėjančio gyventojų skaičiaus, tiek dėl gana žemo vidutinių disponuojamųjų pajamų dydžio. </w:t>
            </w:r>
          </w:p>
          <w:p w14:paraId="09BD10BE" w14:textId="77777777" w:rsidR="00AB3672" w:rsidRDefault="00AB3672" w:rsidP="00D455F3">
            <w:pPr>
              <w:jc w:val="both"/>
              <w:rPr>
                <w:szCs w:val="24"/>
                <w:lang w:eastAsia="lt-LT"/>
              </w:rPr>
            </w:pPr>
          </w:p>
          <w:p w14:paraId="3537EF03" w14:textId="77777777" w:rsidR="00AB3672" w:rsidRPr="00135520" w:rsidRDefault="00AB3672" w:rsidP="00D455F3">
            <w:pPr>
              <w:rPr>
                <w:b/>
                <w:i/>
                <w:szCs w:val="24"/>
                <w:lang w:eastAsia="lt-LT"/>
              </w:rPr>
            </w:pPr>
            <w:r w:rsidRPr="00135520">
              <w:rPr>
                <w:b/>
                <w:i/>
                <w:szCs w:val="24"/>
                <w:lang w:eastAsia="lt-LT"/>
              </w:rPr>
              <w:t>II.</w:t>
            </w:r>
            <w:r w:rsidRPr="00135520">
              <w:rPr>
                <w:b/>
                <w:i/>
                <w:szCs w:val="24"/>
                <w:lang w:eastAsia="lt-LT"/>
              </w:rPr>
              <w:tab/>
              <w:t xml:space="preserve">Tikslo ir rezultato atitikimas sprendžiamai problemai </w:t>
            </w:r>
          </w:p>
          <w:p w14:paraId="3DD92373" w14:textId="62F1C149" w:rsidR="00AB3672" w:rsidRDefault="00AB3672" w:rsidP="00D455F3">
            <w:pPr>
              <w:jc w:val="both"/>
              <w:rPr>
                <w:szCs w:val="24"/>
              </w:rPr>
            </w:pPr>
            <w:r>
              <w:rPr>
                <w:szCs w:val="24"/>
              </w:rPr>
              <w:t>IP tikslas ir uždavinys suformuluoti pagrindinės problemos sprendimui. Projekto rezultatai turėtų būti orientuoti į paslaugos prieinamumo pokytį tikslinės g</w:t>
            </w:r>
            <w:r w:rsidR="00D455F3">
              <w:rPr>
                <w:szCs w:val="24"/>
              </w:rPr>
              <w:t>r</w:t>
            </w:r>
            <w:r>
              <w:rPr>
                <w:szCs w:val="24"/>
              </w:rPr>
              <w:t>upės atžvilgiu, tačiau iš esmės sąsaja tarp siekiamo rezultato ir sprendžiamos problemos aiški. Šiuo metu Savivaldybėje veikianti sporto infrastruktūra nepatenkina poreikių paslaugų pasirinkimui, planuojamo objekto poreikis pagrįstas.</w:t>
            </w:r>
          </w:p>
          <w:p w14:paraId="4E31D90E" w14:textId="77777777" w:rsidR="00AB3672" w:rsidRPr="00505946" w:rsidRDefault="00AB3672" w:rsidP="00D455F3">
            <w:pPr>
              <w:jc w:val="both"/>
              <w:rPr>
                <w:szCs w:val="24"/>
                <w:lang w:eastAsia="lt-LT"/>
              </w:rPr>
            </w:pPr>
          </w:p>
          <w:p w14:paraId="6960C59A" w14:textId="77777777" w:rsidR="00AB3672" w:rsidRDefault="00AB3672" w:rsidP="00D455F3">
            <w:pPr>
              <w:rPr>
                <w:b/>
                <w:i/>
                <w:szCs w:val="24"/>
                <w:lang w:eastAsia="lt-LT"/>
              </w:rPr>
            </w:pPr>
            <w:r w:rsidRPr="00135520">
              <w:rPr>
                <w:b/>
                <w:i/>
                <w:szCs w:val="24"/>
                <w:lang w:eastAsia="lt-LT"/>
              </w:rPr>
              <w:t>III.</w:t>
            </w:r>
            <w:r w:rsidRPr="00135520">
              <w:rPr>
                <w:b/>
                <w:i/>
                <w:szCs w:val="24"/>
                <w:lang w:eastAsia="lt-LT"/>
              </w:rPr>
              <w:tab/>
              <w:t xml:space="preserve">Pasirinkto analizės metodo pagrįstumas ir principo pasirinkimas </w:t>
            </w:r>
          </w:p>
          <w:p w14:paraId="408984C7" w14:textId="77777777" w:rsidR="00AB3672" w:rsidRPr="00D0650D" w:rsidRDefault="00AB3672" w:rsidP="00D455F3">
            <w:pPr>
              <w:jc w:val="both"/>
              <w:rPr>
                <w:szCs w:val="24"/>
                <w:lang w:eastAsia="lt-LT"/>
              </w:rPr>
            </w:pPr>
            <w:r>
              <w:rPr>
                <w:szCs w:val="24"/>
                <w:lang w:eastAsia="lt-LT"/>
              </w:rPr>
              <w:t xml:space="preserve">Tinkamai pasirinktas sąnaudų-naudos analizės (toliau – SNA) metodas, alternatyvos tarpusavyje lyginamos pagal ekonominius rodiklius. SNA </w:t>
            </w:r>
            <w:r w:rsidRPr="00893451">
              <w:rPr>
                <w:szCs w:val="24"/>
                <w:lang w:eastAsia="lt-LT"/>
              </w:rPr>
              <w:t xml:space="preserve">analizei </w:t>
            </w:r>
            <w:r>
              <w:rPr>
                <w:szCs w:val="24"/>
                <w:lang w:eastAsia="lt-LT"/>
              </w:rPr>
              <w:t xml:space="preserve">buvo </w:t>
            </w:r>
            <w:r w:rsidRPr="00893451">
              <w:rPr>
                <w:szCs w:val="24"/>
                <w:lang w:eastAsia="lt-LT"/>
              </w:rPr>
              <w:t>pasirink</w:t>
            </w:r>
            <w:r>
              <w:rPr>
                <w:szCs w:val="24"/>
                <w:lang w:eastAsia="lt-LT"/>
              </w:rPr>
              <w:t>tas efektyvumo principas</w:t>
            </w:r>
            <w:r w:rsidRPr="00893451">
              <w:rPr>
                <w:szCs w:val="24"/>
                <w:lang w:eastAsia="lt-LT"/>
              </w:rPr>
              <w:t>,</w:t>
            </w:r>
            <w:r>
              <w:rPr>
                <w:szCs w:val="24"/>
                <w:lang w:eastAsia="lt-LT"/>
              </w:rPr>
              <w:t xml:space="preserve"> nes nagrinėtinomis alternatyvomis siekiama tų pačių ar panašių rezultatų. Šio IP kontekste analizės metodas ir principas pasirinkti tinkamai. </w:t>
            </w:r>
          </w:p>
          <w:p w14:paraId="76B7AC58" w14:textId="77777777" w:rsidR="00AB3672" w:rsidRPr="00505946" w:rsidRDefault="00AB3672" w:rsidP="00D455F3">
            <w:pPr>
              <w:rPr>
                <w:szCs w:val="24"/>
                <w:lang w:eastAsia="lt-LT"/>
              </w:rPr>
            </w:pPr>
          </w:p>
          <w:p w14:paraId="7F5B94F1" w14:textId="77777777" w:rsidR="00AB3672" w:rsidRPr="00135520" w:rsidRDefault="00AB3672" w:rsidP="00D455F3">
            <w:pPr>
              <w:rPr>
                <w:b/>
                <w:i/>
                <w:szCs w:val="24"/>
                <w:lang w:eastAsia="lt-LT"/>
              </w:rPr>
            </w:pPr>
            <w:r w:rsidRPr="00135520">
              <w:rPr>
                <w:b/>
                <w:i/>
                <w:szCs w:val="24"/>
                <w:lang w:eastAsia="lt-LT"/>
              </w:rPr>
              <w:t>IV.</w:t>
            </w:r>
            <w:r w:rsidRPr="00135520">
              <w:rPr>
                <w:b/>
                <w:i/>
                <w:szCs w:val="24"/>
                <w:lang w:eastAsia="lt-LT"/>
              </w:rPr>
              <w:tab/>
              <w:t>Nagrinėtų alternatyvų korektiškumas. Pasirinktos alternatyvos pagrįstumas</w:t>
            </w:r>
          </w:p>
          <w:p w14:paraId="776DCDD2" w14:textId="77777777" w:rsidR="00AB3672" w:rsidRDefault="00AB3672" w:rsidP="00D455F3">
            <w:pPr>
              <w:jc w:val="both"/>
              <w:rPr>
                <w:szCs w:val="24"/>
              </w:rPr>
            </w:pPr>
            <w:r>
              <w:rPr>
                <w:szCs w:val="24"/>
              </w:rPr>
              <w:t xml:space="preserve">MRSA jau įgyvendina baseino korpuso statybos darbus (I-asis statybos darbų etapas), projektas finansuojamas iš savivaldybės bei valstybės lėšų. Šio Projekto apimtyje numatomas tik II statybos darbų etapas – dalies patalpų (sporto klubo, rūbinių, kavinės) įrengimas bei reikalingos įrangos ir baldų įsigijimas bei paslaugų visoje infrastruktūroje teikimas. Tokiu atveju, alternatyvų pasirinkimas yra apribotas, nes sprendimas dėl projekto įgyvendinimo jau buvo priimtas anksčiau. </w:t>
            </w:r>
          </w:p>
          <w:p w14:paraId="4A7DDD43" w14:textId="77777777" w:rsidR="00AB3672" w:rsidRDefault="00AB3672" w:rsidP="00D455F3">
            <w:pPr>
              <w:jc w:val="both"/>
              <w:rPr>
                <w:szCs w:val="24"/>
              </w:rPr>
            </w:pPr>
            <w:r>
              <w:rPr>
                <w:szCs w:val="24"/>
              </w:rPr>
              <w:t xml:space="preserve">Alternatyvos suformuotos numatant vienodą investicijų apimtį, tačiau skirtingas paslaugų apimtis: </w:t>
            </w:r>
            <w:r w:rsidRPr="00AA67B2">
              <w:rPr>
                <w:szCs w:val="24"/>
              </w:rPr>
              <w:t xml:space="preserve">I alternatyva – </w:t>
            </w:r>
            <w:r>
              <w:rPr>
                <w:szCs w:val="24"/>
              </w:rPr>
              <w:t>b</w:t>
            </w:r>
            <w:r w:rsidRPr="00AA67B2">
              <w:rPr>
                <w:szCs w:val="24"/>
              </w:rPr>
              <w:t>aseino koncesija</w:t>
            </w:r>
            <w:r>
              <w:rPr>
                <w:szCs w:val="24"/>
              </w:rPr>
              <w:t xml:space="preserve">, </w:t>
            </w:r>
            <w:r w:rsidRPr="00AA67B2">
              <w:rPr>
                <w:szCs w:val="24"/>
              </w:rPr>
              <w:t xml:space="preserve">II alternatyva – </w:t>
            </w:r>
            <w:r>
              <w:rPr>
                <w:szCs w:val="24"/>
              </w:rPr>
              <w:t>b</w:t>
            </w:r>
            <w:r w:rsidRPr="00AA67B2">
              <w:rPr>
                <w:szCs w:val="24"/>
              </w:rPr>
              <w:t>aseino ir teniso kortų koncesija.</w:t>
            </w:r>
            <w:r>
              <w:rPr>
                <w:szCs w:val="24"/>
              </w:rPr>
              <w:t xml:space="preserve"> Teniso kortai šalia įgyvendinamo objekto jau įrengti ir veikia, jų būklė, IP duomenimis, gera, todėl investicijų papildomai nenumatoma. </w:t>
            </w:r>
          </w:p>
          <w:p w14:paraId="599E2370" w14:textId="77777777" w:rsidR="00AB3672" w:rsidRPr="0008112E" w:rsidRDefault="00AB3672" w:rsidP="00D455F3">
            <w:pPr>
              <w:jc w:val="both"/>
              <w:rPr>
                <w:szCs w:val="24"/>
                <w:lang w:eastAsia="lt-LT"/>
              </w:rPr>
            </w:pPr>
            <w:r>
              <w:rPr>
                <w:szCs w:val="24"/>
              </w:rPr>
              <w:lastRenderedPageBreak/>
              <w:t xml:space="preserve">Alternatyvų </w:t>
            </w:r>
            <w:r w:rsidRPr="0009265A">
              <w:rPr>
                <w:szCs w:val="24"/>
              </w:rPr>
              <w:t>palyginim</w:t>
            </w:r>
            <w:r>
              <w:rPr>
                <w:szCs w:val="24"/>
              </w:rPr>
              <w:t xml:space="preserve">as IP atliekamas pagal </w:t>
            </w:r>
            <w:r w:rsidRPr="0009265A">
              <w:rPr>
                <w:szCs w:val="24"/>
              </w:rPr>
              <w:t>socialinių ekonominių rodiklių rezultatus</w:t>
            </w:r>
            <w:r>
              <w:rPr>
                <w:szCs w:val="24"/>
              </w:rPr>
              <w:t>, pasirinkta alternatyva turinti aukštesnius ekonominės grąžos rodiklius</w:t>
            </w:r>
            <w:r w:rsidRPr="0009265A">
              <w:rPr>
                <w:szCs w:val="24"/>
              </w:rPr>
              <w:t>.</w:t>
            </w:r>
          </w:p>
        </w:tc>
      </w:tr>
    </w:tbl>
    <w:p w14:paraId="465F0544" w14:textId="77777777" w:rsidR="00AB3672" w:rsidRDefault="00AB3672">
      <w:pPr>
        <w:rPr>
          <w:b/>
          <w:szCs w:val="24"/>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436"/>
        <w:gridCol w:w="3436"/>
        <w:gridCol w:w="3437"/>
      </w:tblGrid>
      <w:tr w:rsidR="00AB3672" w:rsidRPr="00AB3672" w14:paraId="72731BE8" w14:textId="77777777" w:rsidTr="00D455F3">
        <w:tc>
          <w:tcPr>
            <w:tcW w:w="13745" w:type="dxa"/>
            <w:gridSpan w:val="4"/>
            <w:shd w:val="clear" w:color="auto" w:fill="D9D9D9" w:themeFill="background1" w:themeFillShade="D9"/>
          </w:tcPr>
          <w:p w14:paraId="0EA887EC" w14:textId="77777777" w:rsidR="00AB3672" w:rsidRPr="00AB3672" w:rsidRDefault="00AB3672" w:rsidP="00AB3672">
            <w:pPr>
              <w:ind w:left="720" w:hanging="360"/>
              <w:jc w:val="center"/>
              <w:rPr>
                <w:b/>
                <w:szCs w:val="24"/>
                <w:lang w:eastAsia="lt-LT"/>
              </w:rPr>
            </w:pPr>
            <w:r w:rsidRPr="00AB3672">
              <w:rPr>
                <w:b/>
                <w:szCs w:val="24"/>
                <w:lang w:eastAsia="lt-LT"/>
              </w:rPr>
              <w:t>2.</w:t>
            </w:r>
            <w:r w:rsidRPr="00AB3672">
              <w:rPr>
                <w:b/>
                <w:szCs w:val="24"/>
                <w:lang w:eastAsia="lt-LT"/>
              </w:rPr>
              <w:tab/>
              <w:t>Investicijų projekto finansiniai duomenys (realios vertės)</w:t>
            </w:r>
          </w:p>
        </w:tc>
      </w:tr>
      <w:tr w:rsidR="00AB3672" w:rsidRPr="00AB3672" w14:paraId="22584FC7" w14:textId="77777777" w:rsidTr="00D455F3">
        <w:tc>
          <w:tcPr>
            <w:tcW w:w="3436" w:type="dxa"/>
            <w:shd w:val="clear" w:color="auto" w:fill="D9D9D9" w:themeFill="background1" w:themeFillShade="D9"/>
          </w:tcPr>
          <w:p w14:paraId="450295CE" w14:textId="77777777" w:rsidR="00AB3672" w:rsidRPr="00AB3672" w:rsidRDefault="00AB3672" w:rsidP="00AB3672"/>
        </w:tc>
        <w:tc>
          <w:tcPr>
            <w:tcW w:w="3436" w:type="dxa"/>
            <w:shd w:val="clear" w:color="auto" w:fill="D9D9D9" w:themeFill="background1" w:themeFillShade="D9"/>
          </w:tcPr>
          <w:p w14:paraId="0F39E9DD" w14:textId="77777777" w:rsidR="00AB3672" w:rsidRPr="00AB3672" w:rsidRDefault="00AB3672" w:rsidP="00AB3672">
            <w:pPr>
              <w:jc w:val="center"/>
              <w:rPr>
                <w:b/>
                <w:szCs w:val="24"/>
                <w:lang w:eastAsia="lt-LT"/>
              </w:rPr>
            </w:pPr>
            <w:r w:rsidRPr="00AB3672">
              <w:rPr>
                <w:b/>
                <w:szCs w:val="24"/>
                <w:lang w:eastAsia="lt-LT"/>
              </w:rPr>
              <w:t>Finansinio srauto vertė (be PVM)</w:t>
            </w:r>
          </w:p>
        </w:tc>
        <w:tc>
          <w:tcPr>
            <w:tcW w:w="3436" w:type="dxa"/>
            <w:shd w:val="clear" w:color="auto" w:fill="D9D9D9" w:themeFill="background1" w:themeFillShade="D9"/>
          </w:tcPr>
          <w:p w14:paraId="3BCD7796" w14:textId="77777777" w:rsidR="00AB3672" w:rsidRPr="00AB3672" w:rsidRDefault="00AB3672" w:rsidP="00AB3672">
            <w:pPr>
              <w:jc w:val="center"/>
              <w:rPr>
                <w:b/>
                <w:szCs w:val="24"/>
                <w:lang w:eastAsia="lt-LT"/>
              </w:rPr>
            </w:pPr>
            <w:r w:rsidRPr="00AB3672">
              <w:rPr>
                <w:b/>
                <w:szCs w:val="24"/>
                <w:lang w:eastAsia="lt-LT"/>
              </w:rPr>
              <w:t>Rizikų vertė (be PVM)</w:t>
            </w:r>
          </w:p>
        </w:tc>
        <w:tc>
          <w:tcPr>
            <w:tcW w:w="3437" w:type="dxa"/>
            <w:shd w:val="clear" w:color="auto" w:fill="D9D9D9" w:themeFill="background1" w:themeFillShade="D9"/>
          </w:tcPr>
          <w:p w14:paraId="54718717" w14:textId="77777777" w:rsidR="00AB3672" w:rsidRPr="00AB3672" w:rsidRDefault="00AB3672" w:rsidP="00AB3672">
            <w:pPr>
              <w:jc w:val="center"/>
              <w:rPr>
                <w:b/>
                <w:szCs w:val="24"/>
                <w:lang w:eastAsia="lt-LT"/>
              </w:rPr>
            </w:pPr>
            <w:r w:rsidRPr="00AB3672">
              <w:rPr>
                <w:b/>
                <w:szCs w:val="24"/>
                <w:lang w:eastAsia="lt-LT"/>
              </w:rPr>
              <w:t>Finansinio srauto su rizika vertė (be PVM)</w:t>
            </w:r>
          </w:p>
        </w:tc>
      </w:tr>
      <w:tr w:rsidR="00AB3672" w:rsidRPr="00AB3672" w14:paraId="7F9D868D" w14:textId="77777777" w:rsidTr="00D455F3">
        <w:tc>
          <w:tcPr>
            <w:tcW w:w="3436" w:type="dxa"/>
            <w:shd w:val="clear" w:color="auto" w:fill="D9D9D9" w:themeFill="background1" w:themeFillShade="D9"/>
          </w:tcPr>
          <w:p w14:paraId="30F957A4" w14:textId="77777777" w:rsidR="00AB3672" w:rsidRPr="00AB3672" w:rsidRDefault="00AB3672" w:rsidP="00AB3672">
            <w:pPr>
              <w:rPr>
                <w:b/>
                <w:szCs w:val="24"/>
                <w:lang w:eastAsia="lt-LT"/>
              </w:rPr>
            </w:pPr>
            <w:r w:rsidRPr="00AB3672">
              <w:rPr>
                <w:b/>
                <w:szCs w:val="24"/>
                <w:lang w:eastAsia="lt-LT"/>
              </w:rPr>
              <w:t xml:space="preserve">2.1. Kapitalo išlaidos </w:t>
            </w:r>
          </w:p>
        </w:tc>
        <w:tc>
          <w:tcPr>
            <w:tcW w:w="3436" w:type="dxa"/>
            <w:tcBorders>
              <w:top w:val="nil"/>
              <w:left w:val="nil"/>
              <w:bottom w:val="single" w:sz="8" w:space="0" w:color="auto"/>
              <w:right w:val="single" w:sz="8" w:space="0" w:color="auto"/>
            </w:tcBorders>
            <w:shd w:val="clear" w:color="auto" w:fill="auto"/>
            <w:vAlign w:val="center"/>
          </w:tcPr>
          <w:p w14:paraId="68A3F9F4" w14:textId="77777777" w:rsidR="00AB3672" w:rsidRPr="00AB3672" w:rsidRDefault="00AB3672" w:rsidP="00AB3672">
            <w:pPr>
              <w:jc w:val="center"/>
              <w:rPr>
                <w:b/>
                <w:szCs w:val="24"/>
                <w:lang w:eastAsia="lt-LT"/>
              </w:rPr>
            </w:pPr>
            <w:r w:rsidRPr="00AB3672">
              <w:rPr>
                <w:b/>
                <w:szCs w:val="24"/>
                <w:lang w:eastAsia="lt-LT"/>
              </w:rPr>
              <w:t>617 732</w:t>
            </w:r>
          </w:p>
        </w:tc>
        <w:tc>
          <w:tcPr>
            <w:tcW w:w="3436" w:type="dxa"/>
            <w:tcBorders>
              <w:top w:val="nil"/>
              <w:left w:val="nil"/>
              <w:bottom w:val="single" w:sz="8" w:space="0" w:color="auto"/>
              <w:right w:val="single" w:sz="8" w:space="0" w:color="auto"/>
            </w:tcBorders>
            <w:shd w:val="clear" w:color="auto" w:fill="auto"/>
            <w:vAlign w:val="center"/>
          </w:tcPr>
          <w:p w14:paraId="75B8FB80" w14:textId="77777777" w:rsidR="00AB3672" w:rsidRPr="00AB3672" w:rsidRDefault="00AB3672" w:rsidP="00AB3672">
            <w:pPr>
              <w:jc w:val="center"/>
              <w:rPr>
                <w:b/>
              </w:rPr>
            </w:pPr>
            <w:r w:rsidRPr="00AB3672">
              <w:rPr>
                <w:b/>
              </w:rPr>
              <w:t>184 555</w:t>
            </w:r>
          </w:p>
        </w:tc>
        <w:tc>
          <w:tcPr>
            <w:tcW w:w="3437" w:type="dxa"/>
            <w:tcBorders>
              <w:top w:val="nil"/>
              <w:left w:val="nil"/>
              <w:bottom w:val="single" w:sz="8" w:space="0" w:color="auto"/>
              <w:right w:val="single" w:sz="8" w:space="0" w:color="auto"/>
            </w:tcBorders>
            <w:shd w:val="clear" w:color="auto" w:fill="auto"/>
          </w:tcPr>
          <w:p w14:paraId="549552FD" w14:textId="77777777" w:rsidR="00AB3672" w:rsidRPr="00AB3672" w:rsidRDefault="00AB3672" w:rsidP="00AB3672">
            <w:pPr>
              <w:jc w:val="center"/>
              <w:rPr>
                <w:b/>
                <w:szCs w:val="24"/>
                <w:lang w:eastAsia="lt-LT"/>
              </w:rPr>
            </w:pPr>
            <w:r w:rsidRPr="00AB3672">
              <w:rPr>
                <w:b/>
              </w:rPr>
              <w:t>802 287</w:t>
            </w:r>
          </w:p>
        </w:tc>
      </w:tr>
      <w:tr w:rsidR="00AB3672" w:rsidRPr="00AB3672" w14:paraId="2F10D023" w14:textId="77777777" w:rsidTr="00D455F3">
        <w:tc>
          <w:tcPr>
            <w:tcW w:w="3436" w:type="dxa"/>
            <w:shd w:val="clear" w:color="auto" w:fill="D9D9D9" w:themeFill="background1" w:themeFillShade="D9"/>
          </w:tcPr>
          <w:p w14:paraId="593FDCD6" w14:textId="77777777" w:rsidR="00AB3672" w:rsidRPr="00AB3672" w:rsidRDefault="00AB3672" w:rsidP="00AB3672">
            <w:pPr>
              <w:rPr>
                <w:szCs w:val="24"/>
                <w:lang w:eastAsia="lt-LT"/>
              </w:rPr>
            </w:pPr>
            <w:r w:rsidRPr="00AB3672">
              <w:rPr>
                <w:szCs w:val="24"/>
                <w:lang w:eastAsia="lt-LT"/>
              </w:rPr>
              <w:t>2.1.1. Investicijos</w:t>
            </w:r>
          </w:p>
        </w:tc>
        <w:tc>
          <w:tcPr>
            <w:tcW w:w="3436" w:type="dxa"/>
            <w:tcBorders>
              <w:top w:val="nil"/>
              <w:left w:val="nil"/>
              <w:bottom w:val="single" w:sz="8" w:space="0" w:color="auto"/>
              <w:right w:val="single" w:sz="8" w:space="0" w:color="auto"/>
            </w:tcBorders>
            <w:shd w:val="clear" w:color="auto" w:fill="auto"/>
            <w:vAlign w:val="center"/>
          </w:tcPr>
          <w:p w14:paraId="0207E346" w14:textId="77777777" w:rsidR="00AB3672" w:rsidRPr="00AB3672" w:rsidRDefault="00AB3672" w:rsidP="00AB3672">
            <w:pPr>
              <w:jc w:val="center"/>
            </w:pPr>
            <w:r w:rsidRPr="00AB3672">
              <w:t>468 362</w:t>
            </w:r>
          </w:p>
        </w:tc>
        <w:tc>
          <w:tcPr>
            <w:tcW w:w="3436" w:type="dxa"/>
            <w:tcBorders>
              <w:top w:val="nil"/>
              <w:left w:val="nil"/>
              <w:bottom w:val="single" w:sz="8" w:space="0" w:color="auto"/>
              <w:right w:val="single" w:sz="8" w:space="0" w:color="auto"/>
            </w:tcBorders>
            <w:shd w:val="clear" w:color="auto" w:fill="auto"/>
            <w:vAlign w:val="center"/>
          </w:tcPr>
          <w:p w14:paraId="03A6ACA1" w14:textId="77777777" w:rsidR="00AB3672" w:rsidRPr="00AB3672" w:rsidRDefault="00AB3672" w:rsidP="00AB3672">
            <w:pPr>
              <w:jc w:val="center"/>
              <w:rPr>
                <w:szCs w:val="24"/>
                <w:lang w:eastAsia="lt-LT"/>
              </w:rPr>
            </w:pPr>
            <w:r w:rsidRPr="00AB3672">
              <w:rPr>
                <w:szCs w:val="24"/>
                <w:lang w:eastAsia="lt-LT"/>
              </w:rPr>
              <w:t>141 304</w:t>
            </w:r>
          </w:p>
        </w:tc>
        <w:tc>
          <w:tcPr>
            <w:tcW w:w="3437" w:type="dxa"/>
            <w:tcBorders>
              <w:top w:val="nil"/>
              <w:left w:val="nil"/>
              <w:bottom w:val="single" w:sz="8" w:space="0" w:color="auto"/>
              <w:right w:val="single" w:sz="8" w:space="0" w:color="auto"/>
            </w:tcBorders>
            <w:shd w:val="clear" w:color="auto" w:fill="auto"/>
          </w:tcPr>
          <w:p w14:paraId="2C3958CF" w14:textId="77777777" w:rsidR="00AB3672" w:rsidRPr="00AB3672" w:rsidRDefault="00AB3672" w:rsidP="00AB3672">
            <w:pPr>
              <w:jc w:val="center"/>
              <w:rPr>
                <w:szCs w:val="24"/>
                <w:lang w:eastAsia="lt-LT"/>
              </w:rPr>
            </w:pPr>
            <w:r w:rsidRPr="00AB3672">
              <w:t>609 666</w:t>
            </w:r>
          </w:p>
        </w:tc>
      </w:tr>
      <w:tr w:rsidR="00AB3672" w:rsidRPr="00AB3672" w14:paraId="33B1A86E" w14:textId="77777777" w:rsidTr="00D455F3">
        <w:tc>
          <w:tcPr>
            <w:tcW w:w="3436" w:type="dxa"/>
            <w:shd w:val="clear" w:color="auto" w:fill="D9D9D9" w:themeFill="background1" w:themeFillShade="D9"/>
          </w:tcPr>
          <w:p w14:paraId="330D9C3B" w14:textId="77777777" w:rsidR="00AB3672" w:rsidRPr="00AB3672" w:rsidRDefault="00AB3672" w:rsidP="00AB3672">
            <w:pPr>
              <w:rPr>
                <w:szCs w:val="24"/>
                <w:lang w:eastAsia="lt-LT"/>
              </w:rPr>
            </w:pPr>
            <w:r w:rsidRPr="00AB3672">
              <w:rPr>
                <w:szCs w:val="24"/>
                <w:lang w:eastAsia="lt-LT"/>
              </w:rPr>
              <w:t xml:space="preserve">2.1.2. Reinvesticijos </w:t>
            </w:r>
          </w:p>
        </w:tc>
        <w:tc>
          <w:tcPr>
            <w:tcW w:w="3436" w:type="dxa"/>
            <w:tcBorders>
              <w:top w:val="nil"/>
              <w:left w:val="nil"/>
              <w:bottom w:val="single" w:sz="8" w:space="0" w:color="auto"/>
              <w:right w:val="single" w:sz="8" w:space="0" w:color="auto"/>
            </w:tcBorders>
            <w:shd w:val="clear" w:color="auto" w:fill="auto"/>
            <w:vAlign w:val="center"/>
          </w:tcPr>
          <w:p w14:paraId="2C2F4689" w14:textId="77777777" w:rsidR="00AB3672" w:rsidRPr="00AB3672" w:rsidRDefault="00AB3672" w:rsidP="00AB3672">
            <w:pPr>
              <w:jc w:val="center"/>
            </w:pPr>
            <w:r w:rsidRPr="00AB3672">
              <w:t>149 369</w:t>
            </w:r>
          </w:p>
        </w:tc>
        <w:tc>
          <w:tcPr>
            <w:tcW w:w="3436" w:type="dxa"/>
            <w:tcBorders>
              <w:top w:val="nil"/>
              <w:left w:val="nil"/>
              <w:bottom w:val="single" w:sz="8" w:space="0" w:color="auto"/>
              <w:right w:val="single" w:sz="8" w:space="0" w:color="auto"/>
            </w:tcBorders>
            <w:shd w:val="clear" w:color="auto" w:fill="auto"/>
            <w:vAlign w:val="center"/>
          </w:tcPr>
          <w:p w14:paraId="2CB1AF5A" w14:textId="77777777" w:rsidR="00AB3672" w:rsidRPr="00AB3672" w:rsidRDefault="00AB3672" w:rsidP="00AB3672">
            <w:pPr>
              <w:jc w:val="center"/>
              <w:rPr>
                <w:szCs w:val="24"/>
                <w:lang w:eastAsia="lt-LT"/>
              </w:rPr>
            </w:pPr>
            <w:r w:rsidRPr="00AB3672">
              <w:rPr>
                <w:szCs w:val="24"/>
                <w:lang w:eastAsia="lt-LT"/>
              </w:rPr>
              <w:t>43 251</w:t>
            </w:r>
          </w:p>
        </w:tc>
        <w:tc>
          <w:tcPr>
            <w:tcW w:w="3437" w:type="dxa"/>
            <w:tcBorders>
              <w:top w:val="nil"/>
              <w:left w:val="nil"/>
              <w:bottom w:val="single" w:sz="8" w:space="0" w:color="auto"/>
              <w:right w:val="single" w:sz="8" w:space="0" w:color="auto"/>
            </w:tcBorders>
            <w:shd w:val="clear" w:color="auto" w:fill="auto"/>
          </w:tcPr>
          <w:p w14:paraId="37A0ED05" w14:textId="77777777" w:rsidR="00AB3672" w:rsidRPr="00AB3672" w:rsidRDefault="00AB3672" w:rsidP="00AB3672">
            <w:pPr>
              <w:jc w:val="center"/>
              <w:rPr>
                <w:szCs w:val="24"/>
                <w:lang w:eastAsia="lt-LT"/>
              </w:rPr>
            </w:pPr>
            <w:r w:rsidRPr="00AB3672">
              <w:t>192 620</w:t>
            </w:r>
          </w:p>
        </w:tc>
      </w:tr>
      <w:tr w:rsidR="00AB3672" w:rsidRPr="00AB3672" w14:paraId="370B797E" w14:textId="77777777" w:rsidTr="00D455F3">
        <w:tc>
          <w:tcPr>
            <w:tcW w:w="3436" w:type="dxa"/>
            <w:shd w:val="clear" w:color="auto" w:fill="D9D9D9" w:themeFill="background1" w:themeFillShade="D9"/>
          </w:tcPr>
          <w:p w14:paraId="41974A65" w14:textId="77777777" w:rsidR="00AB3672" w:rsidRPr="00AB3672" w:rsidRDefault="00AB3672" w:rsidP="00AB3672">
            <w:pPr>
              <w:rPr>
                <w:b/>
                <w:szCs w:val="24"/>
                <w:lang w:eastAsia="lt-LT"/>
              </w:rPr>
            </w:pPr>
            <w:r w:rsidRPr="00AB3672">
              <w:rPr>
                <w:b/>
                <w:szCs w:val="24"/>
                <w:lang w:eastAsia="lt-LT"/>
              </w:rPr>
              <w:t>2.2. Investicijų likutinė vertė</w:t>
            </w:r>
          </w:p>
        </w:tc>
        <w:tc>
          <w:tcPr>
            <w:tcW w:w="3436" w:type="dxa"/>
            <w:tcBorders>
              <w:top w:val="nil"/>
              <w:left w:val="nil"/>
              <w:bottom w:val="single" w:sz="8" w:space="0" w:color="auto"/>
              <w:right w:val="single" w:sz="8" w:space="0" w:color="auto"/>
            </w:tcBorders>
            <w:shd w:val="clear" w:color="auto" w:fill="auto"/>
            <w:vAlign w:val="center"/>
          </w:tcPr>
          <w:p w14:paraId="640DD4A3" w14:textId="77777777" w:rsidR="00AB3672" w:rsidRPr="00AB3672" w:rsidRDefault="00AB3672" w:rsidP="00AB3672">
            <w:pPr>
              <w:jc w:val="center"/>
              <w:rPr>
                <w:b/>
              </w:rPr>
            </w:pPr>
            <w:r w:rsidRPr="00AB3672">
              <w:rPr>
                <w:b/>
              </w:rPr>
              <w:t>75 906</w:t>
            </w:r>
          </w:p>
        </w:tc>
        <w:tc>
          <w:tcPr>
            <w:tcW w:w="3436" w:type="dxa"/>
            <w:tcBorders>
              <w:top w:val="nil"/>
              <w:left w:val="nil"/>
              <w:bottom w:val="single" w:sz="8" w:space="0" w:color="auto"/>
              <w:right w:val="single" w:sz="8" w:space="0" w:color="auto"/>
            </w:tcBorders>
            <w:shd w:val="clear" w:color="auto" w:fill="auto"/>
            <w:vAlign w:val="center"/>
          </w:tcPr>
          <w:p w14:paraId="01A36A27" w14:textId="77777777" w:rsidR="00AB3672" w:rsidRPr="00AB3672" w:rsidRDefault="00AB3672" w:rsidP="00AB3672">
            <w:pPr>
              <w:jc w:val="center"/>
              <w:rPr>
                <w:b/>
                <w:szCs w:val="24"/>
                <w:lang w:eastAsia="lt-LT"/>
              </w:rPr>
            </w:pPr>
            <w:r w:rsidRPr="00AB3672">
              <w:rPr>
                <w:b/>
                <w:szCs w:val="24"/>
                <w:lang w:eastAsia="lt-LT"/>
              </w:rPr>
              <w:t>24 987</w:t>
            </w:r>
          </w:p>
        </w:tc>
        <w:tc>
          <w:tcPr>
            <w:tcW w:w="3437" w:type="dxa"/>
            <w:tcBorders>
              <w:top w:val="nil"/>
              <w:left w:val="nil"/>
              <w:bottom w:val="single" w:sz="8" w:space="0" w:color="auto"/>
              <w:right w:val="single" w:sz="8" w:space="0" w:color="auto"/>
            </w:tcBorders>
            <w:shd w:val="clear" w:color="auto" w:fill="auto"/>
          </w:tcPr>
          <w:p w14:paraId="752C1416" w14:textId="77777777" w:rsidR="00AB3672" w:rsidRPr="00AB3672" w:rsidRDefault="00AB3672" w:rsidP="00AB3672">
            <w:pPr>
              <w:jc w:val="center"/>
              <w:rPr>
                <w:b/>
                <w:szCs w:val="24"/>
                <w:lang w:eastAsia="lt-LT"/>
              </w:rPr>
            </w:pPr>
            <w:r w:rsidRPr="00AB3672">
              <w:rPr>
                <w:b/>
              </w:rPr>
              <w:t>100 893</w:t>
            </w:r>
          </w:p>
        </w:tc>
      </w:tr>
      <w:tr w:rsidR="00AB3672" w:rsidRPr="00AB3672" w14:paraId="50A98977" w14:textId="77777777" w:rsidTr="00D455F3">
        <w:tc>
          <w:tcPr>
            <w:tcW w:w="3436" w:type="dxa"/>
            <w:shd w:val="clear" w:color="auto" w:fill="D9D9D9" w:themeFill="background1" w:themeFillShade="D9"/>
          </w:tcPr>
          <w:p w14:paraId="4E40B28F" w14:textId="77777777" w:rsidR="00AB3672" w:rsidRPr="00AB3672" w:rsidRDefault="00AB3672" w:rsidP="00AB3672">
            <w:pPr>
              <w:rPr>
                <w:b/>
                <w:szCs w:val="24"/>
                <w:lang w:eastAsia="lt-LT"/>
              </w:rPr>
            </w:pPr>
            <w:r w:rsidRPr="00AB3672">
              <w:rPr>
                <w:b/>
                <w:szCs w:val="24"/>
                <w:lang w:eastAsia="lt-LT"/>
              </w:rPr>
              <w:t>2.3. Veiklos pajamos</w:t>
            </w:r>
          </w:p>
        </w:tc>
        <w:tc>
          <w:tcPr>
            <w:tcW w:w="3436" w:type="dxa"/>
            <w:tcBorders>
              <w:top w:val="nil"/>
              <w:left w:val="nil"/>
              <w:bottom w:val="single" w:sz="8" w:space="0" w:color="auto"/>
              <w:right w:val="single" w:sz="8" w:space="0" w:color="auto"/>
            </w:tcBorders>
            <w:shd w:val="clear" w:color="auto" w:fill="auto"/>
            <w:vAlign w:val="center"/>
          </w:tcPr>
          <w:p w14:paraId="230F0559" w14:textId="77777777" w:rsidR="00AB3672" w:rsidRPr="00AB3672" w:rsidRDefault="00AB3672" w:rsidP="00AB3672">
            <w:pPr>
              <w:jc w:val="center"/>
              <w:rPr>
                <w:b/>
                <w:szCs w:val="24"/>
                <w:lang w:eastAsia="lt-LT"/>
              </w:rPr>
            </w:pPr>
            <w:r w:rsidRPr="00AB3672">
              <w:rPr>
                <w:b/>
                <w:szCs w:val="24"/>
                <w:lang w:eastAsia="lt-LT"/>
              </w:rPr>
              <w:t>3 654 165</w:t>
            </w:r>
          </w:p>
        </w:tc>
        <w:tc>
          <w:tcPr>
            <w:tcW w:w="3436" w:type="dxa"/>
            <w:tcBorders>
              <w:top w:val="nil"/>
              <w:left w:val="nil"/>
              <w:bottom w:val="single" w:sz="8" w:space="0" w:color="auto"/>
              <w:right w:val="single" w:sz="8" w:space="0" w:color="auto"/>
            </w:tcBorders>
            <w:shd w:val="clear" w:color="auto" w:fill="auto"/>
            <w:vAlign w:val="center"/>
          </w:tcPr>
          <w:p w14:paraId="124CE24E" w14:textId="77777777" w:rsidR="00AB3672" w:rsidRPr="00AB3672" w:rsidRDefault="00AB3672" w:rsidP="00AB3672">
            <w:pPr>
              <w:jc w:val="center"/>
              <w:rPr>
                <w:b/>
              </w:rPr>
            </w:pPr>
            <w:r w:rsidRPr="00AB3672">
              <w:rPr>
                <w:b/>
              </w:rPr>
              <w:t>958 123</w:t>
            </w:r>
          </w:p>
        </w:tc>
        <w:tc>
          <w:tcPr>
            <w:tcW w:w="3437" w:type="dxa"/>
            <w:tcBorders>
              <w:top w:val="nil"/>
              <w:left w:val="nil"/>
              <w:bottom w:val="single" w:sz="8" w:space="0" w:color="auto"/>
              <w:right w:val="single" w:sz="8" w:space="0" w:color="auto"/>
            </w:tcBorders>
            <w:shd w:val="clear" w:color="auto" w:fill="auto"/>
          </w:tcPr>
          <w:p w14:paraId="2A927BF1" w14:textId="77777777" w:rsidR="00AB3672" w:rsidRPr="00AB3672" w:rsidRDefault="00AB3672" w:rsidP="00AB3672">
            <w:pPr>
              <w:jc w:val="center"/>
              <w:rPr>
                <w:b/>
              </w:rPr>
            </w:pPr>
            <w:r w:rsidRPr="00AB3672">
              <w:rPr>
                <w:b/>
              </w:rPr>
              <w:t>2 696 042</w:t>
            </w:r>
          </w:p>
        </w:tc>
      </w:tr>
      <w:tr w:rsidR="00AB3672" w:rsidRPr="00AB3672" w14:paraId="72638DB2" w14:textId="77777777" w:rsidTr="00D455F3">
        <w:tc>
          <w:tcPr>
            <w:tcW w:w="3436" w:type="dxa"/>
            <w:shd w:val="clear" w:color="auto" w:fill="D9D9D9" w:themeFill="background1" w:themeFillShade="D9"/>
          </w:tcPr>
          <w:p w14:paraId="130B8DEC" w14:textId="77777777" w:rsidR="00AB3672" w:rsidRPr="00AB3672" w:rsidRDefault="00AB3672" w:rsidP="00AB3672">
            <w:pPr>
              <w:rPr>
                <w:b/>
                <w:szCs w:val="24"/>
                <w:lang w:eastAsia="lt-LT"/>
              </w:rPr>
            </w:pPr>
            <w:r w:rsidRPr="00AB3672">
              <w:rPr>
                <w:b/>
                <w:szCs w:val="24"/>
                <w:lang w:eastAsia="lt-LT"/>
              </w:rPr>
              <w:t>2.4. Veiklos išlaidos</w:t>
            </w:r>
          </w:p>
        </w:tc>
        <w:tc>
          <w:tcPr>
            <w:tcW w:w="3436" w:type="dxa"/>
            <w:tcBorders>
              <w:top w:val="nil"/>
              <w:left w:val="nil"/>
              <w:bottom w:val="single" w:sz="8" w:space="0" w:color="auto"/>
              <w:right w:val="single" w:sz="8" w:space="0" w:color="auto"/>
            </w:tcBorders>
            <w:shd w:val="clear" w:color="auto" w:fill="auto"/>
            <w:vAlign w:val="center"/>
          </w:tcPr>
          <w:p w14:paraId="3D505B98" w14:textId="77777777" w:rsidR="00AB3672" w:rsidRPr="00AB3672" w:rsidRDefault="00AB3672" w:rsidP="00AB3672">
            <w:pPr>
              <w:jc w:val="center"/>
              <w:rPr>
                <w:b/>
                <w:szCs w:val="24"/>
                <w:lang w:eastAsia="lt-LT"/>
              </w:rPr>
            </w:pPr>
            <w:r w:rsidRPr="00AB3672">
              <w:rPr>
                <w:b/>
                <w:szCs w:val="24"/>
                <w:lang w:eastAsia="lt-LT"/>
              </w:rPr>
              <w:t>6 489 779</w:t>
            </w:r>
          </w:p>
        </w:tc>
        <w:tc>
          <w:tcPr>
            <w:tcW w:w="3436" w:type="dxa"/>
            <w:tcBorders>
              <w:top w:val="nil"/>
              <w:left w:val="nil"/>
              <w:bottom w:val="single" w:sz="8" w:space="0" w:color="auto"/>
              <w:right w:val="single" w:sz="8" w:space="0" w:color="auto"/>
            </w:tcBorders>
            <w:shd w:val="clear" w:color="auto" w:fill="auto"/>
          </w:tcPr>
          <w:p w14:paraId="4ED6AD49" w14:textId="77777777" w:rsidR="00AB3672" w:rsidRPr="00AB3672" w:rsidRDefault="00AB3672" w:rsidP="00AB3672">
            <w:pPr>
              <w:jc w:val="center"/>
              <w:rPr>
                <w:b/>
              </w:rPr>
            </w:pPr>
            <w:r w:rsidRPr="00AB3672">
              <w:rPr>
                <w:b/>
                <w:bCs/>
              </w:rPr>
              <w:t>2 136 303</w:t>
            </w:r>
          </w:p>
        </w:tc>
        <w:tc>
          <w:tcPr>
            <w:tcW w:w="3437" w:type="dxa"/>
            <w:tcBorders>
              <w:top w:val="nil"/>
              <w:left w:val="nil"/>
              <w:bottom w:val="single" w:sz="8" w:space="0" w:color="auto"/>
              <w:right w:val="single" w:sz="8" w:space="0" w:color="auto"/>
            </w:tcBorders>
            <w:shd w:val="clear" w:color="auto" w:fill="auto"/>
          </w:tcPr>
          <w:p w14:paraId="1CC2A5E9" w14:textId="77777777" w:rsidR="00AB3672" w:rsidRPr="00AB3672" w:rsidRDefault="00AB3672" w:rsidP="00AB3672">
            <w:pPr>
              <w:jc w:val="center"/>
              <w:rPr>
                <w:b/>
              </w:rPr>
            </w:pPr>
            <w:r w:rsidRPr="00AB3672">
              <w:rPr>
                <w:b/>
                <w:bCs/>
              </w:rPr>
              <w:t>8 626 082</w:t>
            </w:r>
          </w:p>
        </w:tc>
      </w:tr>
      <w:tr w:rsidR="00AB3672" w:rsidRPr="00AB3672" w14:paraId="18AFFB94" w14:textId="77777777" w:rsidTr="00D455F3">
        <w:tc>
          <w:tcPr>
            <w:tcW w:w="3436" w:type="dxa"/>
            <w:shd w:val="clear" w:color="auto" w:fill="D9D9D9" w:themeFill="background1" w:themeFillShade="D9"/>
          </w:tcPr>
          <w:p w14:paraId="703FCC63" w14:textId="77777777" w:rsidR="00AB3672" w:rsidRPr="00AB3672" w:rsidRDefault="00AB3672" w:rsidP="00AB3672">
            <w:pPr>
              <w:rPr>
                <w:szCs w:val="24"/>
                <w:lang w:eastAsia="lt-LT"/>
              </w:rPr>
            </w:pPr>
            <w:r w:rsidRPr="00AB3672">
              <w:rPr>
                <w:szCs w:val="24"/>
                <w:lang w:eastAsia="lt-LT"/>
              </w:rPr>
              <w:t>2.4.1. Žaliavos</w:t>
            </w:r>
          </w:p>
        </w:tc>
        <w:tc>
          <w:tcPr>
            <w:tcW w:w="3436" w:type="dxa"/>
            <w:tcBorders>
              <w:top w:val="nil"/>
              <w:left w:val="nil"/>
              <w:bottom w:val="single" w:sz="8" w:space="0" w:color="auto"/>
              <w:right w:val="single" w:sz="8" w:space="0" w:color="auto"/>
            </w:tcBorders>
            <w:shd w:val="clear" w:color="auto" w:fill="auto"/>
          </w:tcPr>
          <w:p w14:paraId="5A90F35D" w14:textId="77777777" w:rsidR="00AB3672" w:rsidRPr="00AB3672" w:rsidRDefault="00AB3672" w:rsidP="00AB3672">
            <w:pPr>
              <w:jc w:val="center"/>
            </w:pPr>
            <w:r w:rsidRPr="00AB3672">
              <w:t>0</w:t>
            </w:r>
          </w:p>
        </w:tc>
        <w:tc>
          <w:tcPr>
            <w:tcW w:w="3436" w:type="dxa"/>
            <w:tcBorders>
              <w:top w:val="nil"/>
              <w:left w:val="nil"/>
              <w:bottom w:val="single" w:sz="8" w:space="0" w:color="auto"/>
              <w:right w:val="single" w:sz="8" w:space="0" w:color="auto"/>
            </w:tcBorders>
            <w:shd w:val="clear" w:color="auto" w:fill="auto"/>
          </w:tcPr>
          <w:p w14:paraId="05D52B4D" w14:textId="77777777" w:rsidR="00AB3672" w:rsidRPr="00AB3672" w:rsidRDefault="00AB3672" w:rsidP="00AB3672">
            <w:pPr>
              <w:jc w:val="center"/>
              <w:rPr>
                <w:szCs w:val="24"/>
                <w:lang w:eastAsia="lt-LT"/>
              </w:rPr>
            </w:pPr>
            <w:r w:rsidRPr="00AB3672">
              <w:t>0</w:t>
            </w:r>
          </w:p>
        </w:tc>
        <w:tc>
          <w:tcPr>
            <w:tcW w:w="3437" w:type="dxa"/>
            <w:tcBorders>
              <w:top w:val="nil"/>
              <w:left w:val="nil"/>
              <w:bottom w:val="single" w:sz="8" w:space="0" w:color="auto"/>
              <w:right w:val="single" w:sz="8" w:space="0" w:color="auto"/>
            </w:tcBorders>
            <w:shd w:val="clear" w:color="auto" w:fill="auto"/>
          </w:tcPr>
          <w:p w14:paraId="5DEAEDC1" w14:textId="77777777" w:rsidR="00AB3672" w:rsidRPr="00AB3672" w:rsidRDefault="00AB3672" w:rsidP="00AB3672">
            <w:pPr>
              <w:jc w:val="center"/>
              <w:rPr>
                <w:szCs w:val="24"/>
                <w:lang w:eastAsia="lt-LT"/>
              </w:rPr>
            </w:pPr>
            <w:r w:rsidRPr="00AB3672">
              <w:t>0</w:t>
            </w:r>
          </w:p>
        </w:tc>
      </w:tr>
      <w:tr w:rsidR="00AB3672" w:rsidRPr="00AB3672" w14:paraId="66586327" w14:textId="77777777" w:rsidTr="00D455F3">
        <w:tc>
          <w:tcPr>
            <w:tcW w:w="3436" w:type="dxa"/>
            <w:shd w:val="clear" w:color="auto" w:fill="D9D9D9" w:themeFill="background1" w:themeFillShade="D9"/>
          </w:tcPr>
          <w:p w14:paraId="325316E9" w14:textId="77777777" w:rsidR="00AB3672" w:rsidRPr="00AB3672" w:rsidRDefault="00AB3672" w:rsidP="00AB3672">
            <w:pPr>
              <w:rPr>
                <w:szCs w:val="24"/>
                <w:lang w:eastAsia="lt-LT"/>
              </w:rPr>
            </w:pPr>
            <w:r w:rsidRPr="00AB3672">
              <w:rPr>
                <w:szCs w:val="24"/>
                <w:lang w:eastAsia="lt-LT"/>
              </w:rPr>
              <w:t>2.4.2. Darbo užmokesčio išlaidos</w:t>
            </w:r>
          </w:p>
        </w:tc>
        <w:tc>
          <w:tcPr>
            <w:tcW w:w="3436" w:type="dxa"/>
            <w:tcBorders>
              <w:top w:val="nil"/>
              <w:left w:val="nil"/>
              <w:bottom w:val="single" w:sz="8" w:space="0" w:color="auto"/>
              <w:right w:val="single" w:sz="8" w:space="0" w:color="auto"/>
            </w:tcBorders>
            <w:shd w:val="clear" w:color="auto" w:fill="auto"/>
          </w:tcPr>
          <w:p w14:paraId="38A2C0B0" w14:textId="77777777" w:rsidR="00AB3672" w:rsidRPr="00AB3672" w:rsidRDefault="00AB3672" w:rsidP="00AB3672">
            <w:pPr>
              <w:jc w:val="center"/>
              <w:rPr>
                <w:szCs w:val="24"/>
                <w:lang w:eastAsia="lt-LT"/>
              </w:rPr>
            </w:pPr>
            <w:r w:rsidRPr="00AB3672">
              <w:t>3 806 352</w:t>
            </w:r>
          </w:p>
        </w:tc>
        <w:tc>
          <w:tcPr>
            <w:tcW w:w="3436" w:type="dxa"/>
            <w:tcBorders>
              <w:top w:val="nil"/>
              <w:left w:val="nil"/>
              <w:bottom w:val="single" w:sz="8" w:space="0" w:color="auto"/>
              <w:right w:val="single" w:sz="8" w:space="0" w:color="auto"/>
            </w:tcBorders>
            <w:shd w:val="clear" w:color="auto" w:fill="auto"/>
          </w:tcPr>
          <w:p w14:paraId="56C6E3D2" w14:textId="77777777" w:rsidR="00AB3672" w:rsidRPr="00AB3672" w:rsidRDefault="00AB3672" w:rsidP="00AB3672">
            <w:pPr>
              <w:jc w:val="center"/>
            </w:pPr>
            <w:r w:rsidRPr="00AB3672">
              <w:t>1 252 973</w:t>
            </w:r>
          </w:p>
        </w:tc>
        <w:tc>
          <w:tcPr>
            <w:tcW w:w="3437" w:type="dxa"/>
            <w:tcBorders>
              <w:top w:val="nil"/>
              <w:left w:val="nil"/>
              <w:bottom w:val="single" w:sz="8" w:space="0" w:color="auto"/>
              <w:right w:val="single" w:sz="8" w:space="0" w:color="auto"/>
            </w:tcBorders>
            <w:shd w:val="clear" w:color="auto" w:fill="auto"/>
          </w:tcPr>
          <w:p w14:paraId="271EDEDC" w14:textId="77777777" w:rsidR="00AB3672" w:rsidRPr="00AB3672" w:rsidRDefault="00AB3672" w:rsidP="00AB3672">
            <w:pPr>
              <w:jc w:val="center"/>
              <w:rPr>
                <w:szCs w:val="24"/>
                <w:lang w:eastAsia="lt-LT"/>
              </w:rPr>
            </w:pPr>
            <w:r w:rsidRPr="00AB3672">
              <w:t>5 059 325</w:t>
            </w:r>
          </w:p>
        </w:tc>
      </w:tr>
      <w:tr w:rsidR="00AB3672" w:rsidRPr="00AB3672" w14:paraId="38E62943" w14:textId="77777777" w:rsidTr="00D455F3">
        <w:tc>
          <w:tcPr>
            <w:tcW w:w="3436" w:type="dxa"/>
            <w:shd w:val="clear" w:color="auto" w:fill="D9D9D9" w:themeFill="background1" w:themeFillShade="D9"/>
          </w:tcPr>
          <w:p w14:paraId="67E0C913" w14:textId="77777777" w:rsidR="00AB3672" w:rsidRPr="00AB3672" w:rsidRDefault="00AB3672" w:rsidP="00AB3672">
            <w:pPr>
              <w:rPr>
                <w:szCs w:val="24"/>
                <w:lang w:eastAsia="lt-LT"/>
              </w:rPr>
            </w:pPr>
            <w:r w:rsidRPr="00AB3672">
              <w:rPr>
                <w:szCs w:val="24"/>
                <w:lang w:eastAsia="lt-LT"/>
              </w:rPr>
              <w:t>2.4.3. Elektros energijos išlaidos</w:t>
            </w:r>
          </w:p>
        </w:tc>
        <w:tc>
          <w:tcPr>
            <w:tcW w:w="3436" w:type="dxa"/>
            <w:tcBorders>
              <w:top w:val="nil"/>
              <w:left w:val="nil"/>
              <w:bottom w:val="single" w:sz="8" w:space="0" w:color="auto"/>
              <w:right w:val="single" w:sz="8" w:space="0" w:color="auto"/>
            </w:tcBorders>
            <w:shd w:val="clear" w:color="auto" w:fill="auto"/>
          </w:tcPr>
          <w:p w14:paraId="358ECC0C" w14:textId="77777777" w:rsidR="00AB3672" w:rsidRPr="00AB3672" w:rsidRDefault="00AB3672" w:rsidP="00AB3672">
            <w:pPr>
              <w:jc w:val="center"/>
            </w:pPr>
            <w:r w:rsidRPr="00AB3672">
              <w:t>810 249</w:t>
            </w:r>
          </w:p>
        </w:tc>
        <w:tc>
          <w:tcPr>
            <w:tcW w:w="3436" w:type="dxa"/>
            <w:tcBorders>
              <w:top w:val="nil"/>
              <w:left w:val="nil"/>
              <w:bottom w:val="single" w:sz="8" w:space="0" w:color="auto"/>
              <w:right w:val="single" w:sz="8" w:space="0" w:color="auto"/>
            </w:tcBorders>
            <w:shd w:val="clear" w:color="auto" w:fill="auto"/>
          </w:tcPr>
          <w:p w14:paraId="4236C2A6" w14:textId="77777777" w:rsidR="00AB3672" w:rsidRPr="00AB3672" w:rsidRDefault="00AB3672" w:rsidP="00AB3672">
            <w:pPr>
              <w:jc w:val="center"/>
              <w:rPr>
                <w:szCs w:val="24"/>
                <w:lang w:eastAsia="lt-LT"/>
              </w:rPr>
            </w:pPr>
            <w:r w:rsidRPr="00AB3672">
              <w:t>266 717</w:t>
            </w:r>
          </w:p>
        </w:tc>
        <w:tc>
          <w:tcPr>
            <w:tcW w:w="3437" w:type="dxa"/>
            <w:tcBorders>
              <w:top w:val="nil"/>
              <w:left w:val="nil"/>
              <w:bottom w:val="single" w:sz="8" w:space="0" w:color="auto"/>
              <w:right w:val="single" w:sz="8" w:space="0" w:color="auto"/>
            </w:tcBorders>
            <w:shd w:val="clear" w:color="auto" w:fill="auto"/>
          </w:tcPr>
          <w:p w14:paraId="49D62F6C" w14:textId="77777777" w:rsidR="00AB3672" w:rsidRPr="00AB3672" w:rsidRDefault="00AB3672" w:rsidP="00AB3672">
            <w:pPr>
              <w:jc w:val="center"/>
              <w:rPr>
                <w:szCs w:val="24"/>
                <w:lang w:eastAsia="lt-LT"/>
              </w:rPr>
            </w:pPr>
            <w:r w:rsidRPr="00AB3672">
              <w:t>1 076 966</w:t>
            </w:r>
          </w:p>
        </w:tc>
      </w:tr>
      <w:tr w:rsidR="00AB3672" w:rsidRPr="00AB3672" w14:paraId="23805005" w14:textId="77777777" w:rsidTr="00D455F3">
        <w:tc>
          <w:tcPr>
            <w:tcW w:w="3436" w:type="dxa"/>
            <w:shd w:val="clear" w:color="auto" w:fill="D9D9D9" w:themeFill="background1" w:themeFillShade="D9"/>
          </w:tcPr>
          <w:p w14:paraId="70C9BFCF" w14:textId="77777777" w:rsidR="00AB3672" w:rsidRPr="00AB3672" w:rsidRDefault="00AB3672" w:rsidP="00AB3672">
            <w:pPr>
              <w:rPr>
                <w:szCs w:val="24"/>
                <w:lang w:eastAsia="lt-LT"/>
              </w:rPr>
            </w:pPr>
            <w:r w:rsidRPr="00AB3672">
              <w:rPr>
                <w:szCs w:val="24"/>
                <w:lang w:eastAsia="lt-LT"/>
              </w:rPr>
              <w:t>2.4.4. Šildymo (išskyrus elektrą) išlaidos</w:t>
            </w:r>
          </w:p>
        </w:tc>
        <w:tc>
          <w:tcPr>
            <w:tcW w:w="3436" w:type="dxa"/>
            <w:tcBorders>
              <w:top w:val="nil"/>
              <w:left w:val="nil"/>
              <w:bottom w:val="single" w:sz="8" w:space="0" w:color="auto"/>
              <w:right w:val="single" w:sz="8" w:space="0" w:color="auto"/>
            </w:tcBorders>
            <w:shd w:val="clear" w:color="auto" w:fill="auto"/>
          </w:tcPr>
          <w:p w14:paraId="06D06B8D" w14:textId="77777777" w:rsidR="00AB3672" w:rsidRPr="00AB3672" w:rsidRDefault="00AB3672" w:rsidP="00AB3672">
            <w:pPr>
              <w:jc w:val="center"/>
            </w:pPr>
            <w:r w:rsidRPr="00AB3672">
              <w:t>570 900</w:t>
            </w:r>
          </w:p>
        </w:tc>
        <w:tc>
          <w:tcPr>
            <w:tcW w:w="3436" w:type="dxa"/>
            <w:tcBorders>
              <w:top w:val="nil"/>
              <w:left w:val="nil"/>
              <w:bottom w:val="single" w:sz="8" w:space="0" w:color="auto"/>
              <w:right w:val="single" w:sz="8" w:space="0" w:color="auto"/>
            </w:tcBorders>
            <w:shd w:val="clear" w:color="auto" w:fill="auto"/>
          </w:tcPr>
          <w:p w14:paraId="04BAC3BD" w14:textId="77777777" w:rsidR="00AB3672" w:rsidRPr="00AB3672" w:rsidRDefault="00AB3672" w:rsidP="00AB3672">
            <w:pPr>
              <w:jc w:val="center"/>
              <w:rPr>
                <w:szCs w:val="24"/>
                <w:lang w:eastAsia="lt-LT"/>
              </w:rPr>
            </w:pPr>
            <w:r w:rsidRPr="00AB3672">
              <w:t>187 929</w:t>
            </w:r>
          </w:p>
        </w:tc>
        <w:tc>
          <w:tcPr>
            <w:tcW w:w="3437" w:type="dxa"/>
            <w:tcBorders>
              <w:top w:val="nil"/>
              <w:left w:val="nil"/>
              <w:bottom w:val="single" w:sz="8" w:space="0" w:color="auto"/>
              <w:right w:val="single" w:sz="8" w:space="0" w:color="auto"/>
            </w:tcBorders>
            <w:shd w:val="clear" w:color="auto" w:fill="auto"/>
          </w:tcPr>
          <w:p w14:paraId="0BF3D007" w14:textId="77777777" w:rsidR="00AB3672" w:rsidRPr="00AB3672" w:rsidRDefault="00AB3672" w:rsidP="00AB3672">
            <w:pPr>
              <w:jc w:val="center"/>
              <w:rPr>
                <w:szCs w:val="24"/>
                <w:lang w:eastAsia="lt-LT"/>
              </w:rPr>
            </w:pPr>
            <w:r w:rsidRPr="00AB3672">
              <w:t>758 829</w:t>
            </w:r>
          </w:p>
        </w:tc>
      </w:tr>
      <w:tr w:rsidR="00AB3672" w:rsidRPr="00AB3672" w14:paraId="1E4FB5B6" w14:textId="77777777" w:rsidTr="00D455F3">
        <w:tc>
          <w:tcPr>
            <w:tcW w:w="3436" w:type="dxa"/>
            <w:shd w:val="clear" w:color="auto" w:fill="D9D9D9" w:themeFill="background1" w:themeFillShade="D9"/>
          </w:tcPr>
          <w:p w14:paraId="0C8AA17E" w14:textId="77777777" w:rsidR="00AB3672" w:rsidRPr="00AB3672" w:rsidRDefault="00AB3672" w:rsidP="00AB3672">
            <w:pPr>
              <w:rPr>
                <w:szCs w:val="24"/>
                <w:lang w:eastAsia="lt-LT"/>
              </w:rPr>
            </w:pPr>
            <w:r w:rsidRPr="00AB3672">
              <w:rPr>
                <w:szCs w:val="24"/>
                <w:lang w:eastAsia="lt-LT"/>
              </w:rPr>
              <w:t>2.4.5. Infrastruktūros būklės palaikymo išlaidos</w:t>
            </w:r>
          </w:p>
        </w:tc>
        <w:tc>
          <w:tcPr>
            <w:tcW w:w="3436" w:type="dxa"/>
            <w:tcBorders>
              <w:top w:val="nil"/>
              <w:left w:val="nil"/>
              <w:bottom w:val="single" w:sz="8" w:space="0" w:color="auto"/>
              <w:right w:val="single" w:sz="8" w:space="0" w:color="auto"/>
            </w:tcBorders>
            <w:shd w:val="clear" w:color="auto" w:fill="auto"/>
          </w:tcPr>
          <w:p w14:paraId="3D6211CD" w14:textId="77777777" w:rsidR="00AB3672" w:rsidRPr="00AB3672" w:rsidRDefault="00AB3672" w:rsidP="00AB3672">
            <w:pPr>
              <w:jc w:val="center"/>
            </w:pPr>
            <w:r w:rsidRPr="00AB3672">
              <w:t>198 357</w:t>
            </w:r>
          </w:p>
        </w:tc>
        <w:tc>
          <w:tcPr>
            <w:tcW w:w="3436" w:type="dxa"/>
            <w:tcBorders>
              <w:top w:val="nil"/>
              <w:left w:val="nil"/>
              <w:bottom w:val="single" w:sz="8" w:space="0" w:color="auto"/>
              <w:right w:val="single" w:sz="8" w:space="0" w:color="auto"/>
            </w:tcBorders>
            <w:shd w:val="clear" w:color="auto" w:fill="auto"/>
          </w:tcPr>
          <w:p w14:paraId="7651B3B2" w14:textId="77777777" w:rsidR="00AB3672" w:rsidRPr="00AB3672" w:rsidRDefault="00AB3672" w:rsidP="00AB3672">
            <w:pPr>
              <w:jc w:val="center"/>
              <w:rPr>
                <w:szCs w:val="24"/>
                <w:lang w:eastAsia="lt-LT"/>
              </w:rPr>
            </w:pPr>
            <w:r w:rsidRPr="00AB3672">
              <w:t>65 295</w:t>
            </w:r>
          </w:p>
        </w:tc>
        <w:tc>
          <w:tcPr>
            <w:tcW w:w="3437" w:type="dxa"/>
            <w:tcBorders>
              <w:top w:val="nil"/>
              <w:left w:val="nil"/>
              <w:bottom w:val="single" w:sz="8" w:space="0" w:color="auto"/>
              <w:right w:val="single" w:sz="8" w:space="0" w:color="auto"/>
            </w:tcBorders>
            <w:shd w:val="clear" w:color="auto" w:fill="auto"/>
          </w:tcPr>
          <w:p w14:paraId="3767A5C8" w14:textId="77777777" w:rsidR="00AB3672" w:rsidRPr="00AB3672" w:rsidRDefault="00AB3672" w:rsidP="00AB3672">
            <w:pPr>
              <w:jc w:val="center"/>
              <w:rPr>
                <w:szCs w:val="24"/>
                <w:lang w:eastAsia="lt-LT"/>
              </w:rPr>
            </w:pPr>
            <w:r w:rsidRPr="00AB3672">
              <w:rPr>
                <w:lang w:eastAsia="lt-LT"/>
              </w:rPr>
              <w:t>263 652</w:t>
            </w:r>
          </w:p>
        </w:tc>
      </w:tr>
      <w:tr w:rsidR="00AB3672" w:rsidRPr="00AB3672" w14:paraId="04DD88B0" w14:textId="77777777" w:rsidTr="00D455F3">
        <w:tc>
          <w:tcPr>
            <w:tcW w:w="3436" w:type="dxa"/>
            <w:shd w:val="clear" w:color="auto" w:fill="D9D9D9" w:themeFill="background1" w:themeFillShade="D9"/>
          </w:tcPr>
          <w:p w14:paraId="72FAC89A" w14:textId="77777777" w:rsidR="00AB3672" w:rsidRPr="00AB3672" w:rsidRDefault="00AB3672" w:rsidP="00AB3672">
            <w:pPr>
              <w:rPr>
                <w:szCs w:val="24"/>
                <w:lang w:eastAsia="lt-LT"/>
              </w:rPr>
            </w:pPr>
            <w:r w:rsidRPr="00AB3672">
              <w:rPr>
                <w:szCs w:val="24"/>
                <w:lang w:eastAsia="lt-LT"/>
              </w:rPr>
              <w:t>2.4.6. Kitos išlaidos</w:t>
            </w:r>
          </w:p>
        </w:tc>
        <w:tc>
          <w:tcPr>
            <w:tcW w:w="3436" w:type="dxa"/>
            <w:tcBorders>
              <w:top w:val="nil"/>
              <w:left w:val="nil"/>
              <w:bottom w:val="single" w:sz="8" w:space="0" w:color="auto"/>
              <w:right w:val="single" w:sz="8" w:space="0" w:color="auto"/>
            </w:tcBorders>
            <w:shd w:val="clear" w:color="auto" w:fill="auto"/>
          </w:tcPr>
          <w:p w14:paraId="19EEB2B6" w14:textId="77777777" w:rsidR="00AB3672" w:rsidRPr="00AB3672" w:rsidRDefault="00AB3672" w:rsidP="00AB3672">
            <w:pPr>
              <w:jc w:val="center"/>
            </w:pPr>
            <w:r w:rsidRPr="00AB3672">
              <w:t>1 103 921</w:t>
            </w:r>
          </w:p>
        </w:tc>
        <w:tc>
          <w:tcPr>
            <w:tcW w:w="3436" w:type="dxa"/>
            <w:tcBorders>
              <w:top w:val="nil"/>
              <w:left w:val="nil"/>
              <w:bottom w:val="single" w:sz="8" w:space="0" w:color="auto"/>
              <w:right w:val="single" w:sz="8" w:space="0" w:color="auto"/>
            </w:tcBorders>
            <w:shd w:val="clear" w:color="auto" w:fill="auto"/>
          </w:tcPr>
          <w:p w14:paraId="754A9FD8" w14:textId="77777777" w:rsidR="00AB3672" w:rsidRPr="00AB3672" w:rsidRDefault="00AB3672" w:rsidP="00AB3672">
            <w:pPr>
              <w:jc w:val="center"/>
              <w:rPr>
                <w:szCs w:val="24"/>
                <w:lang w:eastAsia="lt-LT"/>
              </w:rPr>
            </w:pPr>
            <w:r w:rsidRPr="00AB3672">
              <w:t>363 388</w:t>
            </w:r>
          </w:p>
        </w:tc>
        <w:tc>
          <w:tcPr>
            <w:tcW w:w="3437" w:type="dxa"/>
            <w:tcBorders>
              <w:top w:val="nil"/>
              <w:left w:val="nil"/>
              <w:bottom w:val="single" w:sz="8" w:space="0" w:color="auto"/>
              <w:right w:val="single" w:sz="8" w:space="0" w:color="auto"/>
            </w:tcBorders>
            <w:shd w:val="clear" w:color="auto" w:fill="auto"/>
          </w:tcPr>
          <w:p w14:paraId="4AE3165B" w14:textId="77777777" w:rsidR="00AB3672" w:rsidRPr="00AB3672" w:rsidRDefault="00AB3672" w:rsidP="00AB3672">
            <w:pPr>
              <w:jc w:val="center"/>
              <w:rPr>
                <w:szCs w:val="24"/>
                <w:lang w:eastAsia="lt-LT"/>
              </w:rPr>
            </w:pPr>
            <w:r w:rsidRPr="00AB3672">
              <w:t>1 467 309</w:t>
            </w:r>
          </w:p>
        </w:tc>
      </w:tr>
      <w:tr w:rsidR="00AB3672" w:rsidRPr="00AB3672" w14:paraId="7C7BBAB7" w14:textId="77777777" w:rsidTr="00D455F3">
        <w:tc>
          <w:tcPr>
            <w:tcW w:w="3436" w:type="dxa"/>
            <w:tcBorders>
              <w:bottom w:val="single" w:sz="12" w:space="0" w:color="auto"/>
            </w:tcBorders>
            <w:shd w:val="clear" w:color="auto" w:fill="D9D9D9" w:themeFill="background1" w:themeFillShade="D9"/>
          </w:tcPr>
          <w:p w14:paraId="41D1836E" w14:textId="77777777" w:rsidR="00AB3672" w:rsidRPr="00AB3672" w:rsidRDefault="00AB3672" w:rsidP="00AB3672">
            <w:pPr>
              <w:rPr>
                <w:b/>
                <w:szCs w:val="24"/>
                <w:lang w:eastAsia="lt-LT"/>
              </w:rPr>
            </w:pPr>
            <w:r w:rsidRPr="00AB3672">
              <w:rPr>
                <w:b/>
                <w:szCs w:val="24"/>
                <w:lang w:eastAsia="lt-LT"/>
              </w:rPr>
              <w:t xml:space="preserve">2.5. Grynasis lėšų srautas (2.1 - 2.2 – 2.3 + 2.4) </w:t>
            </w:r>
          </w:p>
        </w:tc>
        <w:tc>
          <w:tcPr>
            <w:tcW w:w="3436" w:type="dxa"/>
            <w:tcBorders>
              <w:top w:val="nil"/>
              <w:left w:val="nil"/>
              <w:bottom w:val="single" w:sz="12" w:space="0" w:color="auto"/>
              <w:right w:val="single" w:sz="8" w:space="0" w:color="auto"/>
            </w:tcBorders>
            <w:shd w:val="clear" w:color="auto" w:fill="auto"/>
          </w:tcPr>
          <w:p w14:paraId="1DABF558" w14:textId="77777777" w:rsidR="00AB3672" w:rsidRPr="00AB3672" w:rsidRDefault="00AB3672" w:rsidP="00AB3672">
            <w:pPr>
              <w:jc w:val="center"/>
              <w:rPr>
                <w:b/>
              </w:rPr>
            </w:pPr>
            <w:r w:rsidRPr="00AB3672">
              <w:rPr>
                <w:b/>
              </w:rPr>
              <w:t>3 377 440</w:t>
            </w:r>
          </w:p>
        </w:tc>
        <w:tc>
          <w:tcPr>
            <w:tcW w:w="3436" w:type="dxa"/>
            <w:tcBorders>
              <w:top w:val="nil"/>
              <w:left w:val="nil"/>
              <w:bottom w:val="single" w:sz="12" w:space="0" w:color="auto"/>
              <w:right w:val="single" w:sz="8" w:space="0" w:color="auto"/>
            </w:tcBorders>
            <w:shd w:val="clear" w:color="auto" w:fill="auto"/>
          </w:tcPr>
          <w:p w14:paraId="68EFF766" w14:textId="77777777" w:rsidR="00AB3672" w:rsidRPr="00AB3672" w:rsidRDefault="00AB3672" w:rsidP="00AB3672">
            <w:pPr>
              <w:contextualSpacing/>
              <w:jc w:val="center"/>
              <w:rPr>
                <w:b/>
                <w:szCs w:val="24"/>
                <w:lang w:eastAsia="lt-LT"/>
              </w:rPr>
            </w:pPr>
            <w:r w:rsidRPr="00AB3672">
              <w:rPr>
                <w:b/>
              </w:rPr>
              <w:t>1 337 748</w:t>
            </w:r>
          </w:p>
        </w:tc>
        <w:tc>
          <w:tcPr>
            <w:tcW w:w="3437" w:type="dxa"/>
            <w:tcBorders>
              <w:top w:val="nil"/>
              <w:left w:val="nil"/>
              <w:bottom w:val="single" w:sz="12" w:space="0" w:color="auto"/>
              <w:right w:val="single" w:sz="8" w:space="0" w:color="auto"/>
            </w:tcBorders>
            <w:shd w:val="clear" w:color="auto" w:fill="auto"/>
          </w:tcPr>
          <w:p w14:paraId="58F2FA5E" w14:textId="77777777" w:rsidR="00AB3672" w:rsidRPr="00AB3672" w:rsidRDefault="00AB3672" w:rsidP="00AB3672">
            <w:pPr>
              <w:jc w:val="center"/>
              <w:rPr>
                <w:b/>
                <w:szCs w:val="24"/>
                <w:lang w:eastAsia="lt-LT"/>
              </w:rPr>
            </w:pPr>
            <w:r w:rsidRPr="00AB3672">
              <w:rPr>
                <w:b/>
                <w:bCs/>
              </w:rPr>
              <w:t>6 631 434</w:t>
            </w:r>
          </w:p>
        </w:tc>
      </w:tr>
      <w:tr w:rsidR="00AB3672" w:rsidRPr="00AB3672" w14:paraId="042024FB" w14:textId="77777777" w:rsidTr="00D455F3">
        <w:tc>
          <w:tcPr>
            <w:tcW w:w="13745" w:type="dxa"/>
            <w:gridSpan w:val="4"/>
            <w:tcBorders>
              <w:top w:val="single" w:sz="12" w:space="0" w:color="auto"/>
              <w:left w:val="single" w:sz="12" w:space="0" w:color="auto"/>
              <w:bottom w:val="single" w:sz="12" w:space="0" w:color="auto"/>
              <w:right w:val="single" w:sz="12" w:space="0" w:color="auto"/>
            </w:tcBorders>
          </w:tcPr>
          <w:p w14:paraId="31B70521" w14:textId="77777777" w:rsidR="00AB3672" w:rsidRPr="00AB3672" w:rsidRDefault="00AB3672" w:rsidP="00AB3672">
            <w:pPr>
              <w:rPr>
                <w:i/>
                <w:szCs w:val="24"/>
                <w:lang w:eastAsia="lt-LT"/>
              </w:rPr>
            </w:pPr>
            <w:r w:rsidRPr="00AB3672">
              <w:rPr>
                <w:b/>
                <w:szCs w:val="24"/>
                <w:lang w:eastAsia="lt-LT"/>
              </w:rPr>
              <w:t>CPVA išvada</w:t>
            </w:r>
            <w:r w:rsidRPr="00AB3672">
              <w:rPr>
                <w:i/>
                <w:szCs w:val="24"/>
                <w:lang w:eastAsia="lt-LT"/>
              </w:rPr>
              <w:t xml:space="preserve"> </w:t>
            </w:r>
          </w:p>
          <w:p w14:paraId="554C8633" w14:textId="77777777" w:rsidR="00AB3672" w:rsidRPr="00AB3672" w:rsidRDefault="00AB3672" w:rsidP="00AB3672">
            <w:pPr>
              <w:numPr>
                <w:ilvl w:val="0"/>
                <w:numId w:val="31"/>
              </w:numPr>
              <w:contextualSpacing/>
              <w:rPr>
                <w:b/>
                <w:i/>
                <w:szCs w:val="24"/>
                <w:lang w:eastAsia="lt-LT"/>
              </w:rPr>
            </w:pPr>
            <w:r w:rsidRPr="00AB3672">
              <w:rPr>
                <w:b/>
                <w:i/>
                <w:szCs w:val="24"/>
                <w:lang w:eastAsia="lt-LT"/>
              </w:rPr>
              <w:t xml:space="preserve">Kapitalo išlaidų, veiklos pajamų (įskaitant pajamų kainodarą, jei taikoma) ir veiklos išlaidų pagrįstumas. </w:t>
            </w:r>
          </w:p>
          <w:p w14:paraId="73C529BE" w14:textId="77777777" w:rsidR="00AB3672" w:rsidRPr="00AB3672" w:rsidRDefault="00AB3672" w:rsidP="00AB3672">
            <w:pPr>
              <w:rPr>
                <w:b/>
                <w:i/>
                <w:szCs w:val="24"/>
                <w:lang w:eastAsia="lt-LT"/>
              </w:rPr>
            </w:pPr>
            <w:r w:rsidRPr="00AB3672">
              <w:rPr>
                <w:b/>
                <w:i/>
                <w:szCs w:val="24"/>
                <w:lang w:eastAsia="lt-LT"/>
              </w:rPr>
              <w:t>Pastebėjimai dėl kapitalo išlaidų</w:t>
            </w:r>
          </w:p>
          <w:p w14:paraId="6DDF4858" w14:textId="77777777" w:rsidR="00AB3672" w:rsidRPr="00AB3672" w:rsidRDefault="00AB3672" w:rsidP="00AB3672">
            <w:pPr>
              <w:jc w:val="both"/>
              <w:rPr>
                <w:szCs w:val="24"/>
                <w:lang w:eastAsia="lt-LT"/>
              </w:rPr>
            </w:pPr>
            <w:r w:rsidRPr="00AB3672">
              <w:rPr>
                <w:szCs w:val="24"/>
                <w:lang w:eastAsia="lt-LT"/>
              </w:rPr>
              <w:t>IP analizei naudojamas 15 metų ataskaitinis laikotarpis, kuris, atsižvelgiant į investicijų pobūdį (dalies patalpų apdailos darbai bei įrangos ir baldų įsigijimas) yra pagrįstas. Investicijas planuojama atlikti per vienerius metus (2024 m.). Įrangai ir baldams, priklausomai nuo naudingo tarnavimo laiko, taikomas nusidėvėjimo laikotarpis nuo 3 iki 10 m., statybos darbams – 15 m. Veiklos tęstinumui užtikrinti, abiejų alternatyvų atveju numatytos reinvesticijos į baldus ir įrangą bei apskaičiuota turto likutinė vertė.</w:t>
            </w:r>
          </w:p>
          <w:p w14:paraId="29E74E95" w14:textId="5229C4B4" w:rsidR="00AB3672" w:rsidRPr="00AB3672" w:rsidRDefault="00AB3672" w:rsidP="00AB3672">
            <w:pPr>
              <w:jc w:val="both"/>
              <w:rPr>
                <w:szCs w:val="24"/>
                <w:lang w:eastAsia="lt-LT"/>
              </w:rPr>
            </w:pPr>
            <w:r w:rsidRPr="00AB3672">
              <w:rPr>
                <w:szCs w:val="24"/>
                <w:lang w:eastAsia="lt-LT"/>
              </w:rPr>
              <w:t>IP alternatyvoms įgyvendinti suplanuotos investicijos grindžiamos parengto techninio projekto statybos skaičiuojamosios kainos nustatymo dalyje apskaičiuota statybos darbų verte (2019 m. kovo mėn. ka</w:t>
            </w:r>
            <w:r w:rsidR="00D455F3">
              <w:rPr>
                <w:szCs w:val="24"/>
                <w:lang w:eastAsia="lt-LT"/>
              </w:rPr>
              <w:t>i</w:t>
            </w:r>
            <w:r w:rsidRPr="00AB3672">
              <w:rPr>
                <w:szCs w:val="24"/>
                <w:lang w:eastAsia="lt-LT"/>
              </w:rPr>
              <w:t xml:space="preserve">nomis). IP nurodyta, kad kaina indeksuota iki IP rengimo laikotarpio, t.y. 2021 m. lapkričio mėn. Pastebėtina, kad nėra numatytos išlaidos projektavimui (TP korektūrai ir/ar darbo projektui). Sąmata bei skaičiavimas </w:t>
            </w:r>
            <w:r w:rsidRPr="00AB3672">
              <w:rPr>
                <w:szCs w:val="24"/>
                <w:lang w:eastAsia="lt-LT"/>
              </w:rPr>
              <w:lastRenderedPageBreak/>
              <w:t>kartu su IP nėra pateiktas, todėl įsitikinti, kad investicijų vertė indeksuota tinkamai, nėra galimybių. Baldų ir įrangos kainos pagrįstos nuorodomis į viešai prieinamas prekių kainas internete bei komerciniu pasiūlymu (vertinimui nepateiktas) tačiau nėra indeksuotos, todėl jų vertės patikimumas priklausys nuo kokybės standarto bei infliacijos lygio iki darbų pradžios. Atsižvelgiant į pastaruoju metu ženkliai kylančias statybos medžiagų bei darbų kainas, o taip pat prognozes artimiausiam periodui, vertinama, kad investicijų išlaidos įvertintos tik iš dalies, yra didelė tikimybė, kad lėšų poreikis investicijoms bus didesnis.</w:t>
            </w:r>
          </w:p>
          <w:p w14:paraId="29BE7249" w14:textId="77777777" w:rsidR="00AB3672" w:rsidRPr="00AB3672" w:rsidRDefault="00AB3672" w:rsidP="00AB3672">
            <w:pPr>
              <w:jc w:val="both"/>
              <w:rPr>
                <w:szCs w:val="24"/>
                <w:lang w:eastAsia="lt-LT"/>
              </w:rPr>
            </w:pPr>
          </w:p>
          <w:p w14:paraId="0A33314A" w14:textId="77777777" w:rsidR="00AB3672" w:rsidRPr="00AB3672" w:rsidRDefault="00AB3672" w:rsidP="00AB3672">
            <w:pPr>
              <w:rPr>
                <w:b/>
                <w:i/>
                <w:szCs w:val="24"/>
                <w:lang w:eastAsia="lt-LT"/>
              </w:rPr>
            </w:pPr>
            <w:r w:rsidRPr="00AB3672">
              <w:rPr>
                <w:b/>
                <w:i/>
                <w:szCs w:val="24"/>
                <w:lang w:eastAsia="lt-LT"/>
              </w:rPr>
              <w:t>Pastebėjimai dėl pajamų</w:t>
            </w:r>
          </w:p>
          <w:p w14:paraId="68F6A465" w14:textId="77777777" w:rsidR="00AB3672" w:rsidRPr="00AB3672" w:rsidRDefault="00AB3672" w:rsidP="00AB3672">
            <w:pPr>
              <w:jc w:val="both"/>
              <w:rPr>
                <w:szCs w:val="24"/>
                <w:lang w:eastAsia="lt-LT"/>
              </w:rPr>
            </w:pPr>
            <w:r w:rsidRPr="00AB3672">
              <w:rPr>
                <w:szCs w:val="24"/>
                <w:lang w:eastAsia="lt-LT"/>
              </w:rPr>
              <w:t xml:space="preserve">IP įvertintas pajamų finansinis srautas iš baseino veiklos, sporto salės, kavinės patalpų nuomos bei teniso kortų veiklos. Įvertintas Savivaldybės viešųjų paslaugų reikmėms skiriamas nemokamas laikas tiek baseino (5040 takvalandės per metus arba 23,5 proc. maksimalios paslaugų apimties), tiek teniso kortų (600 val. per metus) paslaugų apimtyje. Objekto lankomumas prognozuojamas lyginant su panašiu veikiančiu objektu – Rokiškio baseinu, pirmais dvejais veiklos vykdymo metais pajamų srautas mažinamas pritaikant koeficientą, todėl vertinama, kad iš esmės pajamos įvertintos racionaliai, tačiau jų dydį gali neigiamai paveikti išvados I dalyje aptartas paklausos neapibrėžtumas. </w:t>
            </w:r>
          </w:p>
          <w:p w14:paraId="590D9F97" w14:textId="77777777" w:rsidR="00AB3672" w:rsidRPr="00AB3672" w:rsidRDefault="00AB3672" w:rsidP="00AB3672">
            <w:pPr>
              <w:rPr>
                <w:szCs w:val="24"/>
                <w:lang w:eastAsia="lt-LT"/>
              </w:rPr>
            </w:pPr>
          </w:p>
          <w:p w14:paraId="7AB04915" w14:textId="77777777" w:rsidR="00AB3672" w:rsidRPr="00AB3672" w:rsidRDefault="00AB3672" w:rsidP="00AB3672">
            <w:pPr>
              <w:rPr>
                <w:b/>
                <w:i/>
                <w:szCs w:val="24"/>
                <w:lang w:eastAsia="lt-LT"/>
              </w:rPr>
            </w:pPr>
            <w:r w:rsidRPr="00AB3672">
              <w:rPr>
                <w:b/>
                <w:i/>
                <w:szCs w:val="24"/>
                <w:lang w:eastAsia="lt-LT"/>
              </w:rPr>
              <w:t>Pastebėjimai dėl veiklos išlaidų</w:t>
            </w:r>
          </w:p>
          <w:p w14:paraId="57F093AD" w14:textId="77777777" w:rsidR="00AB3672" w:rsidRPr="00AB3672" w:rsidRDefault="00AB3672" w:rsidP="00AB3672">
            <w:pPr>
              <w:jc w:val="both"/>
              <w:rPr>
                <w:szCs w:val="24"/>
              </w:rPr>
            </w:pPr>
            <w:r w:rsidRPr="00AB3672">
              <w:rPr>
                <w:szCs w:val="24"/>
                <w:lang w:eastAsia="lt-LT"/>
              </w:rPr>
              <w:t>IP įvertinta veiklos išlaidų struktūra atitinka Projekto specifiką – numatytos darbo užmokesčio, komunalinių paslaugų, taip pat infrastruktūros būklės palaikymo išlaidos, skaičiuojamos viso pastato vertei, bei kitos išlaidos. Išlaidų dydis vertinamas pagal veikiančio panašaus objekto -Rokiškio baseino išlaidų proporciją įvertinant IP rengimo metu galiojusias komunalinių paslaugų kainas, todėl jų dydį koreguos ženkliai išaugusios šildymo ir el. energijos kainos, o taip pat augantis rinkos vidutinis darbo užmokestis. Numatytos infrastruktūros būklės palaikymo išlaidos (~10 tūkst. Eur pirmaisiais 5 metais bei ~15 tūkst. Eur sekančiais metais) gana žemos; įprastai, perduodant turtą privačiam partneriui ir siekiant aukštesnio priežiūros standarto, šios išlaidos būna numatomos didesnės.</w:t>
            </w:r>
          </w:p>
          <w:p w14:paraId="435E472A" w14:textId="77777777" w:rsidR="00AB3672" w:rsidRPr="00AB3672" w:rsidRDefault="00AB3672" w:rsidP="00AB3672">
            <w:pPr>
              <w:rPr>
                <w:szCs w:val="24"/>
                <w:lang w:eastAsia="lt-LT"/>
              </w:rPr>
            </w:pPr>
          </w:p>
          <w:p w14:paraId="12DCDEA4" w14:textId="77777777" w:rsidR="00AB3672" w:rsidRPr="00AB3672" w:rsidRDefault="00AB3672" w:rsidP="00AB3672">
            <w:pPr>
              <w:numPr>
                <w:ilvl w:val="0"/>
                <w:numId w:val="31"/>
              </w:numPr>
              <w:contextualSpacing/>
              <w:rPr>
                <w:b/>
                <w:i/>
                <w:szCs w:val="24"/>
                <w:lang w:eastAsia="lt-LT"/>
              </w:rPr>
            </w:pPr>
            <w:r w:rsidRPr="00AB3672">
              <w:rPr>
                <w:b/>
                <w:i/>
                <w:szCs w:val="24"/>
                <w:lang w:eastAsia="lt-LT"/>
              </w:rPr>
              <w:t xml:space="preserve">Rizikos identifikavimo ir poveikio įvertinimo korektiškumas </w:t>
            </w:r>
          </w:p>
          <w:p w14:paraId="3E55FEE3" w14:textId="77777777" w:rsidR="00AB3672" w:rsidRPr="00AB3672" w:rsidRDefault="00AB3672" w:rsidP="00AB3672">
            <w:pPr>
              <w:jc w:val="both"/>
              <w:rPr>
                <w:szCs w:val="24"/>
                <w:lang w:eastAsia="lt-LT"/>
              </w:rPr>
            </w:pPr>
            <w:r w:rsidRPr="00AB3672">
              <w:rPr>
                <w:szCs w:val="24"/>
                <w:lang w:eastAsia="lt-LT"/>
              </w:rPr>
              <w:t xml:space="preserve">Apskaičiuojant rizikos (išlaidų padidėjimo bei pajamų sumažėjimo) vertes, IP skaičiuoklėje naudojami integruoti standartiniai rizikos tikimybių skirstinių parametrai, todėl rizikų vertės apskaičiuotos korektiškai ir atspindi galimą didesnį lėšų poreikį Projekto įgyvendinimui. </w:t>
            </w:r>
          </w:p>
        </w:tc>
      </w:tr>
    </w:tbl>
    <w:p w14:paraId="729AABFD" w14:textId="77777777" w:rsidR="00AB3672" w:rsidRDefault="00AB3672">
      <w:pPr>
        <w:rPr>
          <w:b/>
          <w:szCs w:val="24"/>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212"/>
        <w:gridCol w:w="3071"/>
        <w:gridCol w:w="3072"/>
      </w:tblGrid>
      <w:tr w:rsidR="00AB3672" w:rsidRPr="00AB3672" w14:paraId="62E74286" w14:textId="77777777" w:rsidTr="00D455F3">
        <w:tc>
          <w:tcPr>
            <w:tcW w:w="13745" w:type="dxa"/>
            <w:gridSpan w:val="4"/>
            <w:shd w:val="clear" w:color="auto" w:fill="D9D9D9" w:themeFill="background1" w:themeFillShade="D9"/>
          </w:tcPr>
          <w:p w14:paraId="06401160" w14:textId="77777777" w:rsidR="00AB3672" w:rsidRPr="00AB3672" w:rsidRDefault="00AB3672" w:rsidP="00AB3672">
            <w:pPr>
              <w:ind w:left="720" w:hanging="360"/>
              <w:jc w:val="center"/>
              <w:rPr>
                <w:b/>
                <w:szCs w:val="24"/>
                <w:lang w:eastAsia="lt-LT"/>
              </w:rPr>
            </w:pPr>
            <w:r w:rsidRPr="00AB3672">
              <w:rPr>
                <w:b/>
                <w:szCs w:val="24"/>
                <w:lang w:eastAsia="lt-LT"/>
              </w:rPr>
              <w:t>3.</w:t>
            </w:r>
            <w:r w:rsidRPr="00AB3672">
              <w:rPr>
                <w:b/>
                <w:szCs w:val="24"/>
                <w:lang w:eastAsia="lt-LT"/>
              </w:rPr>
              <w:tab/>
              <w:t>Investicijų projekto finansinė, socialinė-ekonominė nauda</w:t>
            </w:r>
          </w:p>
        </w:tc>
      </w:tr>
      <w:tr w:rsidR="00AB3672" w:rsidRPr="00AB3672" w14:paraId="1545E43B" w14:textId="77777777" w:rsidTr="00D455F3">
        <w:tc>
          <w:tcPr>
            <w:tcW w:w="4390" w:type="dxa"/>
            <w:vMerge w:val="restart"/>
            <w:shd w:val="clear" w:color="auto" w:fill="D9D9D9" w:themeFill="background1" w:themeFillShade="D9"/>
          </w:tcPr>
          <w:p w14:paraId="5CF006CA" w14:textId="77777777" w:rsidR="00AB3672" w:rsidRPr="00AB3672" w:rsidRDefault="00AB3672" w:rsidP="00AB3672">
            <w:pPr>
              <w:rPr>
                <w:szCs w:val="24"/>
                <w:lang w:eastAsia="lt-LT"/>
              </w:rPr>
            </w:pPr>
            <w:r w:rsidRPr="00AB3672">
              <w:rPr>
                <w:szCs w:val="24"/>
                <w:lang w:eastAsia="lt-LT"/>
              </w:rPr>
              <w:t>3.1. Finansiniai rodikliai</w:t>
            </w:r>
            <w:r w:rsidRPr="00AB3672">
              <w:rPr>
                <w:szCs w:val="24"/>
                <w:vertAlign w:val="superscript"/>
                <w:lang w:eastAsia="lt-LT"/>
              </w:rPr>
              <w:footnoteReference w:id="1"/>
            </w:r>
          </w:p>
        </w:tc>
        <w:tc>
          <w:tcPr>
            <w:tcW w:w="3212" w:type="dxa"/>
            <w:shd w:val="clear" w:color="auto" w:fill="D9D9D9" w:themeFill="background1" w:themeFillShade="D9"/>
          </w:tcPr>
          <w:p w14:paraId="7F4153BD" w14:textId="77777777" w:rsidR="00AB3672" w:rsidRPr="00AB3672" w:rsidRDefault="00AB3672" w:rsidP="00AB3672">
            <w:pPr>
              <w:jc w:val="center"/>
              <w:rPr>
                <w:szCs w:val="24"/>
                <w:lang w:eastAsia="lt-LT"/>
              </w:rPr>
            </w:pPr>
            <w:r w:rsidRPr="00AB3672">
              <w:rPr>
                <w:szCs w:val="24"/>
                <w:lang w:eastAsia="lt-LT"/>
              </w:rPr>
              <w:t>FGDV investicijoms</w:t>
            </w:r>
            <w:r w:rsidRPr="00AB3672">
              <w:rPr>
                <w:szCs w:val="24"/>
                <w:vertAlign w:val="superscript"/>
                <w:lang w:eastAsia="lt-LT"/>
              </w:rPr>
              <w:footnoteReference w:id="2"/>
            </w:r>
          </w:p>
          <w:p w14:paraId="08366A22" w14:textId="77777777" w:rsidR="00AB3672" w:rsidRPr="00AB3672" w:rsidRDefault="00AB3672" w:rsidP="00AB3672">
            <w:pPr>
              <w:jc w:val="center"/>
              <w:rPr>
                <w:szCs w:val="24"/>
                <w:lang w:eastAsia="lt-LT"/>
              </w:rPr>
            </w:pPr>
          </w:p>
        </w:tc>
        <w:tc>
          <w:tcPr>
            <w:tcW w:w="3071" w:type="dxa"/>
            <w:shd w:val="clear" w:color="auto" w:fill="D9D9D9" w:themeFill="background1" w:themeFillShade="D9"/>
          </w:tcPr>
          <w:p w14:paraId="2A924031" w14:textId="77777777" w:rsidR="00AB3672" w:rsidRPr="00AB3672" w:rsidRDefault="00AB3672" w:rsidP="00AB3672">
            <w:pPr>
              <w:jc w:val="center"/>
              <w:rPr>
                <w:szCs w:val="24"/>
                <w:lang w:eastAsia="lt-LT"/>
              </w:rPr>
            </w:pPr>
            <w:r w:rsidRPr="00AB3672">
              <w:rPr>
                <w:szCs w:val="24"/>
                <w:lang w:eastAsia="lt-LT"/>
              </w:rPr>
              <w:t>FVGN investicijoms</w:t>
            </w:r>
            <w:r w:rsidRPr="00AB3672">
              <w:rPr>
                <w:szCs w:val="24"/>
                <w:vertAlign w:val="superscript"/>
                <w:lang w:eastAsia="lt-LT"/>
              </w:rPr>
              <w:footnoteReference w:id="3"/>
            </w:r>
          </w:p>
        </w:tc>
        <w:tc>
          <w:tcPr>
            <w:tcW w:w="3072" w:type="dxa"/>
            <w:shd w:val="clear" w:color="auto" w:fill="D9D9D9" w:themeFill="background1" w:themeFillShade="D9"/>
          </w:tcPr>
          <w:p w14:paraId="47B5673A" w14:textId="77777777" w:rsidR="00AB3672" w:rsidRPr="00AB3672" w:rsidRDefault="00AB3672" w:rsidP="00AB3672">
            <w:pPr>
              <w:jc w:val="center"/>
              <w:rPr>
                <w:szCs w:val="24"/>
                <w:lang w:eastAsia="lt-LT"/>
              </w:rPr>
            </w:pPr>
            <w:r w:rsidRPr="00AB3672">
              <w:rPr>
                <w:szCs w:val="24"/>
                <w:lang w:eastAsia="lt-LT"/>
              </w:rPr>
              <w:t>FNIS</w:t>
            </w:r>
            <w:r w:rsidRPr="00AB3672">
              <w:rPr>
                <w:szCs w:val="24"/>
                <w:vertAlign w:val="superscript"/>
                <w:lang w:eastAsia="lt-LT"/>
              </w:rPr>
              <w:footnoteReference w:id="4"/>
            </w:r>
          </w:p>
        </w:tc>
      </w:tr>
      <w:tr w:rsidR="00AB3672" w:rsidRPr="00AB3672" w14:paraId="7ED00BDD" w14:textId="77777777" w:rsidTr="00D455F3">
        <w:tc>
          <w:tcPr>
            <w:tcW w:w="4390" w:type="dxa"/>
            <w:vMerge/>
          </w:tcPr>
          <w:p w14:paraId="35515BD7" w14:textId="77777777" w:rsidR="00AB3672" w:rsidRPr="00AB3672" w:rsidRDefault="00AB3672" w:rsidP="00AB3672"/>
        </w:tc>
        <w:tc>
          <w:tcPr>
            <w:tcW w:w="3212" w:type="dxa"/>
          </w:tcPr>
          <w:p w14:paraId="0D3D079F" w14:textId="77777777" w:rsidR="00AB3672" w:rsidRPr="00AB3672" w:rsidRDefault="00AB3672" w:rsidP="00AB3672">
            <w:pPr>
              <w:jc w:val="center"/>
              <w:rPr>
                <w:szCs w:val="24"/>
                <w:lang w:eastAsia="lt-LT"/>
              </w:rPr>
            </w:pPr>
            <w:r w:rsidRPr="00AB3672">
              <w:rPr>
                <w:szCs w:val="24"/>
                <w:lang w:eastAsia="lt-LT"/>
              </w:rPr>
              <w:t>-2 640 755</w:t>
            </w:r>
          </w:p>
        </w:tc>
        <w:tc>
          <w:tcPr>
            <w:tcW w:w="3071" w:type="dxa"/>
          </w:tcPr>
          <w:p w14:paraId="795A214B" w14:textId="77777777" w:rsidR="00AB3672" w:rsidRPr="00AB3672" w:rsidRDefault="00AB3672" w:rsidP="00AB3672">
            <w:pPr>
              <w:jc w:val="center"/>
              <w:rPr>
                <w:szCs w:val="24"/>
                <w:lang w:val="en-US" w:eastAsia="lt-LT"/>
              </w:rPr>
            </w:pPr>
            <w:r w:rsidRPr="00AB3672">
              <w:rPr>
                <w:szCs w:val="24"/>
                <w:lang w:val="en-US" w:eastAsia="lt-LT"/>
              </w:rPr>
              <w:t>-</w:t>
            </w:r>
          </w:p>
        </w:tc>
        <w:tc>
          <w:tcPr>
            <w:tcW w:w="3072" w:type="dxa"/>
          </w:tcPr>
          <w:p w14:paraId="11BC45D7" w14:textId="77777777" w:rsidR="00AB3672" w:rsidRPr="00AB3672" w:rsidRDefault="00AB3672" w:rsidP="00AB3672">
            <w:pPr>
              <w:jc w:val="center"/>
              <w:rPr>
                <w:szCs w:val="24"/>
                <w:lang w:eastAsia="lt-LT"/>
              </w:rPr>
            </w:pPr>
            <w:r w:rsidRPr="00AB3672">
              <w:rPr>
                <w:szCs w:val="24"/>
                <w:lang w:eastAsia="lt-LT"/>
              </w:rPr>
              <w:t>0,51</w:t>
            </w:r>
          </w:p>
        </w:tc>
      </w:tr>
      <w:tr w:rsidR="00AB3672" w:rsidRPr="00AB3672" w14:paraId="228F910C" w14:textId="77777777" w:rsidTr="00D455F3">
        <w:tc>
          <w:tcPr>
            <w:tcW w:w="4390" w:type="dxa"/>
            <w:shd w:val="clear" w:color="auto" w:fill="D9D9D9" w:themeFill="background1" w:themeFillShade="D9"/>
          </w:tcPr>
          <w:p w14:paraId="0E64176C" w14:textId="77777777" w:rsidR="00AB3672" w:rsidRPr="00AB3672" w:rsidRDefault="00AB3672" w:rsidP="00AB3672">
            <w:pPr>
              <w:rPr>
                <w:szCs w:val="24"/>
                <w:lang w:eastAsia="lt-LT"/>
              </w:rPr>
            </w:pPr>
            <w:r w:rsidRPr="00AB3672">
              <w:rPr>
                <w:szCs w:val="24"/>
                <w:lang w:eastAsia="lt-LT"/>
              </w:rPr>
              <w:lastRenderedPageBreak/>
              <w:t>3.2. Socialinio-ekonominio poveikio naudos (žalos) ir išorinis poveikis</w:t>
            </w:r>
          </w:p>
        </w:tc>
        <w:tc>
          <w:tcPr>
            <w:tcW w:w="9355" w:type="dxa"/>
            <w:gridSpan w:val="3"/>
          </w:tcPr>
          <w:p w14:paraId="30E340B5" w14:textId="77777777" w:rsidR="00AB3672" w:rsidRPr="00AB3672" w:rsidRDefault="00AB3672" w:rsidP="00AB3672">
            <w:pPr>
              <w:jc w:val="both"/>
              <w:rPr>
                <w:szCs w:val="24"/>
                <w:lang w:eastAsia="lt-LT"/>
              </w:rPr>
            </w:pPr>
            <w:r w:rsidRPr="00AB3672">
              <w:rPr>
                <w:szCs w:val="24"/>
                <w:lang w:eastAsia="lt-LT"/>
              </w:rPr>
              <w:t>Projekto socialinei ekonominei naudai įvertinti, naudojami komponentai:</w:t>
            </w:r>
          </w:p>
          <w:p w14:paraId="19363B9E" w14:textId="77777777" w:rsidR="00AB3672" w:rsidRPr="00AB3672" w:rsidRDefault="00AB3672" w:rsidP="00AB3672">
            <w:pPr>
              <w:jc w:val="both"/>
              <w:rPr>
                <w:szCs w:val="24"/>
                <w:lang w:eastAsia="lt-LT"/>
              </w:rPr>
            </w:pPr>
            <w:r w:rsidRPr="00AB3672">
              <w:rPr>
                <w:szCs w:val="24"/>
                <w:lang w:eastAsia="lt-LT"/>
              </w:rPr>
              <w:t>- pasiryžimas sumokėti už padidėjusį neformaliojo švietimo paslaugų prieinamumą ir pagerėjusią kokybę (išvengtos auklės samdymo sąnaudos) – neformaliojo ugdymo dalyviams;</w:t>
            </w:r>
          </w:p>
          <w:p w14:paraId="5099EA66" w14:textId="77777777" w:rsidR="00AB3672" w:rsidRPr="00AB3672" w:rsidRDefault="00AB3672" w:rsidP="00AB3672">
            <w:pPr>
              <w:jc w:val="both"/>
              <w:rPr>
                <w:i/>
                <w:iCs/>
                <w:szCs w:val="24"/>
                <w:lang w:eastAsia="lt-LT"/>
              </w:rPr>
            </w:pPr>
            <w:r w:rsidRPr="00AB3672">
              <w:rPr>
                <w:szCs w:val="24"/>
                <w:lang w:eastAsia="lt-LT"/>
              </w:rPr>
              <w:t>- pasiryžimas sumokėti už padidėjusį neformaliojo švietimo paslaugų prieinamumą ir pagerėjusią kokybę (laiko sąnaudos) – išorės vartotojams.</w:t>
            </w:r>
          </w:p>
          <w:p w14:paraId="3BC22844" w14:textId="77777777" w:rsidR="00AB3672" w:rsidRPr="00AB3672" w:rsidRDefault="00AB3672" w:rsidP="00AB3672">
            <w:pPr>
              <w:jc w:val="both"/>
              <w:rPr>
                <w:szCs w:val="24"/>
                <w:lang w:eastAsia="lt-LT"/>
              </w:rPr>
            </w:pPr>
            <w:r w:rsidRPr="00AB3672">
              <w:rPr>
                <w:szCs w:val="24"/>
                <w:lang w:eastAsia="lt-LT"/>
              </w:rPr>
              <w:t>Projekto ekonominės naudos rodikliai skaičiuojami įvertinant bendrą Projekto vertę, t.y. įtraukiant 5,3 mln. Eur I etapo statybos darbų išlaidas bei įvertinant pastato likutinę vertę, kai naudingo tarnavimo laikotarpis yra 30 metų.</w:t>
            </w:r>
          </w:p>
        </w:tc>
      </w:tr>
      <w:tr w:rsidR="00AB3672" w:rsidRPr="00AB3672" w14:paraId="77A7E372" w14:textId="77777777" w:rsidTr="00D455F3">
        <w:tc>
          <w:tcPr>
            <w:tcW w:w="4390" w:type="dxa"/>
            <w:vMerge w:val="restart"/>
            <w:shd w:val="clear" w:color="auto" w:fill="D9D9D9" w:themeFill="background1" w:themeFillShade="D9"/>
          </w:tcPr>
          <w:p w14:paraId="78BC32C0" w14:textId="77777777" w:rsidR="00AB3672" w:rsidRPr="00AB3672" w:rsidRDefault="00AB3672" w:rsidP="00AB3672">
            <w:pPr>
              <w:rPr>
                <w:szCs w:val="24"/>
                <w:lang w:eastAsia="lt-LT"/>
              </w:rPr>
            </w:pPr>
            <w:r w:rsidRPr="00AB3672">
              <w:rPr>
                <w:szCs w:val="24"/>
                <w:lang w:eastAsia="lt-LT"/>
              </w:rPr>
              <w:t>3.3. Ekonominiai rodikliai</w:t>
            </w:r>
          </w:p>
        </w:tc>
        <w:tc>
          <w:tcPr>
            <w:tcW w:w="3212" w:type="dxa"/>
            <w:shd w:val="clear" w:color="auto" w:fill="D9D9D9" w:themeFill="background1" w:themeFillShade="D9"/>
          </w:tcPr>
          <w:p w14:paraId="66F3F532" w14:textId="77777777" w:rsidR="00AB3672" w:rsidRPr="00AB3672" w:rsidRDefault="00AB3672" w:rsidP="00AB3672">
            <w:pPr>
              <w:jc w:val="center"/>
              <w:rPr>
                <w:szCs w:val="24"/>
                <w:lang w:eastAsia="lt-LT"/>
              </w:rPr>
            </w:pPr>
            <w:r w:rsidRPr="00AB3672">
              <w:rPr>
                <w:szCs w:val="24"/>
                <w:lang w:eastAsia="lt-LT"/>
              </w:rPr>
              <w:t>EGDV</w:t>
            </w:r>
            <w:r w:rsidRPr="00AB3672">
              <w:rPr>
                <w:szCs w:val="24"/>
                <w:vertAlign w:val="superscript"/>
                <w:lang w:eastAsia="lt-LT"/>
              </w:rPr>
              <w:footnoteReference w:id="5"/>
            </w:r>
          </w:p>
        </w:tc>
        <w:tc>
          <w:tcPr>
            <w:tcW w:w="3071" w:type="dxa"/>
            <w:shd w:val="clear" w:color="auto" w:fill="D9D9D9" w:themeFill="background1" w:themeFillShade="D9"/>
          </w:tcPr>
          <w:p w14:paraId="38126C56" w14:textId="77777777" w:rsidR="00AB3672" w:rsidRPr="00AB3672" w:rsidRDefault="00AB3672" w:rsidP="00AB3672">
            <w:pPr>
              <w:jc w:val="center"/>
              <w:rPr>
                <w:szCs w:val="24"/>
                <w:lang w:eastAsia="lt-LT"/>
              </w:rPr>
            </w:pPr>
            <w:r w:rsidRPr="00AB3672">
              <w:rPr>
                <w:szCs w:val="24"/>
                <w:lang w:eastAsia="lt-LT"/>
              </w:rPr>
              <w:t>EVGN</w:t>
            </w:r>
            <w:r w:rsidRPr="00AB3672">
              <w:rPr>
                <w:szCs w:val="24"/>
                <w:vertAlign w:val="superscript"/>
                <w:lang w:eastAsia="lt-LT"/>
              </w:rPr>
              <w:footnoteReference w:id="6"/>
            </w:r>
          </w:p>
        </w:tc>
        <w:tc>
          <w:tcPr>
            <w:tcW w:w="3072" w:type="dxa"/>
            <w:shd w:val="clear" w:color="auto" w:fill="D9D9D9" w:themeFill="background1" w:themeFillShade="D9"/>
          </w:tcPr>
          <w:p w14:paraId="35D2EBAC" w14:textId="77777777" w:rsidR="00AB3672" w:rsidRPr="00AB3672" w:rsidRDefault="00AB3672" w:rsidP="00AB3672">
            <w:pPr>
              <w:jc w:val="center"/>
              <w:rPr>
                <w:szCs w:val="24"/>
                <w:lang w:eastAsia="lt-LT"/>
              </w:rPr>
            </w:pPr>
            <w:r w:rsidRPr="00AB3672">
              <w:rPr>
                <w:szCs w:val="24"/>
                <w:lang w:eastAsia="lt-LT"/>
              </w:rPr>
              <w:t>ENIS</w:t>
            </w:r>
            <w:r w:rsidRPr="00AB3672">
              <w:rPr>
                <w:szCs w:val="24"/>
                <w:vertAlign w:val="superscript"/>
                <w:lang w:eastAsia="lt-LT"/>
              </w:rPr>
              <w:footnoteReference w:id="7"/>
            </w:r>
          </w:p>
        </w:tc>
      </w:tr>
      <w:tr w:rsidR="00AB3672" w:rsidRPr="00AB3672" w14:paraId="61141A18" w14:textId="77777777" w:rsidTr="00D455F3">
        <w:tc>
          <w:tcPr>
            <w:tcW w:w="4390" w:type="dxa"/>
            <w:vMerge/>
            <w:tcBorders>
              <w:bottom w:val="single" w:sz="12" w:space="0" w:color="auto"/>
            </w:tcBorders>
            <w:shd w:val="clear" w:color="auto" w:fill="D9D9D9" w:themeFill="background1" w:themeFillShade="D9"/>
          </w:tcPr>
          <w:p w14:paraId="7ECD94EE" w14:textId="77777777" w:rsidR="00AB3672" w:rsidRPr="00AB3672" w:rsidRDefault="00AB3672" w:rsidP="00AB3672"/>
        </w:tc>
        <w:tc>
          <w:tcPr>
            <w:tcW w:w="3212" w:type="dxa"/>
            <w:tcBorders>
              <w:bottom w:val="single" w:sz="12" w:space="0" w:color="auto"/>
            </w:tcBorders>
          </w:tcPr>
          <w:p w14:paraId="2FD76CDE" w14:textId="77777777" w:rsidR="00AB3672" w:rsidRPr="00AB3672" w:rsidRDefault="00AB3672" w:rsidP="00AB3672">
            <w:pPr>
              <w:jc w:val="center"/>
              <w:rPr>
                <w:szCs w:val="24"/>
                <w:lang w:eastAsia="lt-LT"/>
              </w:rPr>
            </w:pPr>
            <w:r w:rsidRPr="00AB3672">
              <w:rPr>
                <w:szCs w:val="24"/>
                <w:lang w:eastAsia="lt-LT"/>
              </w:rPr>
              <w:t>- 2 250 619</w:t>
            </w:r>
          </w:p>
        </w:tc>
        <w:tc>
          <w:tcPr>
            <w:tcW w:w="3071" w:type="dxa"/>
            <w:tcBorders>
              <w:bottom w:val="single" w:sz="12" w:space="0" w:color="auto"/>
            </w:tcBorders>
          </w:tcPr>
          <w:p w14:paraId="7678449B" w14:textId="77777777" w:rsidR="00AB3672" w:rsidRPr="00AB3672" w:rsidRDefault="00AB3672" w:rsidP="00AB3672">
            <w:pPr>
              <w:jc w:val="center"/>
              <w:rPr>
                <w:szCs w:val="24"/>
                <w:lang w:eastAsia="lt-LT"/>
              </w:rPr>
            </w:pPr>
            <w:r w:rsidRPr="00AB3672">
              <w:rPr>
                <w:szCs w:val="24"/>
                <w:lang w:eastAsia="lt-LT"/>
              </w:rPr>
              <w:t>0,55%</w:t>
            </w:r>
          </w:p>
        </w:tc>
        <w:tc>
          <w:tcPr>
            <w:tcW w:w="3072" w:type="dxa"/>
            <w:tcBorders>
              <w:bottom w:val="single" w:sz="12" w:space="0" w:color="auto"/>
            </w:tcBorders>
          </w:tcPr>
          <w:p w14:paraId="7EECE4D7" w14:textId="77777777" w:rsidR="00AB3672" w:rsidRPr="00AB3672" w:rsidRDefault="00AB3672" w:rsidP="00AB3672">
            <w:pPr>
              <w:jc w:val="center"/>
              <w:rPr>
                <w:szCs w:val="24"/>
                <w:lang w:eastAsia="lt-LT"/>
              </w:rPr>
            </w:pPr>
            <w:r w:rsidRPr="00AB3672">
              <w:rPr>
                <w:szCs w:val="24"/>
                <w:lang w:eastAsia="lt-LT"/>
              </w:rPr>
              <w:t>0,74</w:t>
            </w:r>
          </w:p>
        </w:tc>
      </w:tr>
      <w:tr w:rsidR="00AB3672" w:rsidRPr="00AB3672" w14:paraId="0923CB4A" w14:textId="77777777" w:rsidTr="00D455F3">
        <w:tc>
          <w:tcPr>
            <w:tcW w:w="13745" w:type="dxa"/>
            <w:gridSpan w:val="4"/>
            <w:tcBorders>
              <w:left w:val="single" w:sz="12" w:space="0" w:color="auto"/>
              <w:bottom w:val="single" w:sz="12" w:space="0" w:color="auto"/>
              <w:right w:val="single" w:sz="12" w:space="0" w:color="auto"/>
            </w:tcBorders>
          </w:tcPr>
          <w:p w14:paraId="5B39ECA6" w14:textId="77777777" w:rsidR="00AB3672" w:rsidRPr="00AB3672" w:rsidRDefault="00AB3672" w:rsidP="00AB3672">
            <w:pPr>
              <w:rPr>
                <w:i/>
                <w:szCs w:val="24"/>
                <w:lang w:eastAsia="lt-LT"/>
              </w:rPr>
            </w:pPr>
            <w:r w:rsidRPr="00AB3672">
              <w:rPr>
                <w:b/>
                <w:szCs w:val="24"/>
                <w:lang w:eastAsia="lt-LT"/>
              </w:rPr>
              <w:t>CPVA išvada</w:t>
            </w:r>
            <w:r w:rsidRPr="00AB3672">
              <w:rPr>
                <w:i/>
                <w:szCs w:val="24"/>
                <w:lang w:eastAsia="lt-LT"/>
              </w:rPr>
              <w:t xml:space="preserve"> </w:t>
            </w:r>
          </w:p>
          <w:p w14:paraId="583885A7" w14:textId="77777777" w:rsidR="00AB3672" w:rsidRPr="00AB3672" w:rsidRDefault="00AB3672" w:rsidP="00AB3672">
            <w:pPr>
              <w:numPr>
                <w:ilvl w:val="0"/>
                <w:numId w:val="32"/>
              </w:numPr>
              <w:rPr>
                <w:b/>
                <w:i/>
                <w:szCs w:val="24"/>
                <w:lang w:eastAsia="lt-LT"/>
              </w:rPr>
            </w:pPr>
            <w:r w:rsidRPr="00AB3672">
              <w:rPr>
                <w:b/>
                <w:i/>
                <w:szCs w:val="24"/>
                <w:lang w:eastAsia="lt-LT"/>
              </w:rPr>
              <w:t xml:space="preserve">Išorinio socialinio-ekonominio poveikio apskaičiavimo pagrįstumas. Rodiklių vertinimas. </w:t>
            </w:r>
          </w:p>
          <w:p w14:paraId="0B6C4059" w14:textId="77777777" w:rsidR="00AB3672" w:rsidRPr="00D455F3" w:rsidRDefault="00AB3672" w:rsidP="00AB3672">
            <w:pPr>
              <w:widowControl w:val="0"/>
              <w:jc w:val="both"/>
              <w:rPr>
                <w:szCs w:val="24"/>
              </w:rPr>
            </w:pPr>
            <w:r w:rsidRPr="00AB3672">
              <w:rPr>
                <w:szCs w:val="24"/>
              </w:rPr>
              <w:t>Finansinėje ir ekonominėje analizėje atliekant piniginių srautų diskontavimą naudojamos pagrįstos rekomenduojamos diskonto normos, atitinkamai 4% ir</w:t>
            </w:r>
            <w:r w:rsidRPr="00D455F3">
              <w:rPr>
                <w:szCs w:val="24"/>
              </w:rPr>
              <w:t xml:space="preserve"> 5 %.</w:t>
            </w:r>
          </w:p>
          <w:p w14:paraId="52ED404B" w14:textId="51008293" w:rsidR="00AB3672" w:rsidRPr="00AB3672" w:rsidRDefault="00AB3672" w:rsidP="00AB3672">
            <w:pPr>
              <w:widowControl w:val="0"/>
              <w:jc w:val="both"/>
              <w:rPr>
                <w:szCs w:val="24"/>
              </w:rPr>
            </w:pPr>
            <w:r w:rsidRPr="00AB3672">
              <w:rPr>
                <w:szCs w:val="24"/>
              </w:rPr>
              <w:t>Neigiami Projekto finansinės grąžos rodikliai rodo, kad Projektas su numatytomis prielaidomis nėra finansiškai atsiperkantis ir negalėtų būti patrauklus rinkos dalyviams dėl finansinės grąžos ne</w:t>
            </w:r>
            <w:r w:rsidR="00FB3E41">
              <w:rPr>
                <w:szCs w:val="24"/>
              </w:rPr>
              <w:t xml:space="preserve">buvimo be papildomų Savivaldybės </w:t>
            </w:r>
            <w:r w:rsidRPr="00AB3672">
              <w:rPr>
                <w:szCs w:val="24"/>
              </w:rPr>
              <w:t xml:space="preserve">mokėjimų. </w:t>
            </w:r>
          </w:p>
          <w:p w14:paraId="6FA3AA1F" w14:textId="39B36CAA" w:rsidR="00456178" w:rsidRDefault="00AB3672" w:rsidP="00AB3672">
            <w:pPr>
              <w:widowControl w:val="0"/>
              <w:jc w:val="both"/>
              <w:rPr>
                <w:szCs w:val="24"/>
              </w:rPr>
            </w:pPr>
            <w:r w:rsidRPr="00AB3672">
              <w:rPr>
                <w:szCs w:val="24"/>
              </w:rPr>
              <w:t xml:space="preserve">IP alternatyvos lygintos tarpusavyje remiantis ekonominės grąžos rodikliais, apskaičiuotais įtraukiant tik statybos II etapo darbus, </w:t>
            </w:r>
            <w:r w:rsidR="000A4A36">
              <w:rPr>
                <w:szCs w:val="24"/>
              </w:rPr>
              <w:t>pasirinkta alternatyva, kurios nauda didesnė. S</w:t>
            </w:r>
            <w:r w:rsidRPr="00AB3672">
              <w:rPr>
                <w:szCs w:val="24"/>
              </w:rPr>
              <w:t xml:space="preserve">kaičiavimams naudotos gana optimistinės prielaidos dėl kelionės laiko sutaupymo (2 val.) paslaugų vartotojams bei naudos skaičiavimo pilna apimtimi jau veikiančiai teniso ir padelio infrastruktūrai (turėtų būti vertinama nauda užimtumo pokyčiui). Tačiau nepaisant šių vertinimo netikslumų, vertinant Projekto ekonominę naudą visuomenei bendrame Projekto kontekste (t.y. įtraukiant </w:t>
            </w:r>
            <w:r w:rsidR="000E3F36">
              <w:rPr>
                <w:szCs w:val="24"/>
              </w:rPr>
              <w:t xml:space="preserve">ir </w:t>
            </w:r>
            <w:r w:rsidRPr="00AB3672">
              <w:rPr>
                <w:szCs w:val="24"/>
              </w:rPr>
              <w:t xml:space="preserve">IP nurodytas I statybos etapo išlaidas), ekonominės grąžos rodikliai yra neigiami, - projekto generuojama ekonominė nauda yra žemesnė nei Projekto išlaidos, </w:t>
            </w:r>
            <w:r w:rsidR="000E3F36">
              <w:rPr>
                <w:szCs w:val="24"/>
              </w:rPr>
              <w:t xml:space="preserve">t.y. generuojama nauda nėra pakankama atpirkti į Projektą jau įdėtų ir planuojamų įdėti lėšų. </w:t>
            </w:r>
          </w:p>
          <w:p w14:paraId="72C84C4B" w14:textId="4173077C" w:rsidR="00AB3672" w:rsidRPr="00AB3672" w:rsidRDefault="00456178" w:rsidP="00AB3672">
            <w:pPr>
              <w:widowControl w:val="0"/>
              <w:jc w:val="both"/>
              <w:rPr>
                <w:szCs w:val="24"/>
              </w:rPr>
            </w:pPr>
            <w:r>
              <w:rPr>
                <w:szCs w:val="24"/>
              </w:rPr>
              <w:t xml:space="preserve">Galima Projekto nauda </w:t>
            </w:r>
            <w:r w:rsidRPr="00456178">
              <w:rPr>
                <w:szCs w:val="24"/>
              </w:rPr>
              <w:t xml:space="preserve">gyventojų fiziniam aktyvumui, sveikatos būklės gerinimui, </w:t>
            </w:r>
            <w:r>
              <w:rPr>
                <w:szCs w:val="24"/>
              </w:rPr>
              <w:t xml:space="preserve">dėl </w:t>
            </w:r>
            <w:r w:rsidRPr="00456178">
              <w:rPr>
                <w:szCs w:val="24"/>
              </w:rPr>
              <w:t>sudaromos galimybės įgyti ir tobulinti plaukimo įgūdžius vaikams</w:t>
            </w:r>
            <w:r>
              <w:rPr>
                <w:szCs w:val="24"/>
              </w:rPr>
              <w:t xml:space="preserve"> galbūt būtų išvengta dalies skendimo atvejų, tačiau šią naudą pakankamai sudėtinga pamatuoti ir pagrįsti Projekto kontekste.</w:t>
            </w:r>
          </w:p>
        </w:tc>
      </w:tr>
    </w:tbl>
    <w:p w14:paraId="5607B20C" w14:textId="7ABE539D" w:rsidR="00294349" w:rsidRDefault="00294349">
      <w:pPr>
        <w:rPr>
          <w:b/>
          <w:szCs w:val="24"/>
          <w:lang w:eastAsia="lt-LT"/>
        </w:rPr>
      </w:pPr>
      <w:r>
        <w:rPr>
          <w:b/>
          <w:szCs w:val="24"/>
          <w:lang w:eastAsia="lt-LT"/>
        </w:rPr>
        <w:br w:type="page"/>
      </w:r>
    </w:p>
    <w:p w14:paraId="214C6087" w14:textId="77777777" w:rsidR="00AB3672" w:rsidRDefault="00AB3672">
      <w:pPr>
        <w:rPr>
          <w:b/>
          <w:szCs w:val="24"/>
          <w:lang w:eastAsia="lt-LT"/>
        </w:rPr>
      </w:pPr>
    </w:p>
    <w:p w14:paraId="00464AF5" w14:textId="77777777" w:rsidR="009A0866" w:rsidRPr="00BF47BA" w:rsidRDefault="009A0866" w:rsidP="009A0866">
      <w:pPr>
        <w:jc w:val="center"/>
        <w:rPr>
          <w:b/>
          <w:szCs w:val="24"/>
          <w:lang w:eastAsia="lt-LT"/>
        </w:rPr>
      </w:pPr>
      <w:r w:rsidRPr="00BF47BA">
        <w:rPr>
          <w:b/>
          <w:szCs w:val="24"/>
          <w:lang w:eastAsia="lt-LT"/>
        </w:rPr>
        <w:t>II DALIS</w:t>
      </w:r>
    </w:p>
    <w:p w14:paraId="23B64F41" w14:textId="77777777" w:rsidR="009A0866" w:rsidRPr="00BF47BA" w:rsidRDefault="009A0866" w:rsidP="009A0866">
      <w:pPr>
        <w:jc w:val="center"/>
        <w:rPr>
          <w:b/>
          <w:szCs w:val="24"/>
          <w:lang w:eastAsia="lt-LT"/>
        </w:rPr>
      </w:pPr>
    </w:p>
    <w:p w14:paraId="240B3793" w14:textId="77777777" w:rsidR="009A0866" w:rsidRPr="00BF47BA" w:rsidRDefault="009A0866" w:rsidP="009A0866">
      <w:pPr>
        <w:jc w:val="center"/>
        <w:rPr>
          <w:b/>
          <w:szCs w:val="24"/>
          <w:lang w:eastAsia="lt-LT"/>
        </w:rPr>
      </w:pPr>
      <w:r w:rsidRPr="00BF47BA">
        <w:rPr>
          <w:b/>
          <w:szCs w:val="24"/>
          <w:lang w:eastAsia="lt-LT"/>
        </w:rPr>
        <w:t xml:space="preserve">INFORMACIJA APIE PARTNERYSTĖS TAIKYMO TIKSLUS, PP APIMTĮ IR IŠVADA APIE PARTNERYSTĖS TAIKYMO TIKSLINGUMĄ IR NAUDĄ </w:t>
      </w:r>
    </w:p>
    <w:p w14:paraId="5D5FC4CA" w14:textId="77777777" w:rsidR="009A0866" w:rsidRPr="00BF47BA" w:rsidRDefault="009A0866" w:rsidP="009A0866">
      <w:pPr>
        <w:jc w:val="center"/>
        <w:rPr>
          <w:szCs w:val="24"/>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639"/>
      </w:tblGrid>
      <w:tr w:rsidR="009A0866" w:rsidRPr="00BF47BA" w14:paraId="1FDCC7C7" w14:textId="77777777" w:rsidTr="00954A46">
        <w:tc>
          <w:tcPr>
            <w:tcW w:w="13745" w:type="dxa"/>
            <w:gridSpan w:val="2"/>
            <w:shd w:val="clear" w:color="auto" w:fill="D9D9D9" w:themeFill="background1" w:themeFillShade="D9"/>
          </w:tcPr>
          <w:p w14:paraId="3E0D50AD" w14:textId="77777777" w:rsidR="009A0866" w:rsidRPr="00BF47BA" w:rsidRDefault="009A0866" w:rsidP="00D455F3">
            <w:pPr>
              <w:ind w:left="720" w:hanging="360"/>
              <w:jc w:val="center"/>
              <w:rPr>
                <w:b/>
                <w:szCs w:val="24"/>
                <w:lang w:eastAsia="lt-LT"/>
              </w:rPr>
            </w:pPr>
            <w:r w:rsidRPr="00BF47BA">
              <w:rPr>
                <w:b/>
                <w:szCs w:val="24"/>
                <w:lang w:eastAsia="lt-LT"/>
              </w:rPr>
              <w:t>4.</w:t>
            </w:r>
            <w:r w:rsidRPr="00BF47BA">
              <w:rPr>
                <w:b/>
                <w:szCs w:val="24"/>
                <w:lang w:eastAsia="lt-LT"/>
              </w:rPr>
              <w:tab/>
              <w:t>VPSP pagrindiniai duomenys</w:t>
            </w:r>
          </w:p>
        </w:tc>
      </w:tr>
      <w:tr w:rsidR="009A0866" w:rsidRPr="00BF47BA" w14:paraId="1FF494D7" w14:textId="77777777" w:rsidTr="00954A46">
        <w:tc>
          <w:tcPr>
            <w:tcW w:w="4106" w:type="dxa"/>
            <w:shd w:val="clear" w:color="auto" w:fill="D9D9D9" w:themeFill="background1" w:themeFillShade="D9"/>
          </w:tcPr>
          <w:p w14:paraId="73E8E958" w14:textId="77777777" w:rsidR="009A0866" w:rsidRPr="00BF47BA" w:rsidRDefault="009A0866" w:rsidP="00D455F3">
            <w:pPr>
              <w:rPr>
                <w:szCs w:val="24"/>
                <w:lang w:eastAsia="lt-LT"/>
              </w:rPr>
            </w:pPr>
            <w:r w:rsidRPr="00BF47BA">
              <w:rPr>
                <w:szCs w:val="24"/>
                <w:lang w:eastAsia="lt-LT"/>
              </w:rPr>
              <w:t xml:space="preserve">4.1. VPSP taikymo priežastys </w:t>
            </w:r>
          </w:p>
        </w:tc>
        <w:tc>
          <w:tcPr>
            <w:tcW w:w="9639" w:type="dxa"/>
            <w:shd w:val="clear" w:color="auto" w:fill="auto"/>
          </w:tcPr>
          <w:p w14:paraId="494CBCD2" w14:textId="474563D3" w:rsidR="009A0866" w:rsidRPr="00BF47BA" w:rsidRDefault="00FB3E41" w:rsidP="00B54D76">
            <w:pPr>
              <w:jc w:val="both"/>
            </w:pPr>
            <w:r>
              <w:t xml:space="preserve">MRSA </w:t>
            </w:r>
            <w:r w:rsidR="006D6F69" w:rsidRPr="006D6F69">
              <w:t xml:space="preserve">įgyvendina infrastruktūros projektą, kurio metu statomas </w:t>
            </w:r>
            <w:r w:rsidR="00B54D76">
              <w:t xml:space="preserve">Molėtų rajono kūno kultūros ir sporto centro priestatas - </w:t>
            </w:r>
            <w:r w:rsidR="006D6F69" w:rsidRPr="006D6F69">
              <w:t xml:space="preserve">baseino </w:t>
            </w:r>
            <w:r w:rsidR="006D6F69">
              <w:t>pastatas</w:t>
            </w:r>
            <w:r w:rsidR="00E72F36">
              <w:t xml:space="preserve"> (toliau – Baseinas)</w:t>
            </w:r>
            <w:r w:rsidR="006D6F69">
              <w:t xml:space="preserve">. </w:t>
            </w:r>
            <w:r w:rsidR="006D6F69" w:rsidRPr="006D6F69">
              <w:t>Sukurta infrastruktūra sudarys sąlygas organizuoti vandens sporto šakų užsiėmimus, veiks pirčių zona, bus galima praleisti laisvalaikį ir sportuoti naujai įrengtoje</w:t>
            </w:r>
            <w:r w:rsidR="006D6F69">
              <w:t xml:space="preserve"> sporto salėje. Baseino pastato</w:t>
            </w:r>
            <w:r w:rsidR="006D6F69" w:rsidRPr="006D6F69">
              <w:t xml:space="preserve"> infrastruktūros </w:t>
            </w:r>
            <w:r w:rsidR="00296A76">
              <w:t xml:space="preserve">įrengimui, </w:t>
            </w:r>
            <w:r w:rsidR="0028583B">
              <w:t xml:space="preserve">įrangai, </w:t>
            </w:r>
            <w:r w:rsidR="00296A76">
              <w:t>baldams bus reikalingos</w:t>
            </w:r>
            <w:r w:rsidR="006D6F69" w:rsidRPr="006D6F69">
              <w:t xml:space="preserve"> </w:t>
            </w:r>
            <w:r w:rsidR="00296A76">
              <w:t xml:space="preserve">papildomos investicijos, todėl siekiama </w:t>
            </w:r>
            <w:r w:rsidR="006D6F69" w:rsidRPr="006D6F69">
              <w:t>pritraukti privatų subjektą, kuris galėtų užtikrinti visą reikalingą likusią investicijų sumą per įrengimo laikotarpį, prisiimdamas finansavi</w:t>
            </w:r>
            <w:r w:rsidR="00B54D76">
              <w:t>mo riziką, užbaigtų B</w:t>
            </w:r>
            <w:r w:rsidR="006D6F69" w:rsidRPr="006D6F69">
              <w:t xml:space="preserve">aseino įrengimą laiku ir neviršijant sutarto biudžeto. </w:t>
            </w:r>
            <w:r w:rsidR="00BD649E" w:rsidRPr="00BD649E">
              <w:t>Papildomai koncesininkui savivaldybė planuoja</w:t>
            </w:r>
            <w:r w:rsidR="00BD649E">
              <w:t>ma</w:t>
            </w:r>
            <w:r w:rsidR="00BD649E" w:rsidRPr="00BD649E">
              <w:t xml:space="preserve"> perduoti valdyti </w:t>
            </w:r>
            <w:r w:rsidR="00BD649E">
              <w:t xml:space="preserve">šalia statomo Baseino </w:t>
            </w:r>
            <w:r w:rsidR="0028583B">
              <w:t xml:space="preserve">jau </w:t>
            </w:r>
            <w:r w:rsidR="00BD649E">
              <w:t xml:space="preserve">esančias </w:t>
            </w:r>
            <w:r w:rsidR="00BD649E" w:rsidRPr="00BD649E">
              <w:t>teniso-padėlio aikšteles</w:t>
            </w:r>
            <w:r w:rsidR="009E1B28">
              <w:t>, nes jas p</w:t>
            </w:r>
            <w:r w:rsidR="0028583B">
              <w:t>rivatus subjektas valdytų efekt</w:t>
            </w:r>
            <w:r w:rsidR="009E1B28">
              <w:t>yviau</w:t>
            </w:r>
            <w:r w:rsidR="00B54D76">
              <w:t>.</w:t>
            </w:r>
            <w:r w:rsidR="00BD649E" w:rsidRPr="00BD649E">
              <w:t xml:space="preserve"> </w:t>
            </w:r>
            <w:r w:rsidR="00B54D76">
              <w:t>S</w:t>
            </w:r>
            <w:r w:rsidR="006D6F69" w:rsidRPr="006D6F69">
              <w:t xml:space="preserve">iekiama, kad privatus partneris pasidalytų savo profesinėmis žiniomis, vadybos įgūdžiais, inovatyviu požiūriu, didesniu efektyvumu ir rezultatyvumu vystant </w:t>
            </w:r>
            <w:r w:rsidR="00296A76">
              <w:t xml:space="preserve">planuojamą </w:t>
            </w:r>
            <w:r w:rsidR="006D6F69" w:rsidRPr="006D6F69">
              <w:t xml:space="preserve">infrastruktūrą. Taikant VPSP tikimasi, kad bus pasiekti tikslesni siekiamų veiklų terminai (privatus partneris bus motyvuotas kaip įmanoma greičiau atlikti investicijas, kad šios nepabrangtų ir kad kuo greičiau būtų pradėtas mokėjimas už paslaugas). Privačiam partneriui bus leidžiama vykdyti </w:t>
            </w:r>
            <w:r w:rsidR="00B54D76">
              <w:t>komercinę veiklą, susijusią su B</w:t>
            </w:r>
            <w:r w:rsidR="006D6F69" w:rsidRPr="006D6F69">
              <w:t xml:space="preserve">aseino </w:t>
            </w:r>
            <w:r w:rsidR="00B54D76">
              <w:t xml:space="preserve">ir teniso aikštelių </w:t>
            </w:r>
            <w:r w:rsidR="006D6F69" w:rsidRPr="006D6F69">
              <w:t>nuoma, reklamos ploto nuoma ir kt. komercine veikla. Pagal teisės aktus savivaldybė pati tokios veiklos vykdyti negali, turi būti atrinktas privatus subjektas, kuriam būtų suteikta teisė vykdyti komercinę veiklą.</w:t>
            </w:r>
          </w:p>
        </w:tc>
      </w:tr>
      <w:tr w:rsidR="009A0866" w:rsidRPr="00BF47BA" w14:paraId="59BA411A" w14:textId="77777777" w:rsidTr="00954A46">
        <w:tc>
          <w:tcPr>
            <w:tcW w:w="4106" w:type="dxa"/>
            <w:shd w:val="clear" w:color="auto" w:fill="D9D9D9" w:themeFill="background1" w:themeFillShade="D9"/>
          </w:tcPr>
          <w:p w14:paraId="04FEB9B3" w14:textId="77777777" w:rsidR="009A0866" w:rsidRPr="00BF47BA" w:rsidRDefault="009A0866" w:rsidP="00D455F3">
            <w:pPr>
              <w:rPr>
                <w:szCs w:val="24"/>
                <w:lang w:eastAsia="lt-LT"/>
              </w:rPr>
            </w:pPr>
            <w:r w:rsidRPr="00BF47BA">
              <w:rPr>
                <w:szCs w:val="24"/>
                <w:lang w:eastAsia="lt-LT"/>
              </w:rPr>
              <w:t>4.2. Pasirinktas VPSP būdas</w:t>
            </w:r>
          </w:p>
        </w:tc>
        <w:tc>
          <w:tcPr>
            <w:tcW w:w="9639" w:type="dxa"/>
          </w:tcPr>
          <w:p w14:paraId="3B26C758" w14:textId="435F32F5" w:rsidR="009A0866" w:rsidRPr="00B54D76" w:rsidRDefault="005D6193" w:rsidP="00D455F3">
            <w:pPr>
              <w:rPr>
                <w:szCs w:val="24"/>
                <w:lang w:eastAsia="lt-LT"/>
              </w:rPr>
            </w:pPr>
            <w:r w:rsidRPr="00B54D76">
              <w:rPr>
                <w:szCs w:val="24"/>
                <w:lang w:eastAsia="lt-LT"/>
              </w:rPr>
              <w:t>Koncesija</w:t>
            </w:r>
          </w:p>
        </w:tc>
      </w:tr>
      <w:tr w:rsidR="009A0866" w:rsidRPr="00BF47BA" w14:paraId="60493650" w14:textId="77777777" w:rsidTr="00954A46">
        <w:tc>
          <w:tcPr>
            <w:tcW w:w="4106" w:type="dxa"/>
            <w:shd w:val="clear" w:color="auto" w:fill="D9D9D9" w:themeFill="background1" w:themeFillShade="D9"/>
          </w:tcPr>
          <w:p w14:paraId="59605CE2" w14:textId="77777777" w:rsidR="009A0866" w:rsidRPr="00BF47BA" w:rsidRDefault="009A0866" w:rsidP="00D455F3">
            <w:pPr>
              <w:rPr>
                <w:szCs w:val="24"/>
                <w:lang w:eastAsia="lt-LT"/>
              </w:rPr>
            </w:pPr>
            <w:r w:rsidRPr="00BF47BA">
              <w:rPr>
                <w:szCs w:val="24"/>
                <w:lang w:eastAsia="lt-LT"/>
              </w:rPr>
              <w:t>4.3. Privataus subjekto atrankos būdas</w:t>
            </w:r>
          </w:p>
        </w:tc>
        <w:tc>
          <w:tcPr>
            <w:tcW w:w="9639" w:type="dxa"/>
          </w:tcPr>
          <w:p w14:paraId="60D82D28" w14:textId="2DF115E9" w:rsidR="009A0866" w:rsidRPr="00B54D76" w:rsidRDefault="005D6193" w:rsidP="00D455F3">
            <w:pPr>
              <w:rPr>
                <w:szCs w:val="24"/>
                <w:lang w:eastAsia="lt-LT"/>
              </w:rPr>
            </w:pPr>
            <w:r w:rsidRPr="00B54D76">
              <w:rPr>
                <w:szCs w:val="24"/>
                <w:lang w:eastAsia="lt-LT"/>
              </w:rPr>
              <w:t>Koncesijos konkursas</w:t>
            </w:r>
          </w:p>
        </w:tc>
      </w:tr>
      <w:tr w:rsidR="009A0866" w:rsidRPr="00BF47BA" w14:paraId="652717E9" w14:textId="77777777" w:rsidTr="00954A46">
        <w:tc>
          <w:tcPr>
            <w:tcW w:w="4106" w:type="dxa"/>
            <w:shd w:val="clear" w:color="auto" w:fill="D9D9D9" w:themeFill="background1" w:themeFillShade="D9"/>
          </w:tcPr>
          <w:p w14:paraId="73B592A5" w14:textId="77777777" w:rsidR="009A0866" w:rsidRPr="00BF47BA" w:rsidRDefault="009A0866" w:rsidP="00D455F3">
            <w:pPr>
              <w:ind w:firstLine="22"/>
              <w:rPr>
                <w:szCs w:val="24"/>
                <w:lang w:eastAsia="lt-LT"/>
              </w:rPr>
            </w:pPr>
            <w:r w:rsidRPr="00BF47BA">
              <w:rPr>
                <w:szCs w:val="24"/>
                <w:lang w:eastAsia="lt-LT"/>
              </w:rPr>
              <w:t>4.4. VPSP projekto pasirengimo terminai</w:t>
            </w:r>
          </w:p>
        </w:tc>
        <w:tc>
          <w:tcPr>
            <w:tcW w:w="9639" w:type="dxa"/>
          </w:tcPr>
          <w:p w14:paraId="17C7C040" w14:textId="1C66B70E" w:rsidR="009A0866" w:rsidRPr="00BF47BA" w:rsidRDefault="005D6193" w:rsidP="00954A46">
            <w:pPr>
              <w:rPr>
                <w:szCs w:val="24"/>
                <w:lang w:eastAsia="lt-LT"/>
              </w:rPr>
            </w:pPr>
            <w:r>
              <w:rPr>
                <w:szCs w:val="24"/>
                <w:lang w:eastAsia="lt-LT"/>
              </w:rPr>
              <w:t>-</w:t>
            </w:r>
          </w:p>
        </w:tc>
      </w:tr>
      <w:tr w:rsidR="009A0866" w:rsidRPr="00BF47BA" w14:paraId="2416E4EC" w14:textId="77777777" w:rsidTr="00954A46">
        <w:tc>
          <w:tcPr>
            <w:tcW w:w="4106" w:type="dxa"/>
            <w:shd w:val="clear" w:color="auto" w:fill="D9D9D9" w:themeFill="background1" w:themeFillShade="D9"/>
          </w:tcPr>
          <w:p w14:paraId="27CD3C7C" w14:textId="77777777" w:rsidR="009A0866" w:rsidRPr="00BF47BA" w:rsidRDefault="009A0866" w:rsidP="00D455F3">
            <w:pPr>
              <w:ind w:left="22"/>
              <w:rPr>
                <w:szCs w:val="24"/>
                <w:lang w:eastAsia="lt-LT"/>
              </w:rPr>
            </w:pPr>
            <w:r w:rsidRPr="00BF47BA">
              <w:rPr>
                <w:szCs w:val="24"/>
                <w:lang w:eastAsia="lt-LT"/>
              </w:rPr>
              <w:t xml:space="preserve">4.5. VPSP sutarties laikotarpis </w:t>
            </w:r>
          </w:p>
        </w:tc>
        <w:tc>
          <w:tcPr>
            <w:tcW w:w="9639" w:type="dxa"/>
          </w:tcPr>
          <w:p w14:paraId="079617AC" w14:textId="19E29340" w:rsidR="009A0866" w:rsidRPr="00101A2E" w:rsidRDefault="00101A2E" w:rsidP="00954A46">
            <w:pPr>
              <w:rPr>
                <w:szCs w:val="24"/>
                <w:lang w:val="en-US" w:eastAsia="lt-LT"/>
              </w:rPr>
            </w:pPr>
            <w:r>
              <w:rPr>
                <w:szCs w:val="24"/>
                <w:lang w:eastAsia="lt-LT"/>
              </w:rPr>
              <w:t>15</w:t>
            </w:r>
          </w:p>
        </w:tc>
      </w:tr>
      <w:tr w:rsidR="009A0866" w:rsidRPr="00BF47BA" w14:paraId="2E404F98" w14:textId="77777777" w:rsidTr="00954A46">
        <w:tc>
          <w:tcPr>
            <w:tcW w:w="4106" w:type="dxa"/>
            <w:shd w:val="clear" w:color="auto" w:fill="D9D9D9" w:themeFill="background1" w:themeFillShade="D9"/>
          </w:tcPr>
          <w:p w14:paraId="1D58F77F" w14:textId="77777777" w:rsidR="009A0866" w:rsidRPr="00BF47BA" w:rsidRDefault="009A0866" w:rsidP="00D455F3">
            <w:pPr>
              <w:rPr>
                <w:szCs w:val="24"/>
                <w:lang w:eastAsia="lt-LT"/>
              </w:rPr>
            </w:pPr>
            <w:r w:rsidRPr="00BF47BA">
              <w:rPr>
                <w:szCs w:val="24"/>
                <w:lang w:eastAsia="lt-LT"/>
              </w:rPr>
              <w:t xml:space="preserve">4.5.1.projektavimo / statybų laikotarpis </w:t>
            </w:r>
          </w:p>
        </w:tc>
        <w:tc>
          <w:tcPr>
            <w:tcW w:w="9639" w:type="dxa"/>
          </w:tcPr>
          <w:p w14:paraId="791B7ABB" w14:textId="2D09623A" w:rsidR="009A0866" w:rsidRPr="00BF47BA" w:rsidRDefault="0061026B" w:rsidP="00954A46">
            <w:pPr>
              <w:rPr>
                <w:szCs w:val="24"/>
                <w:lang w:eastAsia="lt-LT"/>
              </w:rPr>
            </w:pPr>
            <w:r>
              <w:rPr>
                <w:szCs w:val="24"/>
                <w:lang w:eastAsia="lt-LT"/>
              </w:rPr>
              <w:t>1</w:t>
            </w:r>
          </w:p>
        </w:tc>
      </w:tr>
      <w:tr w:rsidR="009A0866" w:rsidRPr="00BF47BA" w14:paraId="416DFF0F" w14:textId="77777777" w:rsidTr="00954A46">
        <w:tc>
          <w:tcPr>
            <w:tcW w:w="4106" w:type="dxa"/>
            <w:tcBorders>
              <w:bottom w:val="single" w:sz="12" w:space="0" w:color="auto"/>
            </w:tcBorders>
            <w:shd w:val="clear" w:color="auto" w:fill="D9D9D9" w:themeFill="background1" w:themeFillShade="D9"/>
          </w:tcPr>
          <w:p w14:paraId="743A5734" w14:textId="77777777" w:rsidR="009A0866" w:rsidRPr="00BF47BA" w:rsidRDefault="009A0866" w:rsidP="00D455F3">
            <w:pPr>
              <w:rPr>
                <w:szCs w:val="24"/>
                <w:lang w:eastAsia="lt-LT"/>
              </w:rPr>
            </w:pPr>
            <w:r w:rsidRPr="00BF47BA">
              <w:rPr>
                <w:szCs w:val="24"/>
                <w:lang w:eastAsia="lt-LT"/>
              </w:rPr>
              <w:t xml:space="preserve">4.5.2. paslaugų teikimo laikotarpis </w:t>
            </w:r>
          </w:p>
        </w:tc>
        <w:tc>
          <w:tcPr>
            <w:tcW w:w="9639" w:type="dxa"/>
          </w:tcPr>
          <w:p w14:paraId="7D304FB0" w14:textId="72E9683D" w:rsidR="009A0866" w:rsidRPr="00BF47BA" w:rsidRDefault="00101A2E" w:rsidP="00954A46">
            <w:pPr>
              <w:rPr>
                <w:szCs w:val="24"/>
                <w:lang w:eastAsia="lt-LT"/>
              </w:rPr>
            </w:pPr>
            <w:r>
              <w:rPr>
                <w:szCs w:val="24"/>
                <w:lang w:eastAsia="lt-LT"/>
              </w:rPr>
              <w:t>14</w:t>
            </w:r>
          </w:p>
        </w:tc>
      </w:tr>
      <w:tr w:rsidR="009A0866" w:rsidRPr="00BF47BA" w14:paraId="285CE9C7" w14:textId="77777777" w:rsidTr="0072720C">
        <w:tc>
          <w:tcPr>
            <w:tcW w:w="13745" w:type="dxa"/>
            <w:gridSpan w:val="2"/>
            <w:tcBorders>
              <w:top w:val="single" w:sz="12" w:space="0" w:color="auto"/>
              <w:left w:val="single" w:sz="12" w:space="0" w:color="auto"/>
              <w:bottom w:val="single" w:sz="12" w:space="0" w:color="auto"/>
              <w:right w:val="single" w:sz="12" w:space="0" w:color="auto"/>
            </w:tcBorders>
          </w:tcPr>
          <w:p w14:paraId="038B2D51" w14:textId="4A4C4843" w:rsidR="009A0866" w:rsidRPr="00BF47BA" w:rsidRDefault="009A0866" w:rsidP="00D455F3">
            <w:pPr>
              <w:rPr>
                <w:i/>
                <w:szCs w:val="24"/>
                <w:lang w:eastAsia="lt-LT"/>
              </w:rPr>
            </w:pPr>
            <w:r w:rsidRPr="00BF47BA">
              <w:rPr>
                <w:b/>
                <w:szCs w:val="24"/>
                <w:lang w:eastAsia="lt-LT"/>
              </w:rPr>
              <w:t>CPVA išvada</w:t>
            </w:r>
            <w:r w:rsidR="00294349">
              <w:rPr>
                <w:i/>
                <w:szCs w:val="24"/>
                <w:lang w:eastAsia="lt-LT"/>
              </w:rPr>
              <w:t xml:space="preserve"> (</w:t>
            </w:r>
            <w:r w:rsidR="008B594F">
              <w:rPr>
                <w:i/>
                <w:szCs w:val="24"/>
                <w:lang w:eastAsia="lt-LT"/>
              </w:rPr>
              <w:t>VPSP tikslingumas. B</w:t>
            </w:r>
            <w:r w:rsidRPr="00BF47BA">
              <w:rPr>
                <w:i/>
                <w:szCs w:val="24"/>
                <w:lang w:eastAsia="lt-LT"/>
              </w:rPr>
              <w:t xml:space="preserve">ūdo pasirinkimo pagrįstumas (įskaitant atitikimą VPSP </w:t>
            </w:r>
            <w:r w:rsidR="008B594F">
              <w:rPr>
                <w:i/>
                <w:szCs w:val="24"/>
                <w:lang w:eastAsia="lt-LT"/>
              </w:rPr>
              <w:t>kriterijams). L</w:t>
            </w:r>
            <w:r w:rsidRPr="00BF47BA">
              <w:rPr>
                <w:i/>
                <w:szCs w:val="24"/>
                <w:lang w:eastAsia="lt-LT"/>
              </w:rPr>
              <w:t>aikotarpio / terminų nustatymo pagrįstumas</w:t>
            </w:r>
            <w:r w:rsidR="0038128E">
              <w:rPr>
                <w:i/>
                <w:szCs w:val="24"/>
                <w:lang w:eastAsia="lt-LT"/>
              </w:rPr>
              <w:t xml:space="preserve">. </w:t>
            </w:r>
            <w:r w:rsidR="00294349">
              <w:rPr>
                <w:i/>
                <w:szCs w:val="24"/>
                <w:lang w:eastAsia="lt-LT"/>
              </w:rPr>
              <w:t>)</w:t>
            </w:r>
          </w:p>
          <w:p w14:paraId="0D562EDB" w14:textId="00FFF425" w:rsidR="009A0866" w:rsidRDefault="009A0866" w:rsidP="00954A46">
            <w:pPr>
              <w:rPr>
                <w:szCs w:val="24"/>
                <w:lang w:eastAsia="lt-LT"/>
              </w:rPr>
            </w:pPr>
          </w:p>
          <w:p w14:paraId="5F8BB2DA" w14:textId="77777777" w:rsidR="00085F8E" w:rsidRPr="00085F8E" w:rsidRDefault="00085F8E" w:rsidP="00085F8E">
            <w:pPr>
              <w:rPr>
                <w:szCs w:val="24"/>
                <w:lang w:eastAsia="lt-LT"/>
              </w:rPr>
            </w:pPr>
            <w:r w:rsidRPr="00085F8E">
              <w:rPr>
                <w:szCs w:val="24"/>
                <w:lang w:eastAsia="lt-LT"/>
              </w:rPr>
              <w:t>I.</w:t>
            </w:r>
            <w:r w:rsidRPr="00085F8E">
              <w:rPr>
                <w:szCs w:val="24"/>
                <w:lang w:eastAsia="lt-LT"/>
              </w:rPr>
              <w:tab/>
            </w:r>
            <w:r w:rsidRPr="00085F8E">
              <w:rPr>
                <w:szCs w:val="24"/>
                <w:u w:val="single"/>
                <w:lang w:eastAsia="lt-LT"/>
              </w:rPr>
              <w:t>VPSP pasirinkimo priežastys.</w:t>
            </w:r>
            <w:r w:rsidRPr="00085F8E">
              <w:rPr>
                <w:szCs w:val="24"/>
                <w:lang w:eastAsia="lt-LT"/>
              </w:rPr>
              <w:t xml:space="preserve"> </w:t>
            </w:r>
          </w:p>
          <w:p w14:paraId="0D593422" w14:textId="77777777" w:rsidR="00085F8E" w:rsidRPr="00085F8E" w:rsidRDefault="00085F8E" w:rsidP="00085F8E">
            <w:pPr>
              <w:rPr>
                <w:szCs w:val="24"/>
                <w:lang w:eastAsia="lt-LT"/>
              </w:rPr>
            </w:pPr>
            <w:r w:rsidRPr="00085F8E">
              <w:rPr>
                <w:szCs w:val="24"/>
                <w:lang w:eastAsia="lt-LT"/>
              </w:rPr>
              <w:t>VPSP pasirinkimo priežastys šiame Projekte yra šios:</w:t>
            </w:r>
          </w:p>
          <w:p w14:paraId="586307E6" w14:textId="20F82869" w:rsidR="00085F8E" w:rsidRPr="00085F8E" w:rsidRDefault="00440230" w:rsidP="00440230">
            <w:pPr>
              <w:jc w:val="both"/>
              <w:rPr>
                <w:szCs w:val="24"/>
                <w:lang w:eastAsia="lt-LT"/>
              </w:rPr>
            </w:pPr>
            <w:r>
              <w:rPr>
                <w:szCs w:val="24"/>
                <w:lang w:eastAsia="lt-LT"/>
              </w:rPr>
              <w:t>-</w:t>
            </w:r>
            <w:r>
              <w:rPr>
                <w:szCs w:val="24"/>
                <w:lang w:eastAsia="lt-LT"/>
              </w:rPr>
              <w:tab/>
            </w:r>
            <w:r w:rsidRPr="00440230">
              <w:rPr>
                <w:szCs w:val="24"/>
                <w:lang w:eastAsia="lt-LT"/>
              </w:rPr>
              <w:t>Atsižvelgiant į Koncesijų įstatym</w:t>
            </w:r>
            <w:r>
              <w:rPr>
                <w:szCs w:val="24"/>
                <w:lang w:eastAsia="lt-LT"/>
              </w:rPr>
              <w:t>o reikalavimus, pati MRSA</w:t>
            </w:r>
            <w:r w:rsidRPr="00440230">
              <w:rPr>
                <w:szCs w:val="24"/>
                <w:lang w:eastAsia="lt-LT"/>
              </w:rPr>
              <w:t xml:space="preserve"> negali vykdyti ūkinės komercinės veiklos ar perduoti jos vykdymą savo valdomam juridiniam asmeniui. Tokia veikla turi būti perduodama privačiam subjektui, atrinktam laikantis lygiateisiškumo, skaidrumo ir kitais įstatymuose nustatytais principais. Atsižvelgiant į tai bei į Koncesijų įstatymo reikalavimus, Projekte nurodytų veiklų perdavimas privačiam subjektui yra teisėtas ir pagrįstas.</w:t>
            </w:r>
          </w:p>
          <w:p w14:paraId="3D493456" w14:textId="4CE62938" w:rsidR="00085F8E" w:rsidRPr="00396EE4" w:rsidRDefault="00085F8E" w:rsidP="009E1B28">
            <w:pPr>
              <w:jc w:val="both"/>
              <w:rPr>
                <w:szCs w:val="24"/>
                <w:lang w:eastAsia="lt-LT"/>
              </w:rPr>
            </w:pPr>
            <w:r w:rsidRPr="00085F8E">
              <w:rPr>
                <w:szCs w:val="24"/>
                <w:lang w:eastAsia="lt-LT"/>
              </w:rPr>
              <w:t>-</w:t>
            </w:r>
            <w:r w:rsidRPr="00085F8E">
              <w:rPr>
                <w:szCs w:val="24"/>
                <w:lang w:eastAsia="lt-LT"/>
              </w:rPr>
              <w:tab/>
            </w:r>
            <w:r w:rsidR="00ED62C9">
              <w:rPr>
                <w:szCs w:val="24"/>
                <w:lang w:eastAsia="lt-LT"/>
              </w:rPr>
              <w:t xml:space="preserve">MRSA reikalingos papildomos lėšos Baseino įrengimui, </w:t>
            </w:r>
            <w:r w:rsidR="0028583B">
              <w:rPr>
                <w:szCs w:val="24"/>
                <w:lang w:eastAsia="lt-LT"/>
              </w:rPr>
              <w:t xml:space="preserve">įrangai, </w:t>
            </w:r>
            <w:r w:rsidR="00ED62C9">
              <w:rPr>
                <w:szCs w:val="24"/>
                <w:lang w:eastAsia="lt-LT"/>
              </w:rPr>
              <w:t>baldams, tikimasi, kad šias lėšas investuos privatus subjektas</w:t>
            </w:r>
            <w:r w:rsidR="0041530F">
              <w:rPr>
                <w:szCs w:val="24"/>
                <w:lang w:eastAsia="lt-LT"/>
              </w:rPr>
              <w:t xml:space="preserve"> – jis bus atsakingas už Baseino įrengimą (</w:t>
            </w:r>
            <w:r w:rsidR="0028583B">
              <w:rPr>
                <w:szCs w:val="24"/>
                <w:lang w:eastAsia="lt-LT"/>
              </w:rPr>
              <w:t xml:space="preserve">apdailos darbus, </w:t>
            </w:r>
            <w:r w:rsidR="0041530F">
              <w:rPr>
                <w:szCs w:val="24"/>
                <w:lang w:eastAsia="lt-LT"/>
              </w:rPr>
              <w:t>būtinos įrangos, baldų</w:t>
            </w:r>
            <w:r w:rsidR="0028583B">
              <w:rPr>
                <w:szCs w:val="24"/>
                <w:lang w:eastAsia="lt-LT"/>
              </w:rPr>
              <w:t xml:space="preserve"> nupirkimą ir montavimą ir kt.</w:t>
            </w:r>
            <w:r w:rsidR="0041530F">
              <w:rPr>
                <w:szCs w:val="24"/>
                <w:lang w:eastAsia="lt-LT"/>
              </w:rPr>
              <w:t xml:space="preserve">) laiku, </w:t>
            </w:r>
            <w:r w:rsidR="0041530F" w:rsidRPr="00396EE4">
              <w:rPr>
                <w:szCs w:val="24"/>
                <w:lang w:eastAsia="lt-LT"/>
              </w:rPr>
              <w:t>neformalaus švietimo paslaugų teikimą (</w:t>
            </w:r>
            <w:r w:rsidR="00DA2E11" w:rsidRPr="00396EE4">
              <w:rPr>
                <w:szCs w:val="24"/>
                <w:lang w:eastAsia="lt-LT"/>
              </w:rPr>
              <w:t>plaukimo</w:t>
            </w:r>
            <w:r w:rsidR="00FD35CD" w:rsidRPr="00396EE4">
              <w:rPr>
                <w:szCs w:val="24"/>
                <w:lang w:eastAsia="lt-LT"/>
              </w:rPr>
              <w:t>, teniso</w:t>
            </w:r>
            <w:r w:rsidR="00DA2E11" w:rsidRPr="00396EE4">
              <w:rPr>
                <w:szCs w:val="24"/>
                <w:lang w:eastAsia="lt-LT"/>
              </w:rPr>
              <w:t xml:space="preserve"> paslaugų moksleiviams ir kitiems gyventojams teikimą</w:t>
            </w:r>
            <w:r w:rsidR="0041530F" w:rsidRPr="00396EE4">
              <w:rPr>
                <w:szCs w:val="24"/>
                <w:lang w:eastAsia="lt-LT"/>
              </w:rPr>
              <w:t>).</w:t>
            </w:r>
          </w:p>
          <w:p w14:paraId="3C69A102" w14:textId="02819864" w:rsidR="00085F8E" w:rsidRPr="00085F8E" w:rsidRDefault="009E1B28" w:rsidP="009E1B28">
            <w:pPr>
              <w:jc w:val="both"/>
              <w:rPr>
                <w:szCs w:val="24"/>
                <w:lang w:eastAsia="lt-LT"/>
              </w:rPr>
            </w:pPr>
            <w:r>
              <w:rPr>
                <w:szCs w:val="24"/>
                <w:lang w:eastAsia="lt-LT"/>
              </w:rPr>
              <w:t>-</w:t>
            </w:r>
            <w:r>
              <w:rPr>
                <w:szCs w:val="24"/>
                <w:lang w:eastAsia="lt-LT"/>
              </w:rPr>
              <w:tab/>
              <w:t>MRSA</w:t>
            </w:r>
            <w:r w:rsidR="00085F8E" w:rsidRPr="00085F8E">
              <w:rPr>
                <w:szCs w:val="24"/>
                <w:lang w:eastAsia="lt-LT"/>
              </w:rPr>
              <w:t xml:space="preserve"> siekia, kad </w:t>
            </w:r>
            <w:r w:rsidR="00FD35CD">
              <w:rPr>
                <w:szCs w:val="24"/>
                <w:lang w:eastAsia="lt-LT"/>
              </w:rPr>
              <w:t>Baseinas ir teniso kortai būtų išnaudojami</w:t>
            </w:r>
            <w:r w:rsidR="00085F8E" w:rsidRPr="00085F8E">
              <w:rPr>
                <w:szCs w:val="24"/>
                <w:lang w:eastAsia="lt-LT"/>
              </w:rPr>
              <w:t xml:space="preserve"> kuo efektyviau, tačiau negali vien savo poreikiais užimti viso laiko, be to, tai būtų fi</w:t>
            </w:r>
            <w:r>
              <w:rPr>
                <w:szCs w:val="24"/>
                <w:lang w:eastAsia="lt-LT"/>
              </w:rPr>
              <w:t>nansiškai nepakeliama MRSA</w:t>
            </w:r>
            <w:r w:rsidR="00085F8E" w:rsidRPr="00085F8E">
              <w:rPr>
                <w:szCs w:val="24"/>
                <w:lang w:eastAsia="lt-LT"/>
              </w:rPr>
              <w:t>, dėl to ji nori ne tik perduoti</w:t>
            </w:r>
            <w:r>
              <w:rPr>
                <w:szCs w:val="24"/>
                <w:lang w:eastAsia="lt-LT"/>
              </w:rPr>
              <w:t xml:space="preserve"> atrinktam privačiam subjektui B</w:t>
            </w:r>
            <w:r w:rsidR="00085F8E" w:rsidRPr="00085F8E">
              <w:rPr>
                <w:szCs w:val="24"/>
                <w:lang w:eastAsia="lt-LT"/>
              </w:rPr>
              <w:t xml:space="preserve">aseino </w:t>
            </w:r>
            <w:r w:rsidR="00FD35CD">
              <w:rPr>
                <w:szCs w:val="24"/>
                <w:lang w:eastAsia="lt-LT"/>
              </w:rPr>
              <w:t xml:space="preserve">ir teniso kortų </w:t>
            </w:r>
            <w:r w:rsidR="00085F8E" w:rsidRPr="00085F8E">
              <w:rPr>
                <w:szCs w:val="24"/>
                <w:lang w:eastAsia="lt-LT"/>
              </w:rPr>
              <w:t>eksploatavimą, bet ir suteikti jam teisę vykdyti ūkinę komercinę veiklą na</w:t>
            </w:r>
            <w:r>
              <w:rPr>
                <w:szCs w:val="24"/>
                <w:lang w:eastAsia="lt-LT"/>
              </w:rPr>
              <w:t>udojant visą Baseiną</w:t>
            </w:r>
            <w:r w:rsidR="00FD35CD">
              <w:rPr>
                <w:szCs w:val="24"/>
                <w:lang w:eastAsia="lt-LT"/>
              </w:rPr>
              <w:t xml:space="preserve"> bei teniso kortus, </w:t>
            </w:r>
            <w:r w:rsidR="00085F8E" w:rsidRPr="00085F8E">
              <w:rPr>
                <w:szCs w:val="24"/>
                <w:lang w:eastAsia="lt-LT"/>
              </w:rPr>
              <w:t>gen</w:t>
            </w:r>
            <w:r>
              <w:rPr>
                <w:szCs w:val="24"/>
                <w:lang w:eastAsia="lt-LT"/>
              </w:rPr>
              <w:t>eruoti pajamas ir sumažinti MRSA</w:t>
            </w:r>
            <w:r w:rsidR="00085F8E" w:rsidRPr="00085F8E">
              <w:rPr>
                <w:szCs w:val="24"/>
                <w:lang w:eastAsia="lt-LT"/>
              </w:rPr>
              <w:t xml:space="preserve"> išlaidas. </w:t>
            </w:r>
          </w:p>
          <w:p w14:paraId="3B52946E" w14:textId="4A03EC83" w:rsidR="00085F8E" w:rsidRPr="00085F8E" w:rsidRDefault="00085F8E" w:rsidP="009E1B28">
            <w:pPr>
              <w:jc w:val="both"/>
              <w:rPr>
                <w:szCs w:val="24"/>
                <w:lang w:eastAsia="lt-LT"/>
              </w:rPr>
            </w:pPr>
            <w:r w:rsidRPr="00085F8E">
              <w:rPr>
                <w:szCs w:val="24"/>
                <w:lang w:eastAsia="lt-LT"/>
              </w:rPr>
              <w:t>-</w:t>
            </w:r>
            <w:r w:rsidRPr="00085F8E">
              <w:rPr>
                <w:szCs w:val="24"/>
                <w:lang w:eastAsia="lt-LT"/>
              </w:rPr>
              <w:tab/>
              <w:t>Privatūs subjektai, kaip taisyklė turi daugiau motyvacijos ir patirtie</w:t>
            </w:r>
            <w:r w:rsidR="009E1B28">
              <w:rPr>
                <w:szCs w:val="24"/>
                <w:lang w:eastAsia="lt-LT"/>
              </w:rPr>
              <w:t>s efektyviau organizuoti veiklą.</w:t>
            </w:r>
          </w:p>
          <w:p w14:paraId="7645EC21" w14:textId="3231B526" w:rsidR="00085F8E" w:rsidRDefault="00085F8E" w:rsidP="00085F8E">
            <w:pPr>
              <w:rPr>
                <w:szCs w:val="24"/>
                <w:lang w:eastAsia="lt-LT"/>
              </w:rPr>
            </w:pPr>
          </w:p>
          <w:p w14:paraId="57BFCA6A" w14:textId="77777777" w:rsidR="00085F8E" w:rsidRDefault="00085F8E" w:rsidP="00085F8E">
            <w:pPr>
              <w:jc w:val="both"/>
              <w:rPr>
                <w:szCs w:val="24"/>
                <w:lang w:eastAsia="lt-LT"/>
              </w:rPr>
            </w:pPr>
          </w:p>
          <w:p w14:paraId="73C52C81" w14:textId="77777777" w:rsidR="00085F8E" w:rsidRPr="00EE0CE4" w:rsidRDefault="00085F8E" w:rsidP="00440230">
            <w:pPr>
              <w:pStyle w:val="ListParagraph"/>
              <w:numPr>
                <w:ilvl w:val="0"/>
                <w:numId w:val="28"/>
              </w:numPr>
              <w:rPr>
                <w:szCs w:val="24"/>
                <w:lang w:eastAsia="lt-LT"/>
              </w:rPr>
            </w:pPr>
            <w:r w:rsidRPr="00EE0CE4">
              <w:rPr>
                <w:szCs w:val="24"/>
                <w:u w:val="single"/>
                <w:lang w:eastAsia="lt-LT"/>
              </w:rPr>
              <w:t>VPSP būdas</w:t>
            </w:r>
          </w:p>
          <w:p w14:paraId="6E49558F" w14:textId="3CA7C696" w:rsidR="00085F8E" w:rsidRDefault="00222E01" w:rsidP="00085F8E">
            <w:pPr>
              <w:jc w:val="both"/>
              <w:rPr>
                <w:szCs w:val="24"/>
                <w:lang w:eastAsia="lt-LT"/>
              </w:rPr>
            </w:pPr>
            <w:r>
              <w:rPr>
                <w:szCs w:val="24"/>
                <w:lang w:eastAsia="lt-LT"/>
              </w:rPr>
              <w:t>Atsižvelgiant į tai, kad p</w:t>
            </w:r>
            <w:r w:rsidR="00085F8E">
              <w:rPr>
                <w:szCs w:val="24"/>
                <w:lang w:eastAsia="lt-LT"/>
              </w:rPr>
              <w:t>agal šiuo metu atliktus skaičiavimus ir numatytus VPSP tikslus,</w:t>
            </w:r>
            <w:r w:rsidR="00085F8E" w:rsidRPr="00EE0CE4">
              <w:rPr>
                <w:szCs w:val="24"/>
                <w:lang w:eastAsia="lt-LT"/>
              </w:rPr>
              <w:t xml:space="preserve"> privačiam subjektui </w:t>
            </w:r>
            <w:r w:rsidR="00085F8E">
              <w:rPr>
                <w:szCs w:val="24"/>
                <w:lang w:eastAsia="lt-LT"/>
              </w:rPr>
              <w:t xml:space="preserve">bus suteikiama teisė vykdyti ūkinę komercinę veiklą naudojant </w:t>
            </w:r>
            <w:r w:rsidR="00FD35CD">
              <w:rPr>
                <w:szCs w:val="24"/>
                <w:lang w:eastAsia="lt-LT"/>
              </w:rPr>
              <w:t>MRSA</w:t>
            </w:r>
            <w:r w:rsidR="00085F8E">
              <w:rPr>
                <w:szCs w:val="24"/>
                <w:lang w:eastAsia="lt-LT"/>
              </w:rPr>
              <w:t xml:space="preserve"> turtą bei papildomai investuoti į šį turtą, </w:t>
            </w:r>
            <w:r w:rsidR="00085F8E" w:rsidRPr="00EE0CE4">
              <w:rPr>
                <w:szCs w:val="24"/>
                <w:lang w:eastAsia="lt-LT"/>
              </w:rPr>
              <w:t xml:space="preserve">perduodama </w:t>
            </w:r>
            <w:r w:rsidR="00085F8E">
              <w:rPr>
                <w:szCs w:val="24"/>
                <w:lang w:eastAsia="lt-LT"/>
              </w:rPr>
              <w:t>su Projektu susijusi statybos rizika (</w:t>
            </w:r>
            <w:r w:rsidR="0028583B">
              <w:rPr>
                <w:szCs w:val="24"/>
                <w:lang w:eastAsia="lt-LT"/>
              </w:rPr>
              <w:t xml:space="preserve">apdailos darbai, </w:t>
            </w:r>
            <w:r w:rsidR="00085F8E">
              <w:rPr>
                <w:szCs w:val="24"/>
                <w:lang w:eastAsia="lt-LT"/>
              </w:rPr>
              <w:t>įrangos</w:t>
            </w:r>
            <w:r w:rsidR="00FD35CD">
              <w:rPr>
                <w:szCs w:val="24"/>
                <w:lang w:eastAsia="lt-LT"/>
              </w:rPr>
              <w:t>/ baldų</w:t>
            </w:r>
            <w:r w:rsidR="0028583B">
              <w:rPr>
                <w:szCs w:val="24"/>
                <w:lang w:eastAsia="lt-LT"/>
              </w:rPr>
              <w:t xml:space="preserve"> įsigijimas, jų </w:t>
            </w:r>
            <w:r w:rsidR="00085F8E">
              <w:rPr>
                <w:szCs w:val="24"/>
                <w:lang w:eastAsia="lt-LT"/>
              </w:rPr>
              <w:t>įdiegimas</w:t>
            </w:r>
            <w:r w:rsidR="00FD35CD">
              <w:rPr>
                <w:szCs w:val="24"/>
                <w:lang w:eastAsia="lt-LT"/>
              </w:rPr>
              <w:t>/ montavimas</w:t>
            </w:r>
            <w:r w:rsidR="0028583B">
              <w:rPr>
                <w:szCs w:val="24"/>
                <w:lang w:eastAsia="lt-LT"/>
              </w:rPr>
              <w:t xml:space="preserve"> ir kt.</w:t>
            </w:r>
            <w:r w:rsidR="00085F8E">
              <w:rPr>
                <w:szCs w:val="24"/>
                <w:lang w:eastAsia="lt-LT"/>
              </w:rPr>
              <w:t xml:space="preserve">), paslaugų </w:t>
            </w:r>
            <w:r w:rsidR="00085F8E" w:rsidRPr="00EE0CE4">
              <w:rPr>
                <w:szCs w:val="24"/>
                <w:lang w:eastAsia="lt-LT"/>
              </w:rPr>
              <w:t>tinkamumo ir didesnė dalis paklausos rizikos, o taip pat į tai, kad didesnę dalį privataus subjekto pajamų sudarys pajamos iš galutinių paslaugos naudotojų (trečiųjų asmenų), todėl pasirinktas teisingas VPSP būdas – koncesija.</w:t>
            </w:r>
          </w:p>
          <w:p w14:paraId="0E64432B" w14:textId="148921F8" w:rsidR="00085F8E" w:rsidRDefault="00085F8E" w:rsidP="00085F8E">
            <w:pPr>
              <w:jc w:val="both"/>
              <w:rPr>
                <w:szCs w:val="24"/>
                <w:lang w:eastAsia="lt-LT"/>
              </w:rPr>
            </w:pPr>
            <w:r w:rsidRPr="00637756">
              <w:rPr>
                <w:szCs w:val="24"/>
                <w:lang w:eastAsia="lt-LT"/>
              </w:rPr>
              <w:t>Tačiau atkreiptinas dėmesys, kad nepas</w:t>
            </w:r>
            <w:r w:rsidR="00E43574" w:rsidRPr="00637756">
              <w:rPr>
                <w:szCs w:val="24"/>
                <w:lang w:eastAsia="lt-LT"/>
              </w:rPr>
              <w:t>itvirtinus MRSA</w:t>
            </w:r>
            <w:r w:rsidRPr="00637756">
              <w:rPr>
                <w:szCs w:val="24"/>
                <w:lang w:eastAsia="lt-LT"/>
              </w:rPr>
              <w:t xml:space="preserve"> prognozėms dėl privataus subjekto galimybių investuoti ir generuoti pajamas tokia ap</w:t>
            </w:r>
            <w:r w:rsidR="00E43574" w:rsidRPr="00637756">
              <w:rPr>
                <w:szCs w:val="24"/>
                <w:lang w:eastAsia="lt-LT"/>
              </w:rPr>
              <w:t>imtimi, kaip dabar nurodyta MRSA</w:t>
            </w:r>
            <w:r w:rsidRPr="00637756">
              <w:rPr>
                <w:szCs w:val="24"/>
                <w:lang w:eastAsia="lt-LT"/>
              </w:rPr>
              <w:t xml:space="preserve"> parengtuose dokumentuose, ir gavus dalyvių pasiūlymus su žymiai mažesnėmis pajamų prognozėmis, projektas daugiau atitiks valdžios ir privatus subjektų partnerystės (toliau – VžPP) požymių ir privatus subjektas turės būti atrenkamas pagal </w:t>
            </w:r>
            <w:r w:rsidR="00E43574" w:rsidRPr="00637756">
              <w:rPr>
                <w:szCs w:val="24"/>
                <w:lang w:eastAsia="lt-LT"/>
              </w:rPr>
              <w:t>Viešųjų pirkimų įstatymą, o MRSA</w:t>
            </w:r>
            <w:r w:rsidRPr="00637756">
              <w:rPr>
                <w:szCs w:val="24"/>
                <w:lang w:eastAsia="lt-LT"/>
              </w:rPr>
              <w:t xml:space="preserve"> reikės padengti daugiau </w:t>
            </w:r>
            <w:r w:rsidR="00E43574" w:rsidRPr="00637756">
              <w:rPr>
                <w:szCs w:val="24"/>
                <w:lang w:eastAsia="lt-LT"/>
              </w:rPr>
              <w:t xml:space="preserve">Baseino </w:t>
            </w:r>
            <w:r w:rsidRPr="00637756">
              <w:rPr>
                <w:szCs w:val="24"/>
                <w:lang w:eastAsia="lt-LT"/>
              </w:rPr>
              <w:t>įrengimo ir eksploatavimo išlaidų.</w:t>
            </w:r>
          </w:p>
          <w:p w14:paraId="3771719C" w14:textId="77777777" w:rsidR="00085F8E" w:rsidRPr="00EE0CE4" w:rsidRDefault="00085F8E" w:rsidP="00085F8E">
            <w:pPr>
              <w:jc w:val="both"/>
              <w:rPr>
                <w:szCs w:val="24"/>
                <w:lang w:eastAsia="lt-LT"/>
              </w:rPr>
            </w:pPr>
          </w:p>
          <w:p w14:paraId="16202EDD" w14:textId="77777777" w:rsidR="00085F8E" w:rsidRPr="00EE0CE4" w:rsidRDefault="00085F8E" w:rsidP="00085F8E">
            <w:pPr>
              <w:pStyle w:val="ListParagraph"/>
              <w:numPr>
                <w:ilvl w:val="0"/>
                <w:numId w:val="28"/>
              </w:numPr>
              <w:ind w:left="447" w:hanging="425"/>
              <w:jc w:val="both"/>
              <w:rPr>
                <w:szCs w:val="24"/>
                <w:lang w:eastAsia="lt-LT"/>
              </w:rPr>
            </w:pPr>
            <w:r w:rsidRPr="00EE0CE4">
              <w:rPr>
                <w:szCs w:val="24"/>
                <w:u w:val="single"/>
                <w:lang w:eastAsia="lt-LT"/>
              </w:rPr>
              <w:t>Terminai</w:t>
            </w:r>
          </w:p>
          <w:p w14:paraId="6BB288CF" w14:textId="33D062A7" w:rsidR="00085F8E" w:rsidRDefault="003A452A" w:rsidP="00085F8E">
            <w:pPr>
              <w:jc w:val="both"/>
              <w:rPr>
                <w:szCs w:val="24"/>
                <w:lang w:eastAsia="lt-LT"/>
              </w:rPr>
            </w:pPr>
            <w:r>
              <w:rPr>
                <w:szCs w:val="24"/>
                <w:lang w:eastAsia="lt-LT"/>
              </w:rPr>
              <w:t xml:space="preserve">Pagal pateiktą informaciją privatus subjektas atliks </w:t>
            </w:r>
            <w:r w:rsidR="00DD4F0F">
              <w:rPr>
                <w:szCs w:val="24"/>
                <w:lang w:eastAsia="lt-LT"/>
              </w:rPr>
              <w:t xml:space="preserve">įrengimo </w:t>
            </w:r>
            <w:r>
              <w:rPr>
                <w:szCs w:val="24"/>
                <w:lang w:eastAsia="lt-LT"/>
              </w:rPr>
              <w:t>darbus per pakankamą terminą – 1 metus, o paslaug</w:t>
            </w:r>
            <w:r w:rsidR="00101A2E">
              <w:rPr>
                <w:szCs w:val="24"/>
                <w:lang w:eastAsia="lt-LT"/>
              </w:rPr>
              <w:t>as teiks 14</w:t>
            </w:r>
            <w:r>
              <w:rPr>
                <w:szCs w:val="24"/>
                <w:lang w:eastAsia="lt-LT"/>
              </w:rPr>
              <w:t xml:space="preserve"> metų. Maksimalaus koncesijos sutarties termino </w:t>
            </w:r>
            <w:r w:rsidRPr="003A452A">
              <w:rPr>
                <w:szCs w:val="24"/>
                <w:lang w:eastAsia="lt-LT"/>
              </w:rPr>
              <w:t>–</w:t>
            </w:r>
            <w:r w:rsidR="00101A2E">
              <w:rPr>
                <w:szCs w:val="24"/>
                <w:lang w:eastAsia="lt-LT"/>
              </w:rPr>
              <w:t xml:space="preserve"> 15</w:t>
            </w:r>
            <w:r w:rsidRPr="003A452A">
              <w:rPr>
                <w:szCs w:val="24"/>
                <w:lang w:eastAsia="lt-LT"/>
              </w:rPr>
              <w:t xml:space="preserve"> me</w:t>
            </w:r>
            <w:r>
              <w:rPr>
                <w:szCs w:val="24"/>
                <w:lang w:eastAsia="lt-LT"/>
              </w:rPr>
              <w:t xml:space="preserve">tų – pasirinkimą galima vertinti kaip pagrįstą </w:t>
            </w:r>
            <w:r w:rsidRPr="003A452A">
              <w:rPr>
                <w:szCs w:val="24"/>
                <w:lang w:eastAsia="lt-LT"/>
              </w:rPr>
              <w:t xml:space="preserve">(žr. išvados skyrių „9. VPSP projekto finansinis gyvybingumas“). Vadovaujantis Koncesijų įstatymo 17 str., </w:t>
            </w:r>
            <w:r>
              <w:rPr>
                <w:szCs w:val="24"/>
                <w:lang w:eastAsia="lt-LT"/>
              </w:rPr>
              <w:t xml:space="preserve">koncesijos </w:t>
            </w:r>
            <w:r w:rsidRPr="003A452A">
              <w:rPr>
                <w:szCs w:val="24"/>
                <w:lang w:eastAsia="lt-LT"/>
              </w:rPr>
              <w:t xml:space="preserve">sutarties terminas negali būti ilgesnis už laikotarpį, per kurį privatus subjektas pagrįstai gali tikėtis atgauti atliekant darbus ir teikiant paslaugas įdėtas investicijas ir būtų gauta investuoto kapitalo grąža. </w:t>
            </w:r>
            <w:r w:rsidR="0035224A" w:rsidRPr="0035224A">
              <w:rPr>
                <w:szCs w:val="24"/>
                <w:lang w:eastAsia="lt-LT"/>
              </w:rPr>
              <w:t xml:space="preserve">Todėl </w:t>
            </w:r>
            <w:r w:rsidR="0035224A" w:rsidRPr="0035224A">
              <w:rPr>
                <w:szCs w:val="24"/>
                <w:lang w:eastAsia="lt-LT"/>
              </w:rPr>
              <w:lastRenderedPageBreak/>
              <w:t>rekomenduotina koncesijos konkurso dokumentuo</w:t>
            </w:r>
            <w:r w:rsidR="0035224A">
              <w:rPr>
                <w:szCs w:val="24"/>
                <w:lang w:eastAsia="lt-LT"/>
              </w:rPr>
              <w:t>se (koncesijos</w:t>
            </w:r>
            <w:r w:rsidR="0035224A" w:rsidRPr="0035224A">
              <w:rPr>
                <w:szCs w:val="24"/>
                <w:lang w:eastAsia="lt-LT"/>
              </w:rPr>
              <w:t xml:space="preserve"> sutarties projekte) bei koncesijos konkurso vykdymo metu aiškiai nustatyti, kad </w:t>
            </w:r>
            <w:r w:rsidR="0035224A">
              <w:rPr>
                <w:szCs w:val="24"/>
                <w:lang w:eastAsia="lt-LT"/>
              </w:rPr>
              <w:t xml:space="preserve">koncesijos </w:t>
            </w:r>
            <w:r w:rsidR="0035224A" w:rsidRPr="0035224A">
              <w:rPr>
                <w:szCs w:val="24"/>
                <w:lang w:eastAsia="lt-LT"/>
              </w:rPr>
              <w:t xml:space="preserve">sutarties terminas gali keistis, priklausomai nuo dalyvio / privataus subjekto pasiūlyme nurodytų investicijų dydžio bei </w:t>
            </w:r>
            <w:r w:rsidR="0035224A">
              <w:rPr>
                <w:szCs w:val="24"/>
                <w:lang w:eastAsia="lt-LT"/>
              </w:rPr>
              <w:t xml:space="preserve">koncesijos </w:t>
            </w:r>
            <w:r w:rsidR="0035224A" w:rsidRPr="0035224A">
              <w:rPr>
                <w:szCs w:val="24"/>
                <w:lang w:eastAsia="lt-LT"/>
              </w:rPr>
              <w:t>sutarties vykdymo metu faktinio investicijų atsipirkimo laikotarpio.</w:t>
            </w:r>
          </w:p>
          <w:p w14:paraId="3E504467" w14:textId="77777777" w:rsidR="00294349" w:rsidRPr="00BF47BA" w:rsidRDefault="00294349" w:rsidP="00954A46">
            <w:pPr>
              <w:rPr>
                <w:szCs w:val="24"/>
                <w:lang w:eastAsia="lt-LT"/>
              </w:rPr>
            </w:pPr>
          </w:p>
        </w:tc>
      </w:tr>
    </w:tbl>
    <w:p w14:paraId="0F814047" w14:textId="77777777" w:rsidR="009A0866" w:rsidRPr="00BF47BA" w:rsidRDefault="009A0866" w:rsidP="009A0866"/>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639"/>
      </w:tblGrid>
      <w:tr w:rsidR="009A0866" w:rsidRPr="00BF47BA" w14:paraId="41BE492C" w14:textId="77777777" w:rsidTr="00954A46">
        <w:trPr>
          <w:trHeight w:val="275"/>
        </w:trPr>
        <w:tc>
          <w:tcPr>
            <w:tcW w:w="13745" w:type="dxa"/>
            <w:gridSpan w:val="2"/>
            <w:shd w:val="clear" w:color="auto" w:fill="D9D9D9" w:themeFill="background1" w:themeFillShade="D9"/>
          </w:tcPr>
          <w:p w14:paraId="6C8B941F" w14:textId="77777777" w:rsidR="009A0866" w:rsidRPr="00BF47BA" w:rsidRDefault="009A0866" w:rsidP="00D455F3">
            <w:pPr>
              <w:ind w:left="1080"/>
              <w:jc w:val="center"/>
              <w:rPr>
                <w:b/>
                <w:szCs w:val="24"/>
                <w:lang w:eastAsia="lt-LT"/>
              </w:rPr>
            </w:pPr>
            <w:r w:rsidRPr="00BF47BA">
              <w:rPr>
                <w:b/>
                <w:szCs w:val="24"/>
                <w:lang w:eastAsia="lt-LT"/>
              </w:rPr>
              <w:t>5. Turtas</w:t>
            </w:r>
          </w:p>
        </w:tc>
      </w:tr>
      <w:tr w:rsidR="009A0866" w:rsidRPr="00BF47BA" w14:paraId="54E43B88" w14:textId="77777777" w:rsidTr="00954A46">
        <w:trPr>
          <w:trHeight w:val="275"/>
        </w:trPr>
        <w:tc>
          <w:tcPr>
            <w:tcW w:w="4106" w:type="dxa"/>
            <w:shd w:val="clear" w:color="auto" w:fill="D9D9D9" w:themeFill="background1" w:themeFillShade="D9"/>
          </w:tcPr>
          <w:p w14:paraId="3C09E3A4" w14:textId="77777777" w:rsidR="009A0866" w:rsidRPr="00BF47BA" w:rsidRDefault="009A0866" w:rsidP="00D455F3">
            <w:pPr>
              <w:jc w:val="both"/>
              <w:rPr>
                <w:szCs w:val="24"/>
                <w:lang w:eastAsia="lt-LT"/>
              </w:rPr>
            </w:pPr>
            <w:r w:rsidRPr="00BF47BA">
              <w:rPr>
                <w:szCs w:val="24"/>
                <w:lang w:eastAsia="lt-LT"/>
              </w:rPr>
              <w:t xml:space="preserve">5.1. Perduodamas turtas </w:t>
            </w:r>
          </w:p>
        </w:tc>
        <w:tc>
          <w:tcPr>
            <w:tcW w:w="9639" w:type="dxa"/>
          </w:tcPr>
          <w:p w14:paraId="78E2226C" w14:textId="7466D2E6" w:rsidR="009A0866" w:rsidRDefault="00B226AD" w:rsidP="003C3683">
            <w:pPr>
              <w:jc w:val="both"/>
              <w:rPr>
                <w:szCs w:val="24"/>
                <w:lang w:eastAsia="lt-LT"/>
              </w:rPr>
            </w:pPr>
            <w:r>
              <w:rPr>
                <w:szCs w:val="24"/>
                <w:lang w:eastAsia="lt-LT"/>
              </w:rPr>
              <w:t xml:space="preserve">1. </w:t>
            </w:r>
            <w:r w:rsidRPr="00B226AD">
              <w:rPr>
                <w:szCs w:val="24"/>
                <w:lang w:eastAsia="lt-LT"/>
              </w:rPr>
              <w:t>Sporto paskirties pastatas</w:t>
            </w:r>
            <w:r w:rsidR="003C3683">
              <w:rPr>
                <w:szCs w:val="24"/>
                <w:lang w:eastAsia="lt-LT"/>
              </w:rPr>
              <w:t xml:space="preserve"> </w:t>
            </w:r>
            <w:r w:rsidR="00A53FC2">
              <w:rPr>
                <w:szCs w:val="24"/>
                <w:lang w:eastAsia="lt-LT"/>
              </w:rPr>
              <w:t>- B</w:t>
            </w:r>
            <w:r w:rsidRPr="00B226AD">
              <w:rPr>
                <w:szCs w:val="24"/>
                <w:lang w:eastAsia="lt-LT"/>
              </w:rPr>
              <w:t>aseinas</w:t>
            </w:r>
            <w:r>
              <w:rPr>
                <w:szCs w:val="24"/>
                <w:lang w:eastAsia="lt-LT"/>
              </w:rPr>
              <w:t xml:space="preserve">, esantis </w:t>
            </w:r>
            <w:r w:rsidRPr="00B226AD">
              <w:rPr>
                <w:szCs w:val="24"/>
                <w:lang w:eastAsia="lt-LT"/>
              </w:rPr>
              <w:t>Ąžuolų g. 10</w:t>
            </w:r>
            <w:r w:rsidR="001D4BC1">
              <w:rPr>
                <w:szCs w:val="24"/>
                <w:lang w:eastAsia="lt-LT"/>
              </w:rPr>
              <w:t xml:space="preserve"> (</w:t>
            </w:r>
            <w:r w:rsidR="001D4BC1" w:rsidRPr="00637756">
              <w:rPr>
                <w:szCs w:val="24"/>
                <w:lang w:eastAsia="lt-LT"/>
              </w:rPr>
              <w:t>šiuo metu nėra įregistruotas, vykdomi statybos darbai)</w:t>
            </w:r>
            <w:r w:rsidRPr="00B226AD">
              <w:rPr>
                <w:szCs w:val="24"/>
                <w:lang w:eastAsia="lt-LT"/>
              </w:rPr>
              <w:t>, Molėtai</w:t>
            </w:r>
            <w:r w:rsidR="001D4BC1">
              <w:rPr>
                <w:szCs w:val="24"/>
                <w:lang w:eastAsia="lt-LT"/>
              </w:rPr>
              <w:t>, nuosavybės teise priklausysiantis Molėtų rajono savivaldybei.</w:t>
            </w:r>
            <w:r w:rsidR="003C3683">
              <w:rPr>
                <w:szCs w:val="24"/>
                <w:lang w:eastAsia="lt-LT"/>
              </w:rPr>
              <w:t xml:space="preserve"> Privačiam subjektui perduodamas patikėjimo teise.</w:t>
            </w:r>
          </w:p>
          <w:p w14:paraId="37EFF27D" w14:textId="28C53E18" w:rsidR="003C3683" w:rsidRPr="003C3683" w:rsidRDefault="003C3683" w:rsidP="003C3683">
            <w:pPr>
              <w:jc w:val="both"/>
              <w:rPr>
                <w:szCs w:val="24"/>
                <w:lang w:eastAsia="lt-LT"/>
              </w:rPr>
            </w:pPr>
            <w:r w:rsidRPr="003C3683">
              <w:rPr>
                <w:szCs w:val="24"/>
                <w:lang w:eastAsia="lt-LT"/>
              </w:rPr>
              <w:t>2. Lauko teniso aikštelė</w:t>
            </w:r>
            <w:r>
              <w:rPr>
                <w:szCs w:val="24"/>
                <w:lang w:eastAsia="lt-LT"/>
              </w:rPr>
              <w:t xml:space="preserve">, esanti Ažuolų g. </w:t>
            </w:r>
            <w:r w:rsidRPr="003C3683">
              <w:rPr>
                <w:szCs w:val="24"/>
                <w:lang w:eastAsia="lt-LT"/>
              </w:rPr>
              <w:t>10, Mol</w:t>
            </w:r>
            <w:r>
              <w:rPr>
                <w:szCs w:val="24"/>
                <w:lang w:eastAsia="lt-LT"/>
              </w:rPr>
              <w:t xml:space="preserve">ėtai (unikalus Nr. </w:t>
            </w:r>
            <w:r w:rsidRPr="003C3683">
              <w:rPr>
                <w:szCs w:val="24"/>
                <w:lang w:eastAsia="lt-LT"/>
              </w:rPr>
              <w:t>4400-3101-4260</w:t>
            </w:r>
            <w:r>
              <w:rPr>
                <w:szCs w:val="24"/>
                <w:lang w:eastAsia="lt-LT"/>
              </w:rPr>
              <w:t>), nuosavybės teise priklausanti Molėtų rajono savivaldybei. Privačiam subjektui perduodama</w:t>
            </w:r>
            <w:r w:rsidRPr="003C3683">
              <w:rPr>
                <w:szCs w:val="24"/>
                <w:lang w:eastAsia="lt-LT"/>
              </w:rPr>
              <w:t xml:space="preserve"> patikėjimo teise.</w:t>
            </w:r>
          </w:p>
          <w:p w14:paraId="0B367117" w14:textId="6FBE1A99" w:rsidR="003C3683" w:rsidRPr="003C3683" w:rsidRDefault="003C3683" w:rsidP="003C3683">
            <w:pPr>
              <w:jc w:val="both"/>
              <w:rPr>
                <w:szCs w:val="24"/>
                <w:lang w:eastAsia="lt-LT"/>
              </w:rPr>
            </w:pPr>
            <w:r w:rsidRPr="003C3683">
              <w:rPr>
                <w:szCs w:val="24"/>
                <w:lang w:eastAsia="lt-LT"/>
              </w:rPr>
              <w:t>3. Meksikietiško (padelio) teniso aikštelė</w:t>
            </w:r>
            <w:r>
              <w:rPr>
                <w:szCs w:val="24"/>
                <w:lang w:eastAsia="lt-LT"/>
              </w:rPr>
              <w:t>,</w:t>
            </w:r>
            <w:r>
              <w:t xml:space="preserve"> </w:t>
            </w:r>
            <w:r w:rsidRPr="003C3683">
              <w:rPr>
                <w:szCs w:val="24"/>
                <w:lang w:eastAsia="lt-LT"/>
              </w:rPr>
              <w:t>esanti Ažuolų g. 10, Molėtai (unikalus Nr.</w:t>
            </w:r>
            <w:r>
              <w:rPr>
                <w:szCs w:val="24"/>
                <w:lang w:eastAsia="lt-LT"/>
              </w:rPr>
              <w:t xml:space="preserve"> </w:t>
            </w:r>
            <w:r w:rsidRPr="003C3683">
              <w:rPr>
                <w:szCs w:val="24"/>
                <w:lang w:eastAsia="lt-LT"/>
              </w:rPr>
              <w:t>4400-3101-4316), nuosavybės teise priklausanti Molėtų rajono savivaldybei. Privačiam subjektui perduodama patikėjimo teise.</w:t>
            </w:r>
          </w:p>
          <w:p w14:paraId="626EEF6E" w14:textId="55D7C952" w:rsidR="003C3683" w:rsidRPr="00BF47BA" w:rsidRDefault="003C3683" w:rsidP="003C3683">
            <w:pPr>
              <w:jc w:val="both"/>
              <w:rPr>
                <w:szCs w:val="24"/>
                <w:lang w:eastAsia="lt-LT"/>
              </w:rPr>
            </w:pPr>
            <w:r w:rsidRPr="003C3683">
              <w:rPr>
                <w:szCs w:val="24"/>
                <w:lang w:eastAsia="lt-LT"/>
              </w:rPr>
              <w:t>4. Meksikietiško (padelio) teniso aikštelė</w:t>
            </w:r>
            <w:r>
              <w:rPr>
                <w:szCs w:val="24"/>
                <w:lang w:eastAsia="lt-LT"/>
              </w:rPr>
              <w:t xml:space="preserve">, </w:t>
            </w:r>
            <w:r w:rsidRPr="003C3683">
              <w:rPr>
                <w:szCs w:val="24"/>
                <w:lang w:eastAsia="lt-LT"/>
              </w:rPr>
              <w:t>esanti Ažuolų g. 10, Molėtai (unikalus Nr.</w:t>
            </w:r>
            <w:r>
              <w:rPr>
                <w:szCs w:val="24"/>
                <w:lang w:eastAsia="lt-LT"/>
              </w:rPr>
              <w:t xml:space="preserve"> </w:t>
            </w:r>
            <w:r w:rsidRPr="003C3683">
              <w:rPr>
                <w:szCs w:val="24"/>
                <w:lang w:eastAsia="lt-LT"/>
              </w:rPr>
              <w:t>4400-3101-4305), nuosavybės teise priklausanti Molėtų rajono savivaldybei. Privačiam subjektui perduodama patikėjimo teise.</w:t>
            </w:r>
          </w:p>
        </w:tc>
      </w:tr>
      <w:tr w:rsidR="009A0866" w:rsidRPr="00BF47BA" w14:paraId="33FF824C" w14:textId="77777777" w:rsidTr="00954A46">
        <w:trPr>
          <w:trHeight w:val="275"/>
        </w:trPr>
        <w:tc>
          <w:tcPr>
            <w:tcW w:w="4106" w:type="dxa"/>
            <w:shd w:val="clear" w:color="auto" w:fill="D9D9D9" w:themeFill="background1" w:themeFillShade="D9"/>
          </w:tcPr>
          <w:p w14:paraId="52CCB1D0" w14:textId="77777777" w:rsidR="009A0866" w:rsidRPr="00BF47BA" w:rsidRDefault="009A0866" w:rsidP="00D455F3">
            <w:pPr>
              <w:jc w:val="both"/>
              <w:rPr>
                <w:szCs w:val="24"/>
                <w:lang w:eastAsia="lt-LT"/>
              </w:rPr>
            </w:pPr>
            <w:r w:rsidRPr="00BF47BA">
              <w:rPr>
                <w:szCs w:val="24"/>
                <w:lang w:eastAsia="lt-LT"/>
              </w:rPr>
              <w:t xml:space="preserve">5.2. Naujai kuriamas turtas pagal viešojo subjekto poreikius.  </w:t>
            </w:r>
          </w:p>
        </w:tc>
        <w:tc>
          <w:tcPr>
            <w:tcW w:w="9639" w:type="dxa"/>
          </w:tcPr>
          <w:p w14:paraId="11CE5780" w14:textId="56D123F4" w:rsidR="009A0866" w:rsidRPr="00BF47BA" w:rsidRDefault="007D0574" w:rsidP="006D13E9">
            <w:pPr>
              <w:tabs>
                <w:tab w:val="left" w:pos="3728"/>
              </w:tabs>
              <w:jc w:val="both"/>
              <w:rPr>
                <w:szCs w:val="24"/>
                <w:lang w:eastAsia="lt-LT"/>
              </w:rPr>
            </w:pPr>
            <w:r>
              <w:rPr>
                <w:szCs w:val="24"/>
                <w:lang w:eastAsia="lt-LT"/>
              </w:rPr>
              <w:t>Kilnojamas ilgalaikis turtas – baldai ir įranga, kuris koncesijos sutarties galiojimo metu priklausys privačiam subjektui, o pasibaigus koncesij</w:t>
            </w:r>
            <w:r w:rsidR="005829D3">
              <w:rPr>
                <w:szCs w:val="24"/>
                <w:lang w:eastAsia="lt-LT"/>
              </w:rPr>
              <w:t>os sutarčiai turės būti perduotas</w:t>
            </w:r>
            <w:r>
              <w:rPr>
                <w:szCs w:val="24"/>
                <w:lang w:eastAsia="lt-LT"/>
              </w:rPr>
              <w:t xml:space="preserve"> MRSA.</w:t>
            </w:r>
          </w:p>
        </w:tc>
      </w:tr>
      <w:tr w:rsidR="009A0866" w:rsidRPr="00BF47BA" w14:paraId="18063AE2" w14:textId="77777777" w:rsidTr="00954A46">
        <w:trPr>
          <w:trHeight w:val="275"/>
        </w:trPr>
        <w:tc>
          <w:tcPr>
            <w:tcW w:w="4106" w:type="dxa"/>
            <w:tcBorders>
              <w:bottom w:val="single" w:sz="12" w:space="0" w:color="auto"/>
            </w:tcBorders>
            <w:shd w:val="clear" w:color="auto" w:fill="D9D9D9" w:themeFill="background1" w:themeFillShade="D9"/>
          </w:tcPr>
          <w:p w14:paraId="6C366B4F" w14:textId="77777777" w:rsidR="009A0866" w:rsidRPr="00BF47BA" w:rsidRDefault="009A0866" w:rsidP="00D455F3">
            <w:pPr>
              <w:jc w:val="both"/>
              <w:rPr>
                <w:szCs w:val="24"/>
                <w:lang w:eastAsia="lt-LT"/>
              </w:rPr>
            </w:pPr>
            <w:r w:rsidRPr="00BF47BA">
              <w:rPr>
                <w:szCs w:val="24"/>
                <w:lang w:eastAsia="lt-LT"/>
              </w:rPr>
              <w:t xml:space="preserve">5.3. Naujai kuriamas turtas privataus subjekto rizika. </w:t>
            </w:r>
          </w:p>
        </w:tc>
        <w:tc>
          <w:tcPr>
            <w:tcW w:w="9639" w:type="dxa"/>
          </w:tcPr>
          <w:p w14:paraId="7EBF9D65" w14:textId="39FF3CFC" w:rsidR="009A0866" w:rsidRPr="00BF47BA" w:rsidRDefault="00056DB2" w:rsidP="00954A46">
            <w:pPr>
              <w:rPr>
                <w:szCs w:val="24"/>
                <w:lang w:eastAsia="lt-LT"/>
              </w:rPr>
            </w:pPr>
            <w:r>
              <w:rPr>
                <w:szCs w:val="24"/>
                <w:lang w:eastAsia="lt-LT"/>
              </w:rPr>
              <w:t>-</w:t>
            </w:r>
          </w:p>
        </w:tc>
      </w:tr>
      <w:tr w:rsidR="009A0866" w:rsidRPr="00BF47BA" w14:paraId="42ACC368" w14:textId="77777777" w:rsidTr="00821FE5">
        <w:trPr>
          <w:trHeight w:val="824"/>
        </w:trPr>
        <w:tc>
          <w:tcPr>
            <w:tcW w:w="13745" w:type="dxa"/>
            <w:gridSpan w:val="2"/>
            <w:tcBorders>
              <w:top w:val="single" w:sz="12" w:space="0" w:color="auto"/>
              <w:left w:val="single" w:sz="12" w:space="0" w:color="auto"/>
              <w:bottom w:val="single" w:sz="12" w:space="0" w:color="auto"/>
              <w:right w:val="single" w:sz="12" w:space="0" w:color="auto"/>
            </w:tcBorders>
          </w:tcPr>
          <w:p w14:paraId="20F5AEAE" w14:textId="41BE2D72" w:rsidR="009A0866" w:rsidRDefault="009A0866" w:rsidP="00D455F3">
            <w:pPr>
              <w:rPr>
                <w:i/>
                <w:szCs w:val="24"/>
                <w:lang w:eastAsia="lt-LT"/>
              </w:rPr>
            </w:pPr>
            <w:r w:rsidRPr="00BF47BA">
              <w:rPr>
                <w:b/>
                <w:szCs w:val="24"/>
                <w:lang w:eastAsia="lt-LT"/>
              </w:rPr>
              <w:t>CPVA išvada</w:t>
            </w:r>
            <w:r w:rsidR="00C652AB">
              <w:rPr>
                <w:i/>
                <w:szCs w:val="24"/>
                <w:lang w:eastAsia="lt-LT"/>
              </w:rPr>
              <w:t xml:space="preserve"> (</w:t>
            </w:r>
            <w:r w:rsidRPr="00BF47BA">
              <w:rPr>
                <w:i/>
                <w:szCs w:val="24"/>
                <w:lang w:eastAsia="lt-LT"/>
              </w:rPr>
              <w:t>Turto perdavimo / sukūrimo logiškumas, teisėtumas, pagrįstumas ir efektyvumas. Esami ir būsimi turto naudojimo apribojimai</w:t>
            </w:r>
            <w:r w:rsidR="00A35E99">
              <w:rPr>
                <w:i/>
                <w:szCs w:val="24"/>
                <w:lang w:eastAsia="lt-LT"/>
              </w:rPr>
              <w:t xml:space="preserve">. </w:t>
            </w:r>
            <w:r w:rsidR="00C652AB">
              <w:rPr>
                <w:i/>
                <w:szCs w:val="24"/>
                <w:lang w:eastAsia="lt-LT"/>
              </w:rPr>
              <w:t>)</w:t>
            </w:r>
          </w:p>
          <w:p w14:paraId="0680A953" w14:textId="10574507" w:rsidR="00BE6919" w:rsidRPr="00BE6919" w:rsidRDefault="00BE6919" w:rsidP="00BE6919">
            <w:pPr>
              <w:jc w:val="both"/>
              <w:rPr>
                <w:szCs w:val="24"/>
                <w:u w:val="single"/>
                <w:lang w:eastAsia="lt-LT"/>
              </w:rPr>
            </w:pPr>
            <w:r>
              <w:rPr>
                <w:szCs w:val="24"/>
                <w:u w:val="single"/>
                <w:lang w:eastAsia="lt-LT"/>
              </w:rPr>
              <w:t xml:space="preserve">I. </w:t>
            </w:r>
            <w:r w:rsidRPr="00BE6919">
              <w:rPr>
                <w:szCs w:val="24"/>
                <w:u w:val="single"/>
                <w:lang w:eastAsia="lt-LT"/>
              </w:rPr>
              <w:t xml:space="preserve">Turto perdavimas. </w:t>
            </w:r>
          </w:p>
          <w:p w14:paraId="5E9E823A" w14:textId="77777777" w:rsidR="00BE6919" w:rsidRDefault="00BE6919" w:rsidP="00BE6919">
            <w:pPr>
              <w:jc w:val="both"/>
              <w:rPr>
                <w:szCs w:val="24"/>
                <w:lang w:eastAsia="lt-LT"/>
              </w:rPr>
            </w:pPr>
          </w:p>
          <w:p w14:paraId="0E25A9E6" w14:textId="77777777" w:rsidR="008C3FE2" w:rsidRDefault="00BE6919" w:rsidP="00E66C79">
            <w:pPr>
              <w:jc w:val="both"/>
              <w:rPr>
                <w:szCs w:val="24"/>
                <w:lang w:eastAsia="lt-LT"/>
              </w:rPr>
            </w:pPr>
            <w:r>
              <w:rPr>
                <w:szCs w:val="24"/>
                <w:lang w:eastAsia="lt-LT"/>
              </w:rPr>
              <w:t xml:space="preserve">Nurodytas Molėtų rajono savivaldybei </w:t>
            </w:r>
            <w:r w:rsidRPr="00BE6919">
              <w:rPr>
                <w:szCs w:val="24"/>
                <w:lang w:eastAsia="lt-LT"/>
              </w:rPr>
              <w:t xml:space="preserve">nuosavybės teise priklausančio </w:t>
            </w:r>
            <w:r>
              <w:rPr>
                <w:szCs w:val="24"/>
                <w:lang w:eastAsia="lt-LT"/>
              </w:rPr>
              <w:t xml:space="preserve">turto perdavimo būdas (patikėjimas) yra pagrįstas ir galimas </w:t>
            </w:r>
            <w:r w:rsidRPr="00BE6919">
              <w:rPr>
                <w:szCs w:val="24"/>
                <w:lang w:eastAsia="lt-LT"/>
              </w:rPr>
              <w:t>pagal Koncesijų įstatymą. Numatoma, kad privataus subjekto naujai kuriamas</w:t>
            </w:r>
            <w:r w:rsidR="00E66C79">
              <w:rPr>
                <w:szCs w:val="24"/>
                <w:lang w:eastAsia="lt-LT"/>
              </w:rPr>
              <w:t xml:space="preserve"> kilnojamas ilgalaikis</w:t>
            </w:r>
            <w:r w:rsidRPr="00BE6919">
              <w:rPr>
                <w:szCs w:val="24"/>
                <w:lang w:eastAsia="lt-LT"/>
              </w:rPr>
              <w:t xml:space="preserve"> turtas </w:t>
            </w:r>
            <w:r w:rsidR="00E66C79">
              <w:rPr>
                <w:szCs w:val="24"/>
                <w:lang w:eastAsia="lt-LT"/>
              </w:rPr>
              <w:t xml:space="preserve">- baldai ir įranga </w:t>
            </w:r>
            <w:r w:rsidRPr="00BE6919">
              <w:rPr>
                <w:szCs w:val="24"/>
                <w:lang w:eastAsia="lt-LT"/>
              </w:rPr>
              <w:t xml:space="preserve">nuosavybės teise </w:t>
            </w:r>
            <w:r w:rsidR="00E66C79">
              <w:rPr>
                <w:szCs w:val="24"/>
                <w:lang w:eastAsia="lt-LT"/>
              </w:rPr>
              <w:t>koncesijos</w:t>
            </w:r>
            <w:r w:rsidRPr="00BE6919">
              <w:rPr>
                <w:szCs w:val="24"/>
                <w:lang w:eastAsia="lt-LT"/>
              </w:rPr>
              <w:t xml:space="preserve"> sutarties </w:t>
            </w:r>
            <w:r w:rsidR="00E66C79">
              <w:rPr>
                <w:szCs w:val="24"/>
                <w:lang w:eastAsia="lt-LT"/>
              </w:rPr>
              <w:t xml:space="preserve">galiojimo </w:t>
            </w:r>
            <w:r w:rsidRPr="00BE6919">
              <w:rPr>
                <w:szCs w:val="24"/>
                <w:lang w:eastAsia="lt-LT"/>
              </w:rPr>
              <w:t xml:space="preserve">metu priklausys privačiam subjektui, </w:t>
            </w:r>
            <w:r w:rsidR="00E66C79">
              <w:rPr>
                <w:szCs w:val="24"/>
                <w:lang w:eastAsia="lt-LT"/>
              </w:rPr>
              <w:t>o po jos pasibaigimo bus perduotas MRSA</w:t>
            </w:r>
            <w:r w:rsidR="00E66C79" w:rsidRPr="00637756">
              <w:rPr>
                <w:szCs w:val="24"/>
                <w:lang w:eastAsia="lt-LT"/>
              </w:rPr>
              <w:t xml:space="preserve">, </w:t>
            </w:r>
            <w:r w:rsidRPr="00637756">
              <w:rPr>
                <w:szCs w:val="24"/>
                <w:lang w:eastAsia="lt-LT"/>
              </w:rPr>
              <w:t>kas yra logiška ir teisėta pagal Koncesijų įstatymą.</w:t>
            </w:r>
          </w:p>
          <w:p w14:paraId="358EE5AF" w14:textId="77777777" w:rsidR="008C3FE2" w:rsidRDefault="008C3FE2" w:rsidP="00E66C79">
            <w:pPr>
              <w:jc w:val="both"/>
              <w:rPr>
                <w:szCs w:val="24"/>
                <w:lang w:eastAsia="lt-LT"/>
              </w:rPr>
            </w:pPr>
          </w:p>
          <w:p w14:paraId="0C3B1185" w14:textId="1BA34196" w:rsidR="00C652AB" w:rsidRPr="008C3FE2" w:rsidRDefault="008C3FE2" w:rsidP="00E66C79">
            <w:pPr>
              <w:jc w:val="both"/>
              <w:rPr>
                <w:szCs w:val="24"/>
                <w:u w:val="single"/>
                <w:lang w:eastAsia="lt-LT"/>
              </w:rPr>
            </w:pPr>
            <w:r w:rsidRPr="008C3FE2">
              <w:rPr>
                <w:szCs w:val="24"/>
                <w:u w:val="single"/>
                <w:lang w:eastAsia="lt-LT"/>
              </w:rPr>
              <w:t>II. Apribojimai.</w:t>
            </w:r>
          </w:p>
          <w:p w14:paraId="49D705F9" w14:textId="5B2A3254" w:rsidR="009A0866" w:rsidRDefault="009A0866" w:rsidP="00954A46">
            <w:pPr>
              <w:rPr>
                <w:szCs w:val="24"/>
                <w:lang w:eastAsia="lt-LT"/>
              </w:rPr>
            </w:pPr>
          </w:p>
          <w:p w14:paraId="3479E0AB" w14:textId="32242DB9" w:rsidR="008C3FE2" w:rsidRPr="00BF47BA" w:rsidRDefault="00A53FC2" w:rsidP="00FB3E41">
            <w:pPr>
              <w:jc w:val="both"/>
              <w:rPr>
                <w:szCs w:val="24"/>
                <w:lang w:eastAsia="lt-LT"/>
              </w:rPr>
            </w:pPr>
            <w:r>
              <w:rPr>
                <w:szCs w:val="24"/>
                <w:lang w:eastAsia="lt-LT"/>
              </w:rPr>
              <w:lastRenderedPageBreak/>
              <w:t>Šiuo metu nėra baigti perduodamo turto –</w:t>
            </w:r>
            <w:r w:rsidR="00684E8A">
              <w:rPr>
                <w:szCs w:val="24"/>
                <w:lang w:eastAsia="lt-LT"/>
              </w:rPr>
              <w:t xml:space="preserve"> Baseino pastato statybos darbai. </w:t>
            </w:r>
            <w:r w:rsidR="00BF59AA">
              <w:rPr>
                <w:szCs w:val="24"/>
                <w:lang w:eastAsia="lt-LT"/>
              </w:rPr>
              <w:t>Ne vėliau kaip i</w:t>
            </w:r>
            <w:r w:rsidR="00684E8A" w:rsidRPr="00637756">
              <w:rPr>
                <w:szCs w:val="24"/>
                <w:lang w:eastAsia="lt-LT"/>
              </w:rPr>
              <w:t xml:space="preserve">ki </w:t>
            </w:r>
            <w:r w:rsidR="00F824C8" w:rsidRPr="00637756">
              <w:rPr>
                <w:szCs w:val="24"/>
                <w:lang w:eastAsia="lt-LT"/>
              </w:rPr>
              <w:t xml:space="preserve">kvietimų pateikti išsamius pasiūlymus </w:t>
            </w:r>
            <w:r w:rsidR="00684E8A" w:rsidRPr="00637756">
              <w:rPr>
                <w:szCs w:val="24"/>
                <w:lang w:eastAsia="lt-LT"/>
              </w:rPr>
              <w:t>privataus subj</w:t>
            </w:r>
            <w:r w:rsidR="00F824C8" w:rsidRPr="00637756">
              <w:rPr>
                <w:szCs w:val="24"/>
                <w:lang w:eastAsia="lt-LT"/>
              </w:rPr>
              <w:t xml:space="preserve">ekto atrankos pirkimo procedūrose </w:t>
            </w:r>
            <w:r w:rsidR="00684E8A" w:rsidRPr="00637756">
              <w:rPr>
                <w:szCs w:val="24"/>
                <w:lang w:eastAsia="lt-LT"/>
              </w:rPr>
              <w:t xml:space="preserve">turi būti </w:t>
            </w:r>
            <w:r w:rsidR="00F824C8" w:rsidRPr="00637756">
              <w:rPr>
                <w:szCs w:val="24"/>
                <w:lang w:eastAsia="lt-LT"/>
              </w:rPr>
              <w:t>pa</w:t>
            </w:r>
            <w:r w:rsidR="00684E8A" w:rsidRPr="00637756">
              <w:rPr>
                <w:szCs w:val="24"/>
                <w:lang w:eastAsia="lt-LT"/>
              </w:rPr>
              <w:t xml:space="preserve">baigti </w:t>
            </w:r>
            <w:r w:rsidR="00F824C8" w:rsidRPr="00637756">
              <w:rPr>
                <w:szCs w:val="24"/>
                <w:lang w:eastAsia="lt-LT"/>
              </w:rPr>
              <w:t>Baseino pastato statybos darbai, kad dalyviai galėtų įsivertinti perd</w:t>
            </w:r>
            <w:r w:rsidR="00637756" w:rsidRPr="00637756">
              <w:rPr>
                <w:szCs w:val="24"/>
                <w:lang w:eastAsia="lt-LT"/>
              </w:rPr>
              <w:t>uodamą turtą  - Baseino pastatą ir taip pateikti pagrįstus bei įgyvendinamus išsamius pasiūlymus.</w:t>
            </w:r>
          </w:p>
        </w:tc>
      </w:tr>
    </w:tbl>
    <w:p w14:paraId="78D14AF7" w14:textId="77777777" w:rsidR="009A0866" w:rsidRPr="00BF47BA" w:rsidRDefault="009A0866" w:rsidP="009A0866"/>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039"/>
        <w:gridCol w:w="4959"/>
      </w:tblGrid>
      <w:tr w:rsidR="009A0866" w:rsidRPr="00BF47BA" w14:paraId="7ADD605E" w14:textId="77777777" w:rsidTr="00954A46">
        <w:tc>
          <w:tcPr>
            <w:tcW w:w="5000" w:type="pct"/>
            <w:gridSpan w:val="3"/>
            <w:shd w:val="clear" w:color="auto" w:fill="D9D9D9" w:themeFill="background1" w:themeFillShade="D9"/>
          </w:tcPr>
          <w:p w14:paraId="1035CBF0" w14:textId="77777777" w:rsidR="009A0866" w:rsidRPr="00BF47BA" w:rsidRDefault="009A0866" w:rsidP="00D455F3">
            <w:pPr>
              <w:ind w:left="720" w:hanging="360"/>
              <w:jc w:val="center"/>
              <w:rPr>
                <w:b/>
                <w:szCs w:val="24"/>
                <w:lang w:eastAsia="lt-LT"/>
              </w:rPr>
            </w:pPr>
            <w:r w:rsidRPr="00BF47BA">
              <w:rPr>
                <w:b/>
                <w:szCs w:val="24"/>
                <w:lang w:eastAsia="lt-LT"/>
              </w:rPr>
              <w:t>6.</w:t>
            </w:r>
            <w:r w:rsidRPr="00BF47BA">
              <w:rPr>
                <w:b/>
                <w:szCs w:val="24"/>
                <w:lang w:eastAsia="lt-LT"/>
              </w:rPr>
              <w:tab/>
              <w:t>Veiklos</w:t>
            </w:r>
          </w:p>
        </w:tc>
      </w:tr>
      <w:tr w:rsidR="009A0866" w:rsidRPr="00BF47BA" w14:paraId="0269BB10" w14:textId="77777777" w:rsidTr="00954A46">
        <w:tc>
          <w:tcPr>
            <w:tcW w:w="5000" w:type="pct"/>
            <w:gridSpan w:val="3"/>
            <w:shd w:val="clear" w:color="auto" w:fill="D9D9D9" w:themeFill="background1" w:themeFillShade="D9"/>
          </w:tcPr>
          <w:p w14:paraId="19C70078" w14:textId="77777777" w:rsidR="009A0866" w:rsidRPr="00BF47BA" w:rsidRDefault="009A0866" w:rsidP="00D455F3">
            <w:pPr>
              <w:ind w:left="720" w:hanging="360"/>
              <w:jc w:val="center"/>
              <w:rPr>
                <w:b/>
                <w:szCs w:val="24"/>
                <w:lang w:eastAsia="lt-LT"/>
              </w:rPr>
            </w:pPr>
            <w:r w:rsidRPr="00BF47BA">
              <w:rPr>
                <w:b/>
                <w:szCs w:val="24"/>
                <w:lang w:eastAsia="lt-LT"/>
              </w:rPr>
              <w:t>6.1.</w:t>
            </w:r>
            <w:r w:rsidRPr="00BF47BA">
              <w:rPr>
                <w:b/>
                <w:szCs w:val="24"/>
                <w:lang w:eastAsia="lt-LT"/>
              </w:rPr>
              <w:tab/>
              <w:t xml:space="preserve"> Veiklų perdavimas privačiam subjektui</w:t>
            </w:r>
          </w:p>
        </w:tc>
      </w:tr>
      <w:tr w:rsidR="009A0866" w:rsidRPr="00BF47BA" w14:paraId="268BEE66" w14:textId="77777777" w:rsidTr="00954A46">
        <w:trPr>
          <w:trHeight w:val="207"/>
        </w:trPr>
        <w:tc>
          <w:tcPr>
            <w:tcW w:w="1363" w:type="pct"/>
            <w:shd w:val="clear" w:color="auto" w:fill="D9D9D9" w:themeFill="background1" w:themeFillShade="D9"/>
          </w:tcPr>
          <w:p w14:paraId="2D3A0285" w14:textId="77777777" w:rsidR="009A0866" w:rsidRPr="00BF47BA" w:rsidRDefault="009A0866" w:rsidP="00D455F3">
            <w:pPr>
              <w:ind w:left="22" w:hanging="22"/>
              <w:jc w:val="both"/>
              <w:rPr>
                <w:b/>
                <w:szCs w:val="24"/>
                <w:lang w:eastAsia="lt-LT"/>
              </w:rPr>
            </w:pPr>
            <w:r w:rsidRPr="00BF47BA">
              <w:rPr>
                <w:szCs w:val="24"/>
                <w:lang w:eastAsia="lt-LT"/>
              </w:rPr>
              <w:t>6.1.1.</w:t>
            </w:r>
            <w:r w:rsidRPr="00BF47BA">
              <w:rPr>
                <w:szCs w:val="24"/>
                <w:lang w:eastAsia="lt-LT"/>
              </w:rPr>
              <w:tab/>
              <w:t>Privačiam subjektui perduodamos vykdyti veiklos (viešosios paslaugos ir / ar ūkinė komercinė veikla)</w:t>
            </w:r>
          </w:p>
        </w:tc>
        <w:tc>
          <w:tcPr>
            <w:tcW w:w="3637" w:type="pct"/>
            <w:gridSpan w:val="2"/>
          </w:tcPr>
          <w:p w14:paraId="23D71850" w14:textId="7F1090DC" w:rsidR="00E72F36" w:rsidRDefault="00356E6B" w:rsidP="00954A46">
            <w:pPr>
              <w:rPr>
                <w:szCs w:val="24"/>
                <w:lang w:eastAsia="lt-LT"/>
              </w:rPr>
            </w:pPr>
            <w:r>
              <w:rPr>
                <w:szCs w:val="24"/>
                <w:lang w:eastAsia="lt-LT"/>
              </w:rPr>
              <w:t>1.</w:t>
            </w:r>
            <w:r w:rsidR="00E72F36">
              <w:rPr>
                <w:szCs w:val="24"/>
                <w:lang w:eastAsia="lt-LT"/>
              </w:rPr>
              <w:t xml:space="preserve"> Baseino įrengimo darbai, įrangos diegimas.</w:t>
            </w:r>
          </w:p>
          <w:p w14:paraId="69C68B6A" w14:textId="2E707327" w:rsidR="00356E6B" w:rsidRPr="00356E6B" w:rsidRDefault="00356E6B" w:rsidP="00356E6B">
            <w:pPr>
              <w:rPr>
                <w:szCs w:val="24"/>
                <w:lang w:eastAsia="lt-LT"/>
              </w:rPr>
            </w:pPr>
            <w:r>
              <w:rPr>
                <w:szCs w:val="24"/>
                <w:lang w:eastAsia="lt-LT"/>
              </w:rPr>
              <w:t xml:space="preserve">2. Baseino ir teniso aikštelių eksploatacijos, </w:t>
            </w:r>
            <w:r w:rsidR="00343438">
              <w:rPr>
                <w:szCs w:val="24"/>
                <w:lang w:eastAsia="lt-LT"/>
              </w:rPr>
              <w:t>techninės priežiūros paslaugos,</w:t>
            </w:r>
            <w:r>
              <w:rPr>
                <w:szCs w:val="24"/>
                <w:lang w:eastAsia="lt-LT"/>
              </w:rPr>
              <w:t xml:space="preserve"> komunalinių paslaugų</w:t>
            </w:r>
            <w:r w:rsidR="00343438">
              <w:rPr>
                <w:szCs w:val="24"/>
                <w:lang w:eastAsia="lt-LT"/>
              </w:rPr>
              <w:t xml:space="preserve"> organizavimas.</w:t>
            </w:r>
          </w:p>
          <w:p w14:paraId="05963604" w14:textId="26F8C1A5" w:rsidR="00E72F36" w:rsidRDefault="00343438" w:rsidP="00954A46">
            <w:pPr>
              <w:rPr>
                <w:szCs w:val="24"/>
                <w:lang w:eastAsia="lt-LT"/>
              </w:rPr>
            </w:pPr>
            <w:r>
              <w:rPr>
                <w:szCs w:val="24"/>
                <w:lang w:eastAsia="lt-LT"/>
              </w:rPr>
              <w:t>3</w:t>
            </w:r>
            <w:r w:rsidR="00E72F36">
              <w:rPr>
                <w:szCs w:val="24"/>
                <w:lang w:eastAsia="lt-LT"/>
              </w:rPr>
              <w:t xml:space="preserve">. </w:t>
            </w:r>
            <w:r>
              <w:rPr>
                <w:szCs w:val="24"/>
                <w:lang w:eastAsia="lt-LT"/>
              </w:rPr>
              <w:t>Baseino, teniso aikštelių, t</w:t>
            </w:r>
            <w:r w:rsidR="00356E6B">
              <w:rPr>
                <w:szCs w:val="24"/>
                <w:lang w:eastAsia="lt-LT"/>
              </w:rPr>
              <w:t>eritorijos</w:t>
            </w:r>
            <w:r w:rsidR="00BF5739">
              <w:rPr>
                <w:szCs w:val="24"/>
                <w:lang w:eastAsia="lt-LT"/>
              </w:rPr>
              <w:t xml:space="preserve"> (įskaitant automobilių stovėjimo aikštelę)</w:t>
            </w:r>
            <w:r w:rsidR="00356E6B">
              <w:rPr>
                <w:szCs w:val="24"/>
                <w:lang w:eastAsia="lt-LT"/>
              </w:rPr>
              <w:t xml:space="preserve"> </w:t>
            </w:r>
            <w:r>
              <w:rPr>
                <w:szCs w:val="24"/>
                <w:lang w:eastAsia="lt-LT"/>
              </w:rPr>
              <w:t>tvarkymas, valymas.</w:t>
            </w:r>
          </w:p>
          <w:p w14:paraId="19CA96CC" w14:textId="6CA7700F" w:rsidR="00343438" w:rsidRDefault="00343438" w:rsidP="00954A46">
            <w:pPr>
              <w:rPr>
                <w:szCs w:val="24"/>
                <w:lang w:eastAsia="lt-LT"/>
              </w:rPr>
            </w:pPr>
            <w:r>
              <w:rPr>
                <w:szCs w:val="24"/>
                <w:lang w:eastAsia="lt-LT"/>
              </w:rPr>
              <w:t xml:space="preserve">4. </w:t>
            </w:r>
            <w:r w:rsidRPr="00343438">
              <w:rPr>
                <w:szCs w:val="24"/>
                <w:lang w:eastAsia="lt-LT"/>
              </w:rPr>
              <w:t>Baseino patalpų, teniso aikštelių nuoma.</w:t>
            </w:r>
          </w:p>
          <w:p w14:paraId="6500B1D7" w14:textId="24C57452" w:rsidR="00BF5739" w:rsidRPr="00356E6B" w:rsidRDefault="00BF5739" w:rsidP="00BF5739">
            <w:pPr>
              <w:rPr>
                <w:szCs w:val="24"/>
                <w:lang w:eastAsia="lt-LT"/>
              </w:rPr>
            </w:pPr>
            <w:r>
              <w:rPr>
                <w:szCs w:val="24"/>
                <w:lang w:val="en-US" w:eastAsia="lt-LT"/>
              </w:rPr>
              <w:t>5</w:t>
            </w:r>
            <w:r>
              <w:rPr>
                <w:szCs w:val="24"/>
                <w:lang w:eastAsia="lt-LT"/>
              </w:rPr>
              <w:t xml:space="preserve">. </w:t>
            </w:r>
            <w:r w:rsidRPr="00356E6B">
              <w:rPr>
                <w:szCs w:val="24"/>
                <w:lang w:eastAsia="lt-LT"/>
              </w:rPr>
              <w:t>Neformalaus švietimo paslaugų teikimas (sportinio meistriškumo užsiėmimai)</w:t>
            </w:r>
            <w:r>
              <w:rPr>
                <w:szCs w:val="24"/>
                <w:lang w:eastAsia="lt-LT"/>
              </w:rPr>
              <w:t>.</w:t>
            </w:r>
          </w:p>
          <w:p w14:paraId="66B38215" w14:textId="2E3DCE0E" w:rsidR="00BF5739" w:rsidRPr="00356E6B" w:rsidRDefault="00BF5739" w:rsidP="00BF5739">
            <w:pPr>
              <w:rPr>
                <w:szCs w:val="24"/>
                <w:lang w:eastAsia="lt-LT"/>
              </w:rPr>
            </w:pPr>
            <w:r>
              <w:rPr>
                <w:szCs w:val="24"/>
                <w:lang w:eastAsia="lt-LT"/>
              </w:rPr>
              <w:t xml:space="preserve">6. </w:t>
            </w:r>
            <w:r w:rsidRPr="00356E6B">
              <w:rPr>
                <w:szCs w:val="24"/>
                <w:lang w:eastAsia="lt-LT"/>
              </w:rPr>
              <w:t>Suaugusiųjų sportinės veiklos paslaugų teikimas</w:t>
            </w:r>
            <w:r>
              <w:rPr>
                <w:szCs w:val="24"/>
                <w:lang w:eastAsia="lt-LT"/>
              </w:rPr>
              <w:t>.</w:t>
            </w:r>
          </w:p>
          <w:p w14:paraId="0F925EEF" w14:textId="19C1A505" w:rsidR="00BF5739" w:rsidRPr="00356E6B" w:rsidRDefault="00BF5739" w:rsidP="00BF5739">
            <w:pPr>
              <w:rPr>
                <w:szCs w:val="24"/>
                <w:lang w:eastAsia="lt-LT"/>
              </w:rPr>
            </w:pPr>
            <w:r>
              <w:rPr>
                <w:szCs w:val="24"/>
                <w:lang w:eastAsia="lt-LT"/>
              </w:rPr>
              <w:t xml:space="preserve">7. </w:t>
            </w:r>
            <w:r w:rsidRPr="00356E6B">
              <w:rPr>
                <w:szCs w:val="24"/>
                <w:lang w:eastAsia="lt-LT"/>
              </w:rPr>
              <w:t>Sporto renginių organizavimas</w:t>
            </w:r>
            <w:r>
              <w:rPr>
                <w:szCs w:val="24"/>
                <w:lang w:eastAsia="lt-LT"/>
              </w:rPr>
              <w:t>.</w:t>
            </w:r>
          </w:p>
          <w:p w14:paraId="7D50C199" w14:textId="667BE375" w:rsidR="00BF5739" w:rsidRPr="00356E6B" w:rsidRDefault="00BF5739" w:rsidP="00BF5739">
            <w:pPr>
              <w:rPr>
                <w:szCs w:val="24"/>
                <w:lang w:eastAsia="lt-LT"/>
              </w:rPr>
            </w:pPr>
            <w:r>
              <w:rPr>
                <w:szCs w:val="24"/>
                <w:lang w:eastAsia="lt-LT"/>
              </w:rPr>
              <w:t xml:space="preserve">8. </w:t>
            </w:r>
            <w:r w:rsidRPr="00356E6B">
              <w:rPr>
                <w:szCs w:val="24"/>
                <w:lang w:eastAsia="lt-LT"/>
              </w:rPr>
              <w:t>Maitinimo paslaugų teikimas</w:t>
            </w:r>
            <w:r>
              <w:rPr>
                <w:szCs w:val="24"/>
                <w:lang w:eastAsia="lt-LT"/>
              </w:rPr>
              <w:t>.</w:t>
            </w:r>
          </w:p>
          <w:p w14:paraId="257F7A84" w14:textId="6DAF01DD" w:rsidR="00356E6B" w:rsidRPr="00954A46" w:rsidRDefault="00356E6B" w:rsidP="00954A46">
            <w:pPr>
              <w:rPr>
                <w:szCs w:val="24"/>
                <w:lang w:eastAsia="lt-LT"/>
              </w:rPr>
            </w:pPr>
          </w:p>
        </w:tc>
      </w:tr>
      <w:tr w:rsidR="009A0866" w:rsidRPr="00BF47BA" w14:paraId="364B7332" w14:textId="77777777" w:rsidTr="00954A46">
        <w:trPr>
          <w:trHeight w:val="141"/>
        </w:trPr>
        <w:tc>
          <w:tcPr>
            <w:tcW w:w="1363" w:type="pct"/>
            <w:shd w:val="clear" w:color="auto" w:fill="D9D9D9" w:themeFill="background1" w:themeFillShade="D9"/>
          </w:tcPr>
          <w:p w14:paraId="0721BF96" w14:textId="77777777" w:rsidR="009A0866" w:rsidRPr="00BF47BA" w:rsidRDefault="009A0866" w:rsidP="00D455F3">
            <w:pPr>
              <w:ind w:left="22"/>
              <w:jc w:val="both"/>
              <w:rPr>
                <w:b/>
                <w:szCs w:val="24"/>
                <w:lang w:eastAsia="lt-LT"/>
              </w:rPr>
            </w:pPr>
            <w:r w:rsidRPr="00BF47BA">
              <w:rPr>
                <w:szCs w:val="24"/>
                <w:lang w:eastAsia="lt-LT"/>
              </w:rPr>
              <w:t>6.1.2.</w:t>
            </w:r>
            <w:r w:rsidRPr="00BF47BA">
              <w:rPr>
                <w:szCs w:val="24"/>
                <w:lang w:eastAsia="lt-LT"/>
              </w:rPr>
              <w:tab/>
              <w:t>Veiklos, kurias privatus subjektas gali vykdyti savo iniciatyva ir rizika</w:t>
            </w:r>
          </w:p>
        </w:tc>
        <w:tc>
          <w:tcPr>
            <w:tcW w:w="3637" w:type="pct"/>
            <w:gridSpan w:val="2"/>
          </w:tcPr>
          <w:p w14:paraId="01BCB0D0" w14:textId="77777777" w:rsidR="009A0866" w:rsidRDefault="00356E6B" w:rsidP="00BF5739">
            <w:pPr>
              <w:rPr>
                <w:szCs w:val="24"/>
                <w:lang w:eastAsia="lt-LT"/>
              </w:rPr>
            </w:pPr>
            <w:r>
              <w:rPr>
                <w:szCs w:val="24"/>
                <w:lang w:eastAsia="lt-LT"/>
              </w:rPr>
              <w:t xml:space="preserve">1. </w:t>
            </w:r>
            <w:r w:rsidR="00BF5739">
              <w:rPr>
                <w:szCs w:val="24"/>
                <w:lang w:eastAsia="lt-LT"/>
              </w:rPr>
              <w:t>Reklaminio ploto nuoma.</w:t>
            </w:r>
          </w:p>
          <w:p w14:paraId="386551AD" w14:textId="77777777" w:rsidR="00BF5739" w:rsidRDefault="00BF5739" w:rsidP="00BF5739">
            <w:pPr>
              <w:rPr>
                <w:szCs w:val="24"/>
                <w:lang w:eastAsia="lt-LT"/>
              </w:rPr>
            </w:pPr>
            <w:r w:rsidRPr="00BF5739">
              <w:rPr>
                <w:szCs w:val="24"/>
                <w:lang w:eastAsia="lt-LT"/>
              </w:rPr>
              <w:t>2. Reklaminės atributikos platinimas</w:t>
            </w:r>
            <w:r>
              <w:rPr>
                <w:szCs w:val="24"/>
                <w:lang w:eastAsia="lt-LT"/>
              </w:rPr>
              <w:t>.</w:t>
            </w:r>
          </w:p>
          <w:p w14:paraId="34BF9F35" w14:textId="1DEFCAF7" w:rsidR="00BF5739" w:rsidRPr="00BF5739" w:rsidRDefault="00BF5739" w:rsidP="00BF5739">
            <w:pPr>
              <w:rPr>
                <w:szCs w:val="24"/>
                <w:lang w:eastAsia="lt-LT"/>
              </w:rPr>
            </w:pPr>
            <w:r>
              <w:rPr>
                <w:szCs w:val="24"/>
                <w:lang w:eastAsia="lt-LT"/>
              </w:rPr>
              <w:t xml:space="preserve">3. </w:t>
            </w:r>
            <w:r w:rsidRPr="00BF5739">
              <w:rPr>
                <w:szCs w:val="24"/>
                <w:lang w:eastAsia="lt-LT"/>
              </w:rPr>
              <w:t>Smulki prekybinė veikla</w:t>
            </w:r>
            <w:r>
              <w:rPr>
                <w:szCs w:val="24"/>
                <w:lang w:eastAsia="lt-LT"/>
              </w:rPr>
              <w:t>.</w:t>
            </w:r>
          </w:p>
        </w:tc>
      </w:tr>
      <w:tr w:rsidR="009A0866" w:rsidRPr="00BF47BA" w14:paraId="5D0CBBCA" w14:textId="77777777" w:rsidTr="00954A46">
        <w:tc>
          <w:tcPr>
            <w:tcW w:w="5000" w:type="pct"/>
            <w:gridSpan w:val="3"/>
            <w:shd w:val="clear" w:color="auto" w:fill="D9D9D9" w:themeFill="background1" w:themeFillShade="D9"/>
          </w:tcPr>
          <w:p w14:paraId="66BF898C" w14:textId="24AE22ED" w:rsidR="009A0866" w:rsidRPr="00BF47BA" w:rsidRDefault="009A0866">
            <w:pPr>
              <w:jc w:val="center"/>
              <w:rPr>
                <w:szCs w:val="24"/>
                <w:lang w:eastAsia="lt-LT"/>
              </w:rPr>
            </w:pPr>
            <w:r w:rsidRPr="00BF47BA">
              <w:rPr>
                <w:b/>
                <w:szCs w:val="24"/>
                <w:lang w:eastAsia="lt-LT"/>
              </w:rPr>
              <w:t>6.2. Perduodamų / pasiliekamų veiklų pasiskirstymas biudžeto eilutėse (</w:t>
            </w:r>
            <w:r w:rsidR="00FB3466">
              <w:rPr>
                <w:b/>
                <w:szCs w:val="24"/>
                <w:lang w:eastAsia="lt-LT"/>
              </w:rPr>
              <w:t xml:space="preserve">realios </w:t>
            </w:r>
            <w:r w:rsidRPr="00BF47BA">
              <w:rPr>
                <w:b/>
                <w:szCs w:val="24"/>
                <w:lang w:eastAsia="lt-LT"/>
              </w:rPr>
              <w:t>vertės)</w:t>
            </w:r>
            <w:r w:rsidRPr="00BF47BA">
              <w:rPr>
                <w:b/>
                <w:szCs w:val="24"/>
                <w:vertAlign w:val="superscript"/>
                <w:lang w:eastAsia="lt-LT"/>
              </w:rPr>
              <w:footnoteReference w:id="8"/>
            </w:r>
            <w:r w:rsidR="00FB3466">
              <w:rPr>
                <w:b/>
                <w:szCs w:val="24"/>
                <w:lang w:eastAsia="lt-LT"/>
              </w:rPr>
              <w:t xml:space="preserve"> </w:t>
            </w:r>
          </w:p>
        </w:tc>
      </w:tr>
      <w:tr w:rsidR="009A0866" w:rsidRPr="00BF47BA" w14:paraId="493397BA" w14:textId="77777777" w:rsidTr="00AB3672">
        <w:trPr>
          <w:trHeight w:val="409"/>
        </w:trPr>
        <w:tc>
          <w:tcPr>
            <w:tcW w:w="1363" w:type="pct"/>
            <w:shd w:val="clear" w:color="auto" w:fill="D9D9D9" w:themeFill="background1" w:themeFillShade="D9"/>
          </w:tcPr>
          <w:p w14:paraId="4C8D1EDB" w14:textId="77777777" w:rsidR="009A0866" w:rsidRPr="00BF47BA" w:rsidRDefault="009A0866" w:rsidP="00D455F3"/>
        </w:tc>
        <w:tc>
          <w:tcPr>
            <w:tcW w:w="1833" w:type="pct"/>
            <w:shd w:val="clear" w:color="auto" w:fill="D9D9D9" w:themeFill="background1" w:themeFillShade="D9"/>
            <w:vAlign w:val="center"/>
          </w:tcPr>
          <w:p w14:paraId="5CE595AB" w14:textId="6329C672" w:rsidR="009A0866" w:rsidRPr="00BF47BA" w:rsidRDefault="009A0866" w:rsidP="00F15927">
            <w:pPr>
              <w:jc w:val="center"/>
              <w:rPr>
                <w:b/>
                <w:szCs w:val="24"/>
                <w:lang w:eastAsia="lt-LT"/>
              </w:rPr>
            </w:pPr>
            <w:r w:rsidRPr="00BF47BA">
              <w:rPr>
                <w:b/>
                <w:szCs w:val="24"/>
                <w:lang w:eastAsia="lt-LT"/>
              </w:rPr>
              <w:t>Viešojo subjekto pasiliekam</w:t>
            </w:r>
            <w:r w:rsidR="00334EA4">
              <w:rPr>
                <w:b/>
                <w:szCs w:val="24"/>
                <w:lang w:eastAsia="lt-LT"/>
              </w:rPr>
              <w:t>ų</w:t>
            </w:r>
            <w:r w:rsidRPr="00BF47BA">
              <w:rPr>
                <w:b/>
                <w:szCs w:val="24"/>
                <w:lang w:eastAsia="lt-LT"/>
              </w:rPr>
              <w:t xml:space="preserve"> veikl</w:t>
            </w:r>
            <w:r w:rsidR="00334EA4">
              <w:rPr>
                <w:b/>
                <w:szCs w:val="24"/>
                <w:lang w:eastAsia="lt-LT"/>
              </w:rPr>
              <w:t>ų</w:t>
            </w:r>
            <w:r w:rsidR="00334EA4" w:rsidRPr="00BF47BA">
              <w:rPr>
                <w:b/>
                <w:szCs w:val="24"/>
                <w:lang w:eastAsia="lt-LT"/>
              </w:rPr>
              <w:t>, kurios neįtrauktos į VPSP projektą</w:t>
            </w:r>
            <w:r w:rsidR="00334EA4">
              <w:rPr>
                <w:b/>
                <w:szCs w:val="24"/>
                <w:lang w:eastAsia="lt-LT"/>
              </w:rPr>
              <w:t xml:space="preserve">, </w:t>
            </w:r>
            <w:r w:rsidR="00406F2F">
              <w:rPr>
                <w:b/>
                <w:szCs w:val="24"/>
                <w:lang w:eastAsia="lt-LT"/>
              </w:rPr>
              <w:t>finansinio srauto vertė</w:t>
            </w:r>
            <w:r w:rsidR="00334EA4">
              <w:rPr>
                <w:b/>
                <w:szCs w:val="24"/>
                <w:lang w:eastAsia="lt-LT"/>
              </w:rPr>
              <w:t xml:space="preserve"> (be PVM)</w:t>
            </w:r>
          </w:p>
        </w:tc>
        <w:tc>
          <w:tcPr>
            <w:tcW w:w="1804" w:type="pct"/>
            <w:shd w:val="clear" w:color="auto" w:fill="D9D9D9" w:themeFill="background1" w:themeFillShade="D9"/>
            <w:vAlign w:val="center"/>
          </w:tcPr>
          <w:p w14:paraId="6EABA05A" w14:textId="54340F3B" w:rsidR="009A0866" w:rsidRPr="00BF47BA" w:rsidRDefault="009A0866">
            <w:pPr>
              <w:jc w:val="center"/>
              <w:rPr>
                <w:b/>
                <w:szCs w:val="24"/>
                <w:lang w:eastAsia="lt-LT"/>
              </w:rPr>
            </w:pPr>
            <w:r w:rsidRPr="00BF47BA">
              <w:rPr>
                <w:b/>
                <w:szCs w:val="24"/>
                <w:lang w:eastAsia="lt-LT"/>
              </w:rPr>
              <w:t>VPSP projekte perduodam</w:t>
            </w:r>
            <w:r w:rsidR="00334EA4">
              <w:rPr>
                <w:b/>
                <w:szCs w:val="24"/>
                <w:lang w:eastAsia="lt-LT"/>
              </w:rPr>
              <w:t>ų</w:t>
            </w:r>
            <w:r w:rsidRPr="00BF47BA">
              <w:rPr>
                <w:b/>
                <w:szCs w:val="24"/>
                <w:lang w:eastAsia="lt-LT"/>
              </w:rPr>
              <w:t xml:space="preserve"> veikl</w:t>
            </w:r>
            <w:r w:rsidR="00334EA4">
              <w:rPr>
                <w:b/>
                <w:szCs w:val="24"/>
                <w:lang w:eastAsia="lt-LT"/>
              </w:rPr>
              <w:t>ų</w:t>
            </w:r>
            <w:r w:rsidRPr="00BF47BA">
              <w:rPr>
                <w:b/>
                <w:szCs w:val="24"/>
                <w:lang w:eastAsia="lt-LT"/>
              </w:rPr>
              <w:t xml:space="preserve"> privačiam subjektui</w:t>
            </w:r>
            <w:r w:rsidR="00406F2F">
              <w:rPr>
                <w:b/>
                <w:szCs w:val="24"/>
                <w:lang w:eastAsia="lt-LT"/>
              </w:rPr>
              <w:t xml:space="preserve"> finansinio srauto </w:t>
            </w:r>
            <w:r w:rsidR="00334EA4">
              <w:rPr>
                <w:b/>
                <w:szCs w:val="24"/>
                <w:lang w:eastAsia="lt-LT"/>
              </w:rPr>
              <w:t>vertė (be PVM)</w:t>
            </w:r>
            <w:r w:rsidR="00FB3466">
              <w:rPr>
                <w:b/>
                <w:szCs w:val="24"/>
                <w:lang w:eastAsia="lt-LT"/>
              </w:rPr>
              <w:t xml:space="preserve"> </w:t>
            </w:r>
          </w:p>
        </w:tc>
      </w:tr>
      <w:tr w:rsidR="00AB3672" w:rsidRPr="008F028A" w14:paraId="0496846C" w14:textId="77777777" w:rsidTr="00AB3672">
        <w:tc>
          <w:tcPr>
            <w:tcW w:w="1363" w:type="pct"/>
            <w:shd w:val="clear" w:color="auto" w:fill="D9D9D9" w:themeFill="background1" w:themeFillShade="D9"/>
          </w:tcPr>
          <w:p w14:paraId="5B509E4C" w14:textId="77777777" w:rsidR="00AB3672" w:rsidRPr="00BF47BA" w:rsidRDefault="00AB3672" w:rsidP="00AB3672">
            <w:pPr>
              <w:rPr>
                <w:b/>
                <w:szCs w:val="24"/>
                <w:lang w:eastAsia="lt-LT"/>
              </w:rPr>
            </w:pPr>
            <w:r w:rsidRPr="00BF47BA">
              <w:rPr>
                <w:b/>
                <w:szCs w:val="24"/>
                <w:lang w:eastAsia="lt-LT"/>
              </w:rPr>
              <w:t>6.2.1. Kapitalo išlaidos:</w:t>
            </w:r>
          </w:p>
        </w:tc>
        <w:tc>
          <w:tcPr>
            <w:tcW w:w="1833" w:type="pct"/>
          </w:tcPr>
          <w:p w14:paraId="3ED5C0BF" w14:textId="24522EAE" w:rsidR="00AB3672" w:rsidRPr="00340D58" w:rsidRDefault="00AB3672" w:rsidP="00AB3672">
            <w:pPr>
              <w:jc w:val="center"/>
              <w:rPr>
                <w:b/>
              </w:rPr>
            </w:pPr>
            <w:r>
              <w:rPr>
                <w:b/>
                <w:szCs w:val="24"/>
              </w:rPr>
              <w:t>0</w:t>
            </w:r>
          </w:p>
        </w:tc>
        <w:tc>
          <w:tcPr>
            <w:tcW w:w="1804" w:type="pct"/>
          </w:tcPr>
          <w:p w14:paraId="295031E2" w14:textId="7FD59290" w:rsidR="00AB3672" w:rsidRPr="00340D58" w:rsidRDefault="00AB3672" w:rsidP="00AB3672">
            <w:pPr>
              <w:jc w:val="center"/>
              <w:rPr>
                <w:b/>
                <w:szCs w:val="24"/>
                <w:lang w:eastAsia="lt-LT"/>
              </w:rPr>
            </w:pPr>
            <w:r>
              <w:rPr>
                <w:b/>
              </w:rPr>
              <w:t>617 732</w:t>
            </w:r>
          </w:p>
        </w:tc>
      </w:tr>
      <w:tr w:rsidR="00AB3672" w:rsidRPr="008F028A" w14:paraId="6EEDEAF1" w14:textId="77777777" w:rsidTr="00AB3672">
        <w:tc>
          <w:tcPr>
            <w:tcW w:w="1363" w:type="pct"/>
            <w:shd w:val="clear" w:color="auto" w:fill="D9D9D9" w:themeFill="background1" w:themeFillShade="D9"/>
          </w:tcPr>
          <w:p w14:paraId="1D62C421" w14:textId="77777777" w:rsidR="00AB3672" w:rsidRPr="00BF47BA" w:rsidRDefault="00AB3672" w:rsidP="00AB3672">
            <w:pPr>
              <w:rPr>
                <w:szCs w:val="24"/>
                <w:lang w:eastAsia="lt-LT"/>
              </w:rPr>
            </w:pPr>
            <w:r w:rsidRPr="00BF47BA">
              <w:rPr>
                <w:szCs w:val="24"/>
                <w:lang w:eastAsia="lt-LT"/>
              </w:rPr>
              <w:t>6.2.1.1. Žemė</w:t>
            </w:r>
          </w:p>
        </w:tc>
        <w:tc>
          <w:tcPr>
            <w:tcW w:w="1833" w:type="pct"/>
          </w:tcPr>
          <w:p w14:paraId="710AF5DC" w14:textId="3F6497D9" w:rsidR="00AB3672" w:rsidRPr="00954A46" w:rsidRDefault="00AB3672" w:rsidP="00AB3672">
            <w:pPr>
              <w:jc w:val="center"/>
              <w:rPr>
                <w:szCs w:val="24"/>
                <w:lang w:eastAsia="lt-LT"/>
              </w:rPr>
            </w:pPr>
            <w:r>
              <w:rPr>
                <w:szCs w:val="24"/>
                <w:lang w:eastAsia="lt-LT"/>
              </w:rPr>
              <w:t>0</w:t>
            </w:r>
          </w:p>
        </w:tc>
        <w:tc>
          <w:tcPr>
            <w:tcW w:w="1804" w:type="pct"/>
          </w:tcPr>
          <w:p w14:paraId="4C86EAE3" w14:textId="11222B4A" w:rsidR="00AB3672" w:rsidRPr="00954A46" w:rsidRDefault="00AB3672" w:rsidP="00AB3672">
            <w:pPr>
              <w:jc w:val="center"/>
              <w:rPr>
                <w:szCs w:val="24"/>
                <w:lang w:eastAsia="lt-LT"/>
              </w:rPr>
            </w:pPr>
            <w:r w:rsidRPr="008B55DC">
              <w:t>0</w:t>
            </w:r>
          </w:p>
        </w:tc>
      </w:tr>
      <w:tr w:rsidR="00AB3672" w:rsidRPr="008F028A" w14:paraId="13BF46C7" w14:textId="77777777" w:rsidTr="00AB3672">
        <w:tc>
          <w:tcPr>
            <w:tcW w:w="1363" w:type="pct"/>
            <w:shd w:val="clear" w:color="auto" w:fill="D9D9D9" w:themeFill="background1" w:themeFillShade="D9"/>
          </w:tcPr>
          <w:p w14:paraId="385B0FA5" w14:textId="77777777" w:rsidR="00AB3672" w:rsidRPr="00BF47BA" w:rsidRDefault="00AB3672" w:rsidP="00AB3672">
            <w:pPr>
              <w:rPr>
                <w:szCs w:val="24"/>
                <w:lang w:eastAsia="lt-LT"/>
              </w:rPr>
            </w:pPr>
            <w:r w:rsidRPr="00BF47BA">
              <w:rPr>
                <w:szCs w:val="24"/>
                <w:lang w:eastAsia="lt-LT"/>
              </w:rPr>
              <w:t>6.2.1.2. Nekilnojamasis turtas</w:t>
            </w:r>
          </w:p>
        </w:tc>
        <w:tc>
          <w:tcPr>
            <w:tcW w:w="1833" w:type="pct"/>
          </w:tcPr>
          <w:p w14:paraId="1873FC98" w14:textId="66E365FC" w:rsidR="00AB3672" w:rsidRPr="00F15927" w:rsidRDefault="00AB3672" w:rsidP="00AB3672">
            <w:pPr>
              <w:jc w:val="center"/>
            </w:pPr>
            <w:r>
              <w:rPr>
                <w:szCs w:val="24"/>
              </w:rPr>
              <w:t>0</w:t>
            </w:r>
          </w:p>
        </w:tc>
        <w:tc>
          <w:tcPr>
            <w:tcW w:w="1804" w:type="pct"/>
          </w:tcPr>
          <w:p w14:paraId="34AE09EB" w14:textId="3CCC65EA" w:rsidR="00AB3672" w:rsidRPr="00F15927" w:rsidRDefault="00AB3672" w:rsidP="00AB3672">
            <w:pPr>
              <w:jc w:val="center"/>
              <w:rPr>
                <w:szCs w:val="24"/>
                <w:lang w:eastAsia="lt-LT"/>
              </w:rPr>
            </w:pPr>
            <w:r w:rsidRPr="008B55DC">
              <w:t>0</w:t>
            </w:r>
          </w:p>
        </w:tc>
      </w:tr>
      <w:tr w:rsidR="00AB3672" w:rsidRPr="008F028A" w14:paraId="578C1CC5" w14:textId="77777777" w:rsidTr="00AB3672">
        <w:tc>
          <w:tcPr>
            <w:tcW w:w="1363" w:type="pct"/>
            <w:shd w:val="clear" w:color="auto" w:fill="D9D9D9" w:themeFill="background1" w:themeFillShade="D9"/>
          </w:tcPr>
          <w:p w14:paraId="2C0B01EF" w14:textId="77777777" w:rsidR="00AB3672" w:rsidRPr="00BF47BA" w:rsidRDefault="00AB3672" w:rsidP="00AB3672">
            <w:pPr>
              <w:rPr>
                <w:szCs w:val="24"/>
                <w:lang w:eastAsia="lt-LT"/>
              </w:rPr>
            </w:pPr>
            <w:r w:rsidRPr="00BF47BA">
              <w:rPr>
                <w:szCs w:val="24"/>
                <w:lang w:eastAsia="lt-LT"/>
              </w:rPr>
              <w:t>6.2.1.3. Statyba, rekonstravimas, kapitalinis remontas ir kiti darbai</w:t>
            </w:r>
          </w:p>
        </w:tc>
        <w:tc>
          <w:tcPr>
            <w:tcW w:w="1833" w:type="pct"/>
          </w:tcPr>
          <w:p w14:paraId="3D55E5CC" w14:textId="086E9508" w:rsidR="00AB3672" w:rsidRPr="00F15927" w:rsidRDefault="00AB3672" w:rsidP="00AB3672">
            <w:pPr>
              <w:jc w:val="center"/>
            </w:pPr>
            <w:r>
              <w:rPr>
                <w:szCs w:val="24"/>
              </w:rPr>
              <w:t>0</w:t>
            </w:r>
          </w:p>
        </w:tc>
        <w:tc>
          <w:tcPr>
            <w:tcW w:w="1804" w:type="pct"/>
          </w:tcPr>
          <w:p w14:paraId="235D90E3" w14:textId="15581147" w:rsidR="00AB3672" w:rsidRPr="00F15927" w:rsidRDefault="00AB3672" w:rsidP="00AB3672">
            <w:pPr>
              <w:jc w:val="center"/>
              <w:rPr>
                <w:szCs w:val="24"/>
                <w:lang w:eastAsia="lt-LT"/>
              </w:rPr>
            </w:pPr>
            <w:r>
              <w:t>343 237</w:t>
            </w:r>
          </w:p>
        </w:tc>
      </w:tr>
      <w:tr w:rsidR="00AB3672" w:rsidRPr="008F028A" w14:paraId="3222A209" w14:textId="77777777" w:rsidTr="00AB3672">
        <w:tc>
          <w:tcPr>
            <w:tcW w:w="1363" w:type="pct"/>
            <w:shd w:val="clear" w:color="auto" w:fill="D9D9D9" w:themeFill="background1" w:themeFillShade="D9"/>
          </w:tcPr>
          <w:p w14:paraId="35389645" w14:textId="77777777" w:rsidR="00AB3672" w:rsidRPr="00BF47BA" w:rsidRDefault="00AB3672" w:rsidP="00AB3672">
            <w:pPr>
              <w:rPr>
                <w:szCs w:val="24"/>
                <w:lang w:eastAsia="lt-LT"/>
              </w:rPr>
            </w:pPr>
            <w:r w:rsidRPr="00BF47BA">
              <w:rPr>
                <w:szCs w:val="24"/>
                <w:lang w:eastAsia="lt-LT"/>
              </w:rPr>
              <w:lastRenderedPageBreak/>
              <w:t>6.2.1.4. Įranga, įrenginiai ir kitas ilgalaikis turtas</w:t>
            </w:r>
          </w:p>
        </w:tc>
        <w:tc>
          <w:tcPr>
            <w:tcW w:w="1833" w:type="pct"/>
          </w:tcPr>
          <w:p w14:paraId="56E9B3B3" w14:textId="6E9B7B33" w:rsidR="00AB3672" w:rsidRPr="00F15927" w:rsidRDefault="00AB3672" w:rsidP="00AB3672">
            <w:pPr>
              <w:jc w:val="center"/>
            </w:pPr>
            <w:r>
              <w:rPr>
                <w:szCs w:val="24"/>
              </w:rPr>
              <w:t>0</w:t>
            </w:r>
          </w:p>
        </w:tc>
        <w:tc>
          <w:tcPr>
            <w:tcW w:w="1804" w:type="pct"/>
          </w:tcPr>
          <w:p w14:paraId="5E9FC3AD" w14:textId="5DD24C63" w:rsidR="00AB3672" w:rsidRPr="00F15927" w:rsidRDefault="00AB3672" w:rsidP="00AB3672">
            <w:pPr>
              <w:jc w:val="center"/>
              <w:rPr>
                <w:szCs w:val="24"/>
                <w:lang w:eastAsia="lt-LT"/>
              </w:rPr>
            </w:pPr>
            <w:r>
              <w:t>120 801</w:t>
            </w:r>
          </w:p>
        </w:tc>
      </w:tr>
      <w:tr w:rsidR="00AB3672" w:rsidRPr="008F028A" w14:paraId="0A7C86A9" w14:textId="77777777" w:rsidTr="00AB3672">
        <w:tc>
          <w:tcPr>
            <w:tcW w:w="1363" w:type="pct"/>
            <w:shd w:val="clear" w:color="auto" w:fill="D9D9D9" w:themeFill="background1" w:themeFillShade="D9"/>
            <w:vAlign w:val="bottom"/>
          </w:tcPr>
          <w:p w14:paraId="75AEF31B" w14:textId="77777777" w:rsidR="00AB3672" w:rsidRPr="00BF47BA" w:rsidRDefault="00AB3672" w:rsidP="00AB3672">
            <w:pPr>
              <w:rPr>
                <w:szCs w:val="24"/>
                <w:lang w:eastAsia="lt-LT"/>
              </w:rPr>
            </w:pPr>
            <w:r w:rsidRPr="00BF47BA">
              <w:rPr>
                <w:szCs w:val="24"/>
                <w:lang w:eastAsia="lt-LT"/>
              </w:rPr>
              <w:t>6.2.1.5. Projektavimo, techninės priežiūros ir kitos su investicijomis į ilgalaikį turtą susijusios paslaugos</w:t>
            </w:r>
          </w:p>
        </w:tc>
        <w:tc>
          <w:tcPr>
            <w:tcW w:w="1833" w:type="pct"/>
          </w:tcPr>
          <w:p w14:paraId="53B149B8" w14:textId="67C94B5A" w:rsidR="00AB3672" w:rsidRPr="00F15927" w:rsidRDefault="00AB3672" w:rsidP="00AB3672">
            <w:pPr>
              <w:jc w:val="center"/>
              <w:rPr>
                <w:szCs w:val="24"/>
                <w:lang w:eastAsia="lt-LT"/>
              </w:rPr>
            </w:pPr>
            <w:r>
              <w:rPr>
                <w:szCs w:val="24"/>
                <w:lang w:eastAsia="lt-LT"/>
              </w:rPr>
              <w:t>0</w:t>
            </w:r>
          </w:p>
        </w:tc>
        <w:tc>
          <w:tcPr>
            <w:tcW w:w="1804" w:type="pct"/>
          </w:tcPr>
          <w:p w14:paraId="5365FBDF" w14:textId="305CB049" w:rsidR="00AB3672" w:rsidRPr="00F15927" w:rsidRDefault="00AB3672" w:rsidP="00AB3672">
            <w:pPr>
              <w:jc w:val="center"/>
              <w:rPr>
                <w:szCs w:val="24"/>
                <w:lang w:eastAsia="lt-LT"/>
              </w:rPr>
            </w:pPr>
            <w:r>
              <w:t>4 325</w:t>
            </w:r>
          </w:p>
        </w:tc>
      </w:tr>
      <w:tr w:rsidR="00AB3672" w:rsidRPr="008F028A" w14:paraId="1A7EC34B" w14:textId="77777777" w:rsidTr="00AB3672">
        <w:tc>
          <w:tcPr>
            <w:tcW w:w="1363" w:type="pct"/>
            <w:shd w:val="clear" w:color="auto" w:fill="D9D9D9" w:themeFill="background1" w:themeFillShade="D9"/>
            <w:vAlign w:val="bottom"/>
          </w:tcPr>
          <w:p w14:paraId="6646C368" w14:textId="454C82A3" w:rsidR="00AB3672" w:rsidRPr="00BF47BA" w:rsidRDefault="00AB3672" w:rsidP="00AB3672">
            <w:pPr>
              <w:rPr>
                <w:szCs w:val="24"/>
                <w:lang w:eastAsia="lt-LT"/>
              </w:rPr>
            </w:pPr>
            <w:r w:rsidRPr="00BF47BA">
              <w:rPr>
                <w:color w:val="000000"/>
                <w:lang w:eastAsia="lt-LT"/>
              </w:rPr>
              <w:t>6.2.1.6. Kitos paslaugos ir išlaidos</w:t>
            </w:r>
          </w:p>
        </w:tc>
        <w:tc>
          <w:tcPr>
            <w:tcW w:w="1833" w:type="pct"/>
          </w:tcPr>
          <w:p w14:paraId="43C34798" w14:textId="6EE3AC45" w:rsidR="00AB3672" w:rsidRPr="00F15927" w:rsidRDefault="00AB3672" w:rsidP="00AB3672">
            <w:pPr>
              <w:jc w:val="center"/>
            </w:pPr>
            <w:r>
              <w:rPr>
                <w:szCs w:val="24"/>
              </w:rPr>
              <w:t>0</w:t>
            </w:r>
          </w:p>
        </w:tc>
        <w:tc>
          <w:tcPr>
            <w:tcW w:w="1804" w:type="pct"/>
          </w:tcPr>
          <w:p w14:paraId="359E71C1" w14:textId="2F54C569" w:rsidR="00AB3672" w:rsidRPr="00F15927" w:rsidRDefault="00AB3672" w:rsidP="00AB3672">
            <w:pPr>
              <w:jc w:val="center"/>
              <w:rPr>
                <w:szCs w:val="24"/>
                <w:lang w:eastAsia="lt-LT"/>
              </w:rPr>
            </w:pPr>
            <w:r w:rsidRPr="008B55DC">
              <w:t>0</w:t>
            </w:r>
          </w:p>
        </w:tc>
      </w:tr>
      <w:tr w:rsidR="00AB3672" w:rsidRPr="008F028A" w14:paraId="17EEDFC9" w14:textId="77777777" w:rsidTr="00AB3672">
        <w:tc>
          <w:tcPr>
            <w:tcW w:w="1363" w:type="pct"/>
            <w:shd w:val="clear" w:color="auto" w:fill="D9D9D9" w:themeFill="background1" w:themeFillShade="D9"/>
          </w:tcPr>
          <w:p w14:paraId="0C16E758" w14:textId="233C7AE9" w:rsidR="00AB3672" w:rsidRPr="00BF47BA" w:rsidRDefault="00AB3672" w:rsidP="00AB3672">
            <w:pPr>
              <w:rPr>
                <w:szCs w:val="24"/>
                <w:lang w:eastAsia="lt-LT"/>
              </w:rPr>
            </w:pPr>
            <w:r w:rsidRPr="00BF47BA">
              <w:rPr>
                <w:color w:val="000000"/>
                <w:lang w:eastAsia="lt-LT"/>
              </w:rPr>
              <w:t>6.2.1.7. Reinvesticijos</w:t>
            </w:r>
          </w:p>
        </w:tc>
        <w:tc>
          <w:tcPr>
            <w:tcW w:w="1833" w:type="pct"/>
          </w:tcPr>
          <w:p w14:paraId="65B5DF4D" w14:textId="622607D0" w:rsidR="00AB3672" w:rsidRPr="00F15927" w:rsidRDefault="00AB3672" w:rsidP="00AB3672">
            <w:pPr>
              <w:jc w:val="center"/>
            </w:pPr>
            <w:r>
              <w:rPr>
                <w:szCs w:val="24"/>
              </w:rPr>
              <w:t>0</w:t>
            </w:r>
          </w:p>
        </w:tc>
        <w:tc>
          <w:tcPr>
            <w:tcW w:w="1804" w:type="pct"/>
          </w:tcPr>
          <w:p w14:paraId="0D447FFE" w14:textId="68069904" w:rsidR="00AB3672" w:rsidRPr="00F15927" w:rsidRDefault="00AB3672" w:rsidP="00AB3672">
            <w:pPr>
              <w:jc w:val="center"/>
              <w:rPr>
                <w:szCs w:val="24"/>
                <w:lang w:eastAsia="lt-LT"/>
              </w:rPr>
            </w:pPr>
            <w:r>
              <w:t>149 369</w:t>
            </w:r>
          </w:p>
        </w:tc>
      </w:tr>
      <w:tr w:rsidR="00AB3672" w:rsidRPr="008F028A" w14:paraId="3A679E29" w14:textId="77777777" w:rsidTr="00AB3672">
        <w:tc>
          <w:tcPr>
            <w:tcW w:w="1363" w:type="pct"/>
            <w:shd w:val="clear" w:color="auto" w:fill="D9D9D9" w:themeFill="background1" w:themeFillShade="D9"/>
          </w:tcPr>
          <w:p w14:paraId="776F66F3" w14:textId="77777777" w:rsidR="00AB3672" w:rsidRPr="00BF47BA" w:rsidRDefault="00AB3672" w:rsidP="00AB3672">
            <w:pPr>
              <w:rPr>
                <w:i/>
                <w:color w:val="000000"/>
                <w:szCs w:val="24"/>
                <w:lang w:eastAsia="lt-LT"/>
              </w:rPr>
            </w:pPr>
            <w:r w:rsidRPr="00BF47BA">
              <w:rPr>
                <w:b/>
                <w:szCs w:val="24"/>
                <w:lang w:eastAsia="lt-LT"/>
              </w:rPr>
              <w:t>6.2.2. Veiklos pajamos</w:t>
            </w:r>
          </w:p>
        </w:tc>
        <w:tc>
          <w:tcPr>
            <w:tcW w:w="1833" w:type="pct"/>
          </w:tcPr>
          <w:p w14:paraId="07CD5FD5" w14:textId="60292237" w:rsidR="00AB3672" w:rsidRPr="00340D58" w:rsidRDefault="00AB3672" w:rsidP="00AB3672">
            <w:pPr>
              <w:jc w:val="center"/>
              <w:rPr>
                <w:b/>
              </w:rPr>
            </w:pPr>
            <w:r>
              <w:rPr>
                <w:b/>
                <w:szCs w:val="24"/>
              </w:rPr>
              <w:t>0</w:t>
            </w:r>
          </w:p>
        </w:tc>
        <w:tc>
          <w:tcPr>
            <w:tcW w:w="1804" w:type="pct"/>
          </w:tcPr>
          <w:p w14:paraId="6CE2230D" w14:textId="25128A2C" w:rsidR="00AB3672" w:rsidRPr="00340D58" w:rsidRDefault="00AB3672" w:rsidP="00AB3672">
            <w:pPr>
              <w:jc w:val="center"/>
              <w:rPr>
                <w:b/>
                <w:szCs w:val="24"/>
                <w:lang w:eastAsia="lt-LT"/>
              </w:rPr>
            </w:pPr>
            <w:r>
              <w:rPr>
                <w:b/>
                <w:szCs w:val="24"/>
                <w:lang w:eastAsia="lt-LT"/>
              </w:rPr>
              <w:t>3 654 165</w:t>
            </w:r>
          </w:p>
        </w:tc>
      </w:tr>
      <w:tr w:rsidR="00AB3672" w:rsidRPr="008F028A" w14:paraId="6668EFA9" w14:textId="77777777" w:rsidTr="00AB3672">
        <w:tc>
          <w:tcPr>
            <w:tcW w:w="1363" w:type="pct"/>
            <w:shd w:val="clear" w:color="auto" w:fill="D9D9D9" w:themeFill="background1" w:themeFillShade="D9"/>
          </w:tcPr>
          <w:p w14:paraId="342B6F39" w14:textId="77777777" w:rsidR="00AB3672" w:rsidRPr="00BF47BA" w:rsidRDefault="00AB3672" w:rsidP="00AB3672">
            <w:pPr>
              <w:rPr>
                <w:color w:val="000000"/>
                <w:szCs w:val="24"/>
                <w:lang w:eastAsia="lt-LT"/>
              </w:rPr>
            </w:pPr>
            <w:r w:rsidRPr="00BF47BA">
              <w:rPr>
                <w:b/>
                <w:szCs w:val="24"/>
                <w:lang w:eastAsia="lt-LT"/>
              </w:rPr>
              <w:t>6.2.3. Veiklos išlaidos:</w:t>
            </w:r>
          </w:p>
        </w:tc>
        <w:tc>
          <w:tcPr>
            <w:tcW w:w="1833" w:type="pct"/>
          </w:tcPr>
          <w:p w14:paraId="0156BFDE" w14:textId="534B8CEE" w:rsidR="00AB3672" w:rsidRPr="00340D58" w:rsidRDefault="00AB3672" w:rsidP="00AB3672">
            <w:pPr>
              <w:jc w:val="center"/>
              <w:rPr>
                <w:b/>
              </w:rPr>
            </w:pPr>
            <w:r>
              <w:rPr>
                <w:b/>
                <w:szCs w:val="24"/>
              </w:rPr>
              <w:t>378 000</w:t>
            </w:r>
          </w:p>
        </w:tc>
        <w:tc>
          <w:tcPr>
            <w:tcW w:w="1804" w:type="pct"/>
          </w:tcPr>
          <w:p w14:paraId="780B592C" w14:textId="146A633A" w:rsidR="00AB3672" w:rsidRPr="00340D58" w:rsidRDefault="00AB3672" w:rsidP="00AB3672">
            <w:pPr>
              <w:jc w:val="center"/>
              <w:rPr>
                <w:b/>
                <w:szCs w:val="24"/>
                <w:lang w:eastAsia="lt-LT"/>
              </w:rPr>
            </w:pPr>
            <w:r>
              <w:rPr>
                <w:b/>
                <w:bCs/>
              </w:rPr>
              <w:t>6 111 779</w:t>
            </w:r>
          </w:p>
        </w:tc>
      </w:tr>
      <w:tr w:rsidR="00AB3672" w:rsidRPr="008F028A" w14:paraId="0810454B" w14:textId="77777777" w:rsidTr="00AB3672">
        <w:tc>
          <w:tcPr>
            <w:tcW w:w="1363" w:type="pct"/>
            <w:shd w:val="clear" w:color="auto" w:fill="D9D9D9" w:themeFill="background1" w:themeFillShade="D9"/>
          </w:tcPr>
          <w:p w14:paraId="62BF0361" w14:textId="77777777" w:rsidR="00AB3672" w:rsidRPr="00BF47BA" w:rsidRDefault="00AB3672" w:rsidP="00AB3672">
            <w:pPr>
              <w:rPr>
                <w:szCs w:val="24"/>
                <w:lang w:eastAsia="lt-LT"/>
              </w:rPr>
            </w:pPr>
            <w:r w:rsidRPr="00BF47BA">
              <w:rPr>
                <w:szCs w:val="24"/>
                <w:lang w:eastAsia="lt-LT"/>
              </w:rPr>
              <w:t>6.2.3.1. Žaliavos</w:t>
            </w:r>
          </w:p>
        </w:tc>
        <w:tc>
          <w:tcPr>
            <w:tcW w:w="1833" w:type="pct"/>
          </w:tcPr>
          <w:p w14:paraId="54F18A09" w14:textId="506D569A" w:rsidR="00AB3672" w:rsidRPr="00F15927" w:rsidRDefault="00AB3672" w:rsidP="00AB3672">
            <w:pPr>
              <w:jc w:val="center"/>
            </w:pPr>
            <w:r>
              <w:rPr>
                <w:szCs w:val="24"/>
              </w:rPr>
              <w:t>0</w:t>
            </w:r>
          </w:p>
        </w:tc>
        <w:tc>
          <w:tcPr>
            <w:tcW w:w="1804" w:type="pct"/>
          </w:tcPr>
          <w:p w14:paraId="51496764" w14:textId="0DA02412" w:rsidR="00AB3672" w:rsidRPr="00F15927" w:rsidRDefault="00AB3672" w:rsidP="00AB3672">
            <w:pPr>
              <w:jc w:val="center"/>
              <w:rPr>
                <w:szCs w:val="24"/>
                <w:lang w:eastAsia="lt-LT"/>
              </w:rPr>
            </w:pPr>
            <w:r w:rsidRPr="0029653A">
              <w:t>0</w:t>
            </w:r>
          </w:p>
        </w:tc>
      </w:tr>
      <w:tr w:rsidR="00AB3672" w:rsidRPr="008F028A" w14:paraId="6F401518" w14:textId="77777777" w:rsidTr="00AB3672">
        <w:tc>
          <w:tcPr>
            <w:tcW w:w="1363" w:type="pct"/>
            <w:shd w:val="clear" w:color="auto" w:fill="D9D9D9" w:themeFill="background1" w:themeFillShade="D9"/>
          </w:tcPr>
          <w:p w14:paraId="733EF92D" w14:textId="77777777" w:rsidR="00AB3672" w:rsidRPr="00BF47BA" w:rsidRDefault="00AB3672" w:rsidP="00AB3672">
            <w:pPr>
              <w:rPr>
                <w:szCs w:val="24"/>
                <w:lang w:eastAsia="lt-LT"/>
              </w:rPr>
            </w:pPr>
            <w:r w:rsidRPr="00BF47BA">
              <w:rPr>
                <w:szCs w:val="24"/>
                <w:lang w:eastAsia="lt-LT"/>
              </w:rPr>
              <w:t>6.2.3.2. Darbo užmokesčio išlaidos</w:t>
            </w:r>
          </w:p>
        </w:tc>
        <w:tc>
          <w:tcPr>
            <w:tcW w:w="1833" w:type="pct"/>
          </w:tcPr>
          <w:p w14:paraId="51EA369F" w14:textId="53947D03" w:rsidR="00AB3672" w:rsidRPr="00F15927" w:rsidRDefault="00AB3672" w:rsidP="00AB3672">
            <w:pPr>
              <w:jc w:val="center"/>
            </w:pPr>
            <w:r>
              <w:rPr>
                <w:szCs w:val="24"/>
              </w:rPr>
              <w:t>0</w:t>
            </w:r>
          </w:p>
        </w:tc>
        <w:tc>
          <w:tcPr>
            <w:tcW w:w="1804" w:type="pct"/>
          </w:tcPr>
          <w:p w14:paraId="213E5498" w14:textId="028CB7F5" w:rsidR="00AB3672" w:rsidRPr="00F15927" w:rsidRDefault="00AB3672" w:rsidP="00AB3672">
            <w:pPr>
              <w:jc w:val="center"/>
              <w:rPr>
                <w:szCs w:val="24"/>
                <w:lang w:eastAsia="lt-LT"/>
              </w:rPr>
            </w:pPr>
            <w:r>
              <w:t>3 806 352</w:t>
            </w:r>
          </w:p>
        </w:tc>
      </w:tr>
      <w:tr w:rsidR="00AB3672" w:rsidRPr="008F028A" w14:paraId="3E6ED13D" w14:textId="77777777" w:rsidTr="00AB3672">
        <w:tc>
          <w:tcPr>
            <w:tcW w:w="1363" w:type="pct"/>
            <w:shd w:val="clear" w:color="auto" w:fill="D9D9D9" w:themeFill="background1" w:themeFillShade="D9"/>
          </w:tcPr>
          <w:p w14:paraId="08763DAC" w14:textId="77777777" w:rsidR="00AB3672" w:rsidRPr="00BF47BA" w:rsidRDefault="00AB3672" w:rsidP="00AB3672">
            <w:pPr>
              <w:rPr>
                <w:szCs w:val="24"/>
                <w:lang w:eastAsia="lt-LT"/>
              </w:rPr>
            </w:pPr>
            <w:r w:rsidRPr="00BF47BA">
              <w:rPr>
                <w:szCs w:val="24"/>
                <w:lang w:eastAsia="lt-LT"/>
              </w:rPr>
              <w:t>6.2.3.3. Elektros energijos išlaidos</w:t>
            </w:r>
          </w:p>
        </w:tc>
        <w:tc>
          <w:tcPr>
            <w:tcW w:w="1833" w:type="pct"/>
          </w:tcPr>
          <w:p w14:paraId="3B289E04" w14:textId="6B79D9A3" w:rsidR="00AB3672" w:rsidRPr="00F15927" w:rsidRDefault="00AB3672" w:rsidP="00AB3672">
            <w:pPr>
              <w:jc w:val="center"/>
            </w:pPr>
            <w:r>
              <w:rPr>
                <w:szCs w:val="24"/>
              </w:rPr>
              <w:t>0</w:t>
            </w:r>
          </w:p>
        </w:tc>
        <w:tc>
          <w:tcPr>
            <w:tcW w:w="1804" w:type="pct"/>
          </w:tcPr>
          <w:p w14:paraId="2042D194" w14:textId="3C9F45CB" w:rsidR="00AB3672" w:rsidRPr="00F15927" w:rsidRDefault="00AB3672" w:rsidP="00AB3672">
            <w:pPr>
              <w:jc w:val="center"/>
              <w:rPr>
                <w:szCs w:val="24"/>
                <w:lang w:eastAsia="lt-LT"/>
              </w:rPr>
            </w:pPr>
            <w:r>
              <w:t>810 249</w:t>
            </w:r>
          </w:p>
        </w:tc>
      </w:tr>
      <w:tr w:rsidR="00AB3672" w:rsidRPr="008F028A" w14:paraId="6DA74813" w14:textId="77777777" w:rsidTr="00AB3672">
        <w:tc>
          <w:tcPr>
            <w:tcW w:w="1363" w:type="pct"/>
            <w:shd w:val="clear" w:color="auto" w:fill="D9D9D9" w:themeFill="background1" w:themeFillShade="D9"/>
          </w:tcPr>
          <w:p w14:paraId="3C5DED06" w14:textId="77777777" w:rsidR="00AB3672" w:rsidRPr="00BF47BA" w:rsidRDefault="00AB3672" w:rsidP="00AB3672">
            <w:pPr>
              <w:rPr>
                <w:szCs w:val="24"/>
                <w:lang w:eastAsia="lt-LT"/>
              </w:rPr>
            </w:pPr>
            <w:r w:rsidRPr="00BF47BA">
              <w:rPr>
                <w:szCs w:val="24"/>
                <w:lang w:eastAsia="lt-LT"/>
              </w:rPr>
              <w:t>6.2.3.4. Šildymo (išskyrus elektrą) išlaidos</w:t>
            </w:r>
          </w:p>
        </w:tc>
        <w:tc>
          <w:tcPr>
            <w:tcW w:w="1833" w:type="pct"/>
          </w:tcPr>
          <w:p w14:paraId="7A5ACD2D" w14:textId="454545CD" w:rsidR="00AB3672" w:rsidRPr="00F15927" w:rsidRDefault="00AB3672" w:rsidP="00AB3672">
            <w:pPr>
              <w:jc w:val="center"/>
            </w:pPr>
            <w:r>
              <w:rPr>
                <w:szCs w:val="24"/>
                <w:lang w:val="en-US"/>
              </w:rPr>
              <w:t>0</w:t>
            </w:r>
          </w:p>
        </w:tc>
        <w:tc>
          <w:tcPr>
            <w:tcW w:w="1804" w:type="pct"/>
          </w:tcPr>
          <w:p w14:paraId="087E3AED" w14:textId="0D93A723" w:rsidR="00AB3672" w:rsidRPr="00F15927" w:rsidRDefault="00AB3672" w:rsidP="00AB3672">
            <w:pPr>
              <w:jc w:val="center"/>
              <w:rPr>
                <w:szCs w:val="24"/>
                <w:lang w:eastAsia="lt-LT"/>
              </w:rPr>
            </w:pPr>
            <w:r>
              <w:t>570 900</w:t>
            </w:r>
          </w:p>
        </w:tc>
      </w:tr>
      <w:tr w:rsidR="00AB3672" w:rsidRPr="008F028A" w14:paraId="105D851D" w14:textId="77777777" w:rsidTr="00AB3672">
        <w:tc>
          <w:tcPr>
            <w:tcW w:w="1363" w:type="pct"/>
            <w:shd w:val="clear" w:color="auto" w:fill="D9D9D9" w:themeFill="background1" w:themeFillShade="D9"/>
          </w:tcPr>
          <w:p w14:paraId="4584E0A9" w14:textId="77777777" w:rsidR="00AB3672" w:rsidRPr="00BF47BA" w:rsidRDefault="00AB3672" w:rsidP="00AB3672">
            <w:pPr>
              <w:rPr>
                <w:szCs w:val="24"/>
                <w:lang w:eastAsia="lt-LT"/>
              </w:rPr>
            </w:pPr>
            <w:r w:rsidRPr="00BF47BA">
              <w:rPr>
                <w:szCs w:val="24"/>
                <w:lang w:eastAsia="lt-LT"/>
              </w:rPr>
              <w:t>6.2.3.5. Infrastruktūros būklės palaikymo išlaidos</w:t>
            </w:r>
          </w:p>
        </w:tc>
        <w:tc>
          <w:tcPr>
            <w:tcW w:w="1833" w:type="pct"/>
          </w:tcPr>
          <w:p w14:paraId="15AB92A2" w14:textId="747F9F23" w:rsidR="00AB3672" w:rsidRPr="00F15927" w:rsidRDefault="00AB3672" w:rsidP="00AB3672">
            <w:pPr>
              <w:jc w:val="center"/>
            </w:pPr>
            <w:r>
              <w:rPr>
                <w:szCs w:val="24"/>
              </w:rPr>
              <w:t>0</w:t>
            </w:r>
          </w:p>
        </w:tc>
        <w:tc>
          <w:tcPr>
            <w:tcW w:w="1804" w:type="pct"/>
          </w:tcPr>
          <w:p w14:paraId="7224FF28" w14:textId="5F08EF1C" w:rsidR="00AB3672" w:rsidRPr="00F15927" w:rsidRDefault="00AB3672" w:rsidP="00AB3672">
            <w:pPr>
              <w:jc w:val="center"/>
              <w:rPr>
                <w:szCs w:val="24"/>
                <w:lang w:eastAsia="lt-LT"/>
              </w:rPr>
            </w:pPr>
            <w:r>
              <w:t>198 357</w:t>
            </w:r>
          </w:p>
        </w:tc>
      </w:tr>
      <w:tr w:rsidR="00AB3672" w:rsidRPr="008F028A" w14:paraId="7DA2EE6D" w14:textId="77777777" w:rsidTr="00AB3672">
        <w:tc>
          <w:tcPr>
            <w:tcW w:w="1363" w:type="pct"/>
            <w:shd w:val="clear" w:color="auto" w:fill="D9D9D9" w:themeFill="background1" w:themeFillShade="D9"/>
          </w:tcPr>
          <w:p w14:paraId="6EC86C72" w14:textId="77777777" w:rsidR="00AB3672" w:rsidRPr="00BF47BA" w:rsidRDefault="00AB3672" w:rsidP="00AB3672">
            <w:pPr>
              <w:rPr>
                <w:szCs w:val="24"/>
                <w:lang w:eastAsia="lt-LT"/>
              </w:rPr>
            </w:pPr>
            <w:r w:rsidRPr="00BF47BA">
              <w:rPr>
                <w:szCs w:val="24"/>
                <w:lang w:eastAsia="lt-LT"/>
              </w:rPr>
              <w:t>6.2.3.6. Kitos išlaidos</w:t>
            </w:r>
          </w:p>
        </w:tc>
        <w:tc>
          <w:tcPr>
            <w:tcW w:w="1833" w:type="pct"/>
          </w:tcPr>
          <w:p w14:paraId="19F53320" w14:textId="74C9E680" w:rsidR="00AB3672" w:rsidRPr="00F15927" w:rsidRDefault="00AB3672" w:rsidP="00AB3672">
            <w:pPr>
              <w:jc w:val="center"/>
            </w:pPr>
            <w:r>
              <w:t>378 000</w:t>
            </w:r>
          </w:p>
        </w:tc>
        <w:tc>
          <w:tcPr>
            <w:tcW w:w="1804" w:type="pct"/>
          </w:tcPr>
          <w:p w14:paraId="6EB700B4" w14:textId="009CBAD5" w:rsidR="00AB3672" w:rsidRPr="00F15927" w:rsidRDefault="00AB3672" w:rsidP="00AB3672">
            <w:pPr>
              <w:jc w:val="center"/>
              <w:rPr>
                <w:szCs w:val="24"/>
                <w:lang w:eastAsia="lt-LT"/>
              </w:rPr>
            </w:pPr>
            <w:r>
              <w:t>725 921</w:t>
            </w:r>
          </w:p>
        </w:tc>
      </w:tr>
      <w:tr w:rsidR="00AB3672" w:rsidRPr="008F028A" w14:paraId="1D12CBFB" w14:textId="77777777" w:rsidTr="00AB3672">
        <w:tc>
          <w:tcPr>
            <w:tcW w:w="1363" w:type="pct"/>
            <w:tcBorders>
              <w:bottom w:val="single" w:sz="12" w:space="0" w:color="auto"/>
            </w:tcBorders>
            <w:shd w:val="clear" w:color="auto" w:fill="D9D9D9" w:themeFill="background1" w:themeFillShade="D9"/>
          </w:tcPr>
          <w:p w14:paraId="6EA1C14F" w14:textId="583585D7" w:rsidR="00AB3672" w:rsidRPr="00BF47BA" w:rsidRDefault="00AB3672" w:rsidP="00AB3672">
            <w:pPr>
              <w:rPr>
                <w:b/>
                <w:szCs w:val="24"/>
                <w:lang w:eastAsia="lt-LT"/>
              </w:rPr>
            </w:pPr>
            <w:r w:rsidRPr="00BF47BA">
              <w:rPr>
                <w:b/>
                <w:szCs w:val="24"/>
                <w:lang w:eastAsia="lt-LT"/>
              </w:rPr>
              <w:t xml:space="preserve">6.2.4. </w:t>
            </w:r>
            <w:r>
              <w:rPr>
                <w:b/>
                <w:szCs w:val="24"/>
                <w:lang w:eastAsia="lt-LT"/>
              </w:rPr>
              <w:t xml:space="preserve">Pirkimo </w:t>
            </w:r>
            <w:r w:rsidRPr="00BF47BA">
              <w:rPr>
                <w:b/>
                <w:szCs w:val="24"/>
                <w:lang w:eastAsia="lt-LT"/>
              </w:rPr>
              <w:t>PVM</w:t>
            </w:r>
            <w:r>
              <w:rPr>
                <w:b/>
                <w:szCs w:val="24"/>
                <w:lang w:eastAsia="lt-LT"/>
              </w:rPr>
              <w:t xml:space="preserve"> (PVM nuo eilučių 6.2.1. + 6.2.3. – 6.2.2.). Eilutė pildoma tik jei pinigų srautai nurodomi be PVM.</w:t>
            </w:r>
          </w:p>
        </w:tc>
        <w:tc>
          <w:tcPr>
            <w:tcW w:w="1833" w:type="pct"/>
            <w:tcBorders>
              <w:bottom w:val="single" w:sz="12" w:space="0" w:color="auto"/>
            </w:tcBorders>
          </w:tcPr>
          <w:p w14:paraId="4E81DB53" w14:textId="17B83A73" w:rsidR="00AB3672" w:rsidRPr="00340D58" w:rsidRDefault="00AB3672" w:rsidP="00AB3672">
            <w:pPr>
              <w:jc w:val="center"/>
              <w:rPr>
                <w:b/>
              </w:rPr>
            </w:pPr>
            <w:r>
              <w:rPr>
                <w:b/>
              </w:rPr>
              <w:t>79 380</w:t>
            </w:r>
          </w:p>
        </w:tc>
        <w:tc>
          <w:tcPr>
            <w:tcW w:w="1804" w:type="pct"/>
          </w:tcPr>
          <w:p w14:paraId="66C7E115" w14:textId="11A702AE" w:rsidR="00AB3672" w:rsidRPr="00340D58" w:rsidRDefault="00AB3672" w:rsidP="00AB3672">
            <w:pPr>
              <w:jc w:val="center"/>
              <w:rPr>
                <w:b/>
                <w:szCs w:val="24"/>
                <w:lang w:eastAsia="lt-LT"/>
              </w:rPr>
            </w:pPr>
            <w:r>
              <w:rPr>
                <w:b/>
                <w:szCs w:val="24"/>
                <w:lang w:eastAsia="lt-LT"/>
              </w:rPr>
              <w:t>-153 511</w:t>
            </w:r>
          </w:p>
        </w:tc>
      </w:tr>
      <w:tr w:rsidR="00AB3672" w:rsidRPr="00BF47BA" w14:paraId="265CA9BC" w14:textId="77777777" w:rsidTr="00954A46">
        <w:tc>
          <w:tcPr>
            <w:tcW w:w="5000" w:type="pct"/>
            <w:gridSpan w:val="3"/>
            <w:tcBorders>
              <w:top w:val="single" w:sz="12" w:space="0" w:color="auto"/>
              <w:left w:val="single" w:sz="12" w:space="0" w:color="auto"/>
              <w:bottom w:val="single" w:sz="12" w:space="0" w:color="auto"/>
              <w:right w:val="single" w:sz="12" w:space="0" w:color="auto"/>
            </w:tcBorders>
          </w:tcPr>
          <w:p w14:paraId="1F26BE76" w14:textId="533CA659" w:rsidR="00AB3672" w:rsidRDefault="00AB3672" w:rsidP="00AB3672">
            <w:pPr>
              <w:rPr>
                <w:i/>
                <w:szCs w:val="24"/>
                <w:lang w:eastAsia="lt-LT"/>
              </w:rPr>
            </w:pPr>
            <w:r w:rsidRPr="00BF47BA">
              <w:rPr>
                <w:b/>
                <w:szCs w:val="24"/>
                <w:lang w:eastAsia="lt-LT"/>
              </w:rPr>
              <w:t xml:space="preserve">CPVA </w:t>
            </w:r>
            <w:r w:rsidRPr="00954A46">
              <w:rPr>
                <w:b/>
                <w:szCs w:val="24"/>
                <w:lang w:eastAsia="lt-LT"/>
              </w:rPr>
              <w:t>išvada</w:t>
            </w:r>
            <w:r w:rsidRPr="00954A46">
              <w:rPr>
                <w:i/>
                <w:szCs w:val="24"/>
                <w:lang w:eastAsia="lt-LT"/>
              </w:rPr>
              <w:t xml:space="preserve"> (Veiklų perdavimo logiškumas, teisėtumas, pagrįstumas ir efektyvumas. Esami ar būsimi apribojimai dėl veiklų perdavimo / vykdymo. Pinigų srautų, susijusių su veiklų, įtrauktų į projekto apimtį, tačiau neįtrauktų Į VPSP apimtį, ir susijusių su projekto rezultatų pasiekimu, vertinimas. )</w:t>
            </w:r>
          </w:p>
          <w:p w14:paraId="58C6886F" w14:textId="751F1744" w:rsidR="00AB3672" w:rsidRDefault="00AB3672" w:rsidP="00AB3672">
            <w:pPr>
              <w:rPr>
                <w:szCs w:val="24"/>
                <w:u w:val="single"/>
                <w:lang w:eastAsia="lt-LT"/>
              </w:rPr>
            </w:pPr>
            <w:r w:rsidRPr="00BE08E3">
              <w:rPr>
                <w:szCs w:val="24"/>
                <w:u w:val="single"/>
                <w:lang w:eastAsia="lt-LT"/>
              </w:rPr>
              <w:t>I.</w:t>
            </w:r>
            <w:r w:rsidRPr="00BE08E3">
              <w:rPr>
                <w:szCs w:val="24"/>
                <w:u w:val="single"/>
                <w:lang w:eastAsia="lt-LT"/>
              </w:rPr>
              <w:tab/>
              <w:t>Veiklų perdavimo logiškumas, teisėtumas, pagrįstumas ir efektyvumas.</w:t>
            </w:r>
          </w:p>
          <w:p w14:paraId="44CC78E0" w14:textId="77777777" w:rsidR="00AB3672" w:rsidRPr="00BE08E3" w:rsidRDefault="00AB3672" w:rsidP="00AB3672">
            <w:pPr>
              <w:rPr>
                <w:szCs w:val="24"/>
                <w:u w:val="single"/>
                <w:lang w:eastAsia="lt-LT"/>
              </w:rPr>
            </w:pPr>
          </w:p>
          <w:p w14:paraId="1ED512F8" w14:textId="3268FA83" w:rsidR="00AB3672" w:rsidRPr="00BE08E3" w:rsidRDefault="00AB3672" w:rsidP="00AB3672">
            <w:pPr>
              <w:jc w:val="both"/>
              <w:rPr>
                <w:szCs w:val="24"/>
                <w:lang w:eastAsia="lt-LT"/>
              </w:rPr>
            </w:pPr>
            <w:r w:rsidRPr="00BE08E3">
              <w:rPr>
                <w:szCs w:val="24"/>
                <w:lang w:eastAsia="lt-LT"/>
              </w:rPr>
              <w:t xml:space="preserve">Iš </w:t>
            </w:r>
            <w:r>
              <w:rPr>
                <w:szCs w:val="24"/>
                <w:lang w:eastAsia="lt-LT"/>
              </w:rPr>
              <w:t xml:space="preserve">MRSA </w:t>
            </w:r>
            <w:r w:rsidRPr="00BE08E3">
              <w:rPr>
                <w:szCs w:val="24"/>
                <w:lang w:eastAsia="lt-LT"/>
              </w:rPr>
              <w:t xml:space="preserve">pateiktų dokumentų darytina išvada, kad </w:t>
            </w:r>
            <w:r>
              <w:rPr>
                <w:szCs w:val="24"/>
                <w:lang w:eastAsia="lt-LT"/>
              </w:rPr>
              <w:t xml:space="preserve">Baseino pastato </w:t>
            </w:r>
            <w:r w:rsidRPr="00BE08E3">
              <w:rPr>
                <w:szCs w:val="24"/>
                <w:lang w:eastAsia="lt-LT"/>
              </w:rPr>
              <w:t xml:space="preserve">projektavimą ir statybos </w:t>
            </w:r>
            <w:r>
              <w:rPr>
                <w:szCs w:val="24"/>
                <w:lang w:eastAsia="lt-LT"/>
              </w:rPr>
              <w:t>darbus vykdo pati MRSA (jos atrinktas rangovas). K</w:t>
            </w:r>
            <w:r w:rsidRPr="00BE08E3">
              <w:rPr>
                <w:szCs w:val="24"/>
                <w:lang w:eastAsia="lt-LT"/>
              </w:rPr>
              <w:t xml:space="preserve">oncesijos konkurso metu atrinktam privačiam subjektui </w:t>
            </w:r>
            <w:r>
              <w:rPr>
                <w:szCs w:val="24"/>
                <w:lang w:eastAsia="lt-LT"/>
              </w:rPr>
              <w:t>bus perduoti jau pastatyto Baseino pastato įrengimo darbai – įrengiamos kavinės bei virtuvės patalpos, treniruoklių salės patalpos</w:t>
            </w:r>
            <w:r w:rsidRPr="004E0789">
              <w:rPr>
                <w:szCs w:val="24"/>
                <w:lang w:eastAsia="lt-LT"/>
              </w:rPr>
              <w:t>, sportini</w:t>
            </w:r>
            <w:r>
              <w:rPr>
                <w:szCs w:val="24"/>
                <w:lang w:eastAsia="lt-LT"/>
              </w:rPr>
              <w:t xml:space="preserve">nkų persirengimo kambariai, dušai, tualetai bei likę neįrengti koridoriai. </w:t>
            </w:r>
            <w:r w:rsidRPr="00BE08E3">
              <w:rPr>
                <w:szCs w:val="24"/>
                <w:lang w:eastAsia="lt-LT"/>
              </w:rPr>
              <w:t xml:space="preserve">Projektas neapima veiklų, susijusių su </w:t>
            </w:r>
            <w:r>
              <w:rPr>
                <w:szCs w:val="24"/>
                <w:lang w:eastAsia="lt-LT"/>
              </w:rPr>
              <w:t xml:space="preserve">paties Baseino pastato </w:t>
            </w:r>
            <w:r w:rsidRPr="00BE08E3">
              <w:rPr>
                <w:szCs w:val="24"/>
                <w:lang w:eastAsia="lt-LT"/>
              </w:rPr>
              <w:t xml:space="preserve">sukūrimu, todėl atkreiptinas dėmesys, kad rizika, susijusi su </w:t>
            </w:r>
            <w:r>
              <w:rPr>
                <w:szCs w:val="24"/>
                <w:lang w:eastAsia="lt-LT"/>
              </w:rPr>
              <w:t xml:space="preserve">Baseino </w:t>
            </w:r>
            <w:r w:rsidRPr="00BE08E3">
              <w:rPr>
                <w:szCs w:val="24"/>
                <w:lang w:eastAsia="lt-LT"/>
              </w:rPr>
              <w:t xml:space="preserve">projektavimo ir statybos klaidomis ir trūkumais turės ilgalaikį poveikį ir tiesioginę įtaką </w:t>
            </w:r>
            <w:r>
              <w:rPr>
                <w:szCs w:val="24"/>
                <w:lang w:eastAsia="lt-LT"/>
              </w:rPr>
              <w:t xml:space="preserve">Baseino </w:t>
            </w:r>
            <w:r w:rsidRPr="00BE08E3">
              <w:rPr>
                <w:szCs w:val="24"/>
                <w:lang w:eastAsia="lt-LT"/>
              </w:rPr>
              <w:t xml:space="preserve">eksploatavimo sąnaudoms, tinkamumo bei turto būklės palaikymo rizikai, kurias numatoma perduoti privačiam subjektui. Kadangi privatus subjektas nedalyvauja </w:t>
            </w:r>
            <w:r>
              <w:rPr>
                <w:szCs w:val="24"/>
                <w:lang w:eastAsia="lt-LT"/>
              </w:rPr>
              <w:t xml:space="preserve">Baseino </w:t>
            </w:r>
            <w:r w:rsidRPr="00BE08E3">
              <w:rPr>
                <w:szCs w:val="24"/>
                <w:lang w:eastAsia="lt-LT"/>
              </w:rPr>
              <w:t>projektavime ir statyboje</w:t>
            </w:r>
            <w:r>
              <w:rPr>
                <w:szCs w:val="24"/>
                <w:lang w:eastAsia="lt-LT"/>
              </w:rPr>
              <w:t xml:space="preserve"> (atliks tik Baseino pastato įrengimo darbus)</w:t>
            </w:r>
            <w:r w:rsidRPr="00BE08E3">
              <w:rPr>
                <w:szCs w:val="24"/>
                <w:lang w:eastAsia="lt-LT"/>
              </w:rPr>
              <w:t xml:space="preserve">, bet jo bus prašoma prisiimti atsakomybę už </w:t>
            </w:r>
            <w:r>
              <w:rPr>
                <w:szCs w:val="24"/>
                <w:lang w:eastAsia="lt-LT"/>
              </w:rPr>
              <w:t xml:space="preserve">Baseino </w:t>
            </w:r>
            <w:r w:rsidRPr="00BE08E3">
              <w:rPr>
                <w:szCs w:val="24"/>
                <w:lang w:eastAsia="lt-LT"/>
              </w:rPr>
              <w:t xml:space="preserve">būklės palaikymą, jo eksploatavimą, </w:t>
            </w:r>
            <w:r>
              <w:rPr>
                <w:szCs w:val="24"/>
                <w:lang w:eastAsia="lt-LT"/>
              </w:rPr>
              <w:t xml:space="preserve">taigi </w:t>
            </w:r>
            <w:r w:rsidRPr="00BE08E3">
              <w:rPr>
                <w:szCs w:val="24"/>
                <w:lang w:eastAsia="lt-LT"/>
              </w:rPr>
              <w:lastRenderedPageBreak/>
              <w:t xml:space="preserve">yra rizika, kad koncesijos suteikimo konkurso metu ši rizika bus pakankamai brangiai įvertina ir </w:t>
            </w:r>
            <w:r>
              <w:rPr>
                <w:szCs w:val="24"/>
                <w:lang w:eastAsia="lt-LT"/>
              </w:rPr>
              <w:t xml:space="preserve">konkurso dalyvių pasiūlymuose </w:t>
            </w:r>
            <w:r w:rsidRPr="00BE08E3">
              <w:rPr>
                <w:szCs w:val="24"/>
                <w:lang w:eastAsia="lt-LT"/>
              </w:rPr>
              <w:t>numaty</w:t>
            </w:r>
            <w:r>
              <w:rPr>
                <w:szCs w:val="24"/>
                <w:lang w:eastAsia="lt-LT"/>
              </w:rPr>
              <w:t>tos</w:t>
            </w:r>
            <w:r w:rsidRPr="00BE08E3">
              <w:rPr>
                <w:szCs w:val="24"/>
                <w:lang w:eastAsia="lt-LT"/>
              </w:rPr>
              <w:t xml:space="preserve"> didesnės eksploatavimo ir reinvestavimo sąnaudos, nei pateikta IP ir partnerystės klausimyne</w:t>
            </w:r>
            <w:r>
              <w:rPr>
                <w:szCs w:val="24"/>
                <w:lang w:eastAsia="lt-LT"/>
              </w:rPr>
              <w:t xml:space="preserve"> (toliau – PK)</w:t>
            </w:r>
            <w:r w:rsidRPr="00BE08E3">
              <w:rPr>
                <w:szCs w:val="24"/>
                <w:lang w:eastAsia="lt-LT"/>
              </w:rPr>
              <w:t>. Ir nors toks veiklų padalinimas neprieštarauja Koncesijų įstatymo nuostatoms, tačiau jis nėra efektyvus. Geriausiai privatiems subjektams optimizuoti statybos ir eksploatavimo sąnaudas ir sumažinti su tuo susijusias rizikas pavyksta tik tais atvejais, kai jiems perduodamas visas turto gyvavimo ciklo valdymas.</w:t>
            </w:r>
          </w:p>
          <w:p w14:paraId="5317AE83" w14:textId="77777777" w:rsidR="00AB3672" w:rsidRDefault="00AB3672" w:rsidP="00AB3672">
            <w:pPr>
              <w:jc w:val="both"/>
              <w:rPr>
                <w:szCs w:val="24"/>
                <w:lang w:eastAsia="lt-LT"/>
              </w:rPr>
            </w:pPr>
          </w:p>
          <w:p w14:paraId="2C6583EB" w14:textId="119397CC" w:rsidR="00AB3672" w:rsidRDefault="00AB3672" w:rsidP="00AB3672">
            <w:pPr>
              <w:jc w:val="both"/>
              <w:rPr>
                <w:szCs w:val="24"/>
                <w:lang w:eastAsia="lt-LT"/>
              </w:rPr>
            </w:pPr>
            <w:r>
              <w:rPr>
                <w:szCs w:val="24"/>
                <w:lang w:eastAsia="lt-LT"/>
              </w:rPr>
              <w:t>Kadangi MRSA</w:t>
            </w:r>
            <w:r w:rsidRPr="00A07166">
              <w:rPr>
                <w:szCs w:val="24"/>
                <w:lang w:eastAsia="lt-LT"/>
              </w:rPr>
              <w:t xml:space="preserve"> pati negali vykdyti ūkinės komercinės veiklos ir pagal Koncesijų įstatymo reikalavimus tokios veiklos vykdymui turi skelbti koncesijos suteikimo konkursą, todėl veiklų, susijusių su </w:t>
            </w:r>
            <w:r>
              <w:rPr>
                <w:szCs w:val="24"/>
                <w:lang w:eastAsia="lt-LT"/>
              </w:rPr>
              <w:t>n</w:t>
            </w:r>
            <w:r w:rsidRPr="00AF03FE">
              <w:rPr>
                <w:szCs w:val="24"/>
                <w:lang w:eastAsia="lt-LT"/>
              </w:rPr>
              <w:t>eform</w:t>
            </w:r>
            <w:r>
              <w:rPr>
                <w:szCs w:val="24"/>
                <w:lang w:eastAsia="lt-LT"/>
              </w:rPr>
              <w:t>alaus švietimo paslaugų teikimu</w:t>
            </w:r>
            <w:r w:rsidRPr="00AF03FE">
              <w:rPr>
                <w:szCs w:val="24"/>
                <w:lang w:eastAsia="lt-LT"/>
              </w:rPr>
              <w:t xml:space="preserve"> (sportinio meistriškumo užsiėmimai</w:t>
            </w:r>
            <w:r>
              <w:rPr>
                <w:szCs w:val="24"/>
                <w:lang w:eastAsia="lt-LT"/>
              </w:rPr>
              <w:t xml:space="preserve">s), suaugusiųjų sportinės veiklos paslaugų teikimu, sporto renginių organizavimu, maitinimo paslaugų teikimu </w:t>
            </w:r>
            <w:r w:rsidRPr="00A07166">
              <w:rPr>
                <w:szCs w:val="24"/>
                <w:lang w:eastAsia="lt-LT"/>
              </w:rPr>
              <w:t>perdavimas privačiam subjektui yra logiškas ir pagrįstas.</w:t>
            </w:r>
          </w:p>
          <w:p w14:paraId="4A60F33B" w14:textId="30AD0259" w:rsidR="00AB3672" w:rsidRDefault="00AB3672" w:rsidP="00AB3672">
            <w:pPr>
              <w:rPr>
                <w:szCs w:val="24"/>
                <w:lang w:eastAsia="lt-LT"/>
              </w:rPr>
            </w:pPr>
          </w:p>
          <w:p w14:paraId="783FDDA8" w14:textId="77777777" w:rsidR="00AB3672" w:rsidRDefault="00AB3672" w:rsidP="00AB3672">
            <w:pPr>
              <w:rPr>
                <w:szCs w:val="24"/>
                <w:lang w:eastAsia="lt-LT"/>
              </w:rPr>
            </w:pPr>
          </w:p>
          <w:p w14:paraId="567D70D9" w14:textId="5564EBEB" w:rsidR="00AB3672" w:rsidRDefault="00AB3672" w:rsidP="00AB3672">
            <w:pPr>
              <w:rPr>
                <w:szCs w:val="24"/>
                <w:u w:val="single"/>
                <w:lang w:eastAsia="lt-LT"/>
              </w:rPr>
            </w:pPr>
            <w:r w:rsidRPr="00AF03FE">
              <w:rPr>
                <w:szCs w:val="24"/>
                <w:u w:val="single"/>
                <w:lang w:eastAsia="lt-LT"/>
              </w:rPr>
              <w:t>II.</w:t>
            </w:r>
            <w:r w:rsidRPr="00AF03FE">
              <w:rPr>
                <w:szCs w:val="24"/>
                <w:u w:val="single"/>
                <w:lang w:eastAsia="lt-LT"/>
              </w:rPr>
              <w:tab/>
              <w:t>Apribojimai, susiję su veiklų perdavimu / vykdymu</w:t>
            </w:r>
          </w:p>
          <w:p w14:paraId="1BBB886A" w14:textId="77777777" w:rsidR="00AB3672" w:rsidRPr="00AF03FE" w:rsidRDefault="00AB3672" w:rsidP="00AB3672">
            <w:pPr>
              <w:rPr>
                <w:szCs w:val="24"/>
                <w:u w:val="single"/>
                <w:lang w:eastAsia="lt-LT"/>
              </w:rPr>
            </w:pPr>
          </w:p>
          <w:p w14:paraId="255F1198" w14:textId="77777777" w:rsidR="00AB3672" w:rsidRPr="00AF03FE" w:rsidRDefault="00AB3672" w:rsidP="00AB3672">
            <w:pPr>
              <w:rPr>
                <w:szCs w:val="24"/>
                <w:lang w:eastAsia="lt-LT"/>
              </w:rPr>
            </w:pPr>
            <w:r w:rsidRPr="00AF03FE">
              <w:rPr>
                <w:szCs w:val="24"/>
                <w:lang w:eastAsia="lt-LT"/>
              </w:rPr>
              <w:t>Apribojimų perduoti privačiam subjektui aukščiau nurodytas veiklas nėra.</w:t>
            </w:r>
          </w:p>
          <w:p w14:paraId="4B32C91D" w14:textId="77777777" w:rsidR="00AB3672" w:rsidRPr="00AF03FE" w:rsidRDefault="00AB3672" w:rsidP="00AB3672">
            <w:pPr>
              <w:rPr>
                <w:szCs w:val="24"/>
                <w:lang w:eastAsia="lt-LT"/>
              </w:rPr>
            </w:pPr>
          </w:p>
          <w:p w14:paraId="765A2FA7" w14:textId="73C64273" w:rsidR="00AB3672" w:rsidRDefault="00AB3672" w:rsidP="00AB3672">
            <w:pPr>
              <w:rPr>
                <w:szCs w:val="24"/>
                <w:u w:val="single"/>
                <w:lang w:eastAsia="lt-LT"/>
              </w:rPr>
            </w:pPr>
            <w:r w:rsidRPr="00AF03FE">
              <w:rPr>
                <w:szCs w:val="24"/>
                <w:u w:val="single"/>
                <w:lang w:eastAsia="lt-LT"/>
              </w:rPr>
              <w:t>III.</w:t>
            </w:r>
            <w:r w:rsidRPr="00AF03FE">
              <w:rPr>
                <w:szCs w:val="24"/>
                <w:u w:val="single"/>
                <w:lang w:eastAsia="lt-LT"/>
              </w:rPr>
              <w:tab/>
              <w:t>Pinigų srautų, susijusių su veiklų, įtrauktų į Projekto apimtį ir neįtrauktų, tačiau susijusių su Projekto rezultatų pasiekimu, vertės detalizacija biudžetinėse eilutėse</w:t>
            </w:r>
          </w:p>
          <w:p w14:paraId="4D829A0C" w14:textId="58C43390" w:rsidR="00AB3672" w:rsidRPr="00954A46" w:rsidRDefault="00F403C0" w:rsidP="00FB3E41">
            <w:pPr>
              <w:jc w:val="both"/>
              <w:rPr>
                <w:szCs w:val="24"/>
                <w:lang w:eastAsia="lt-LT"/>
              </w:rPr>
            </w:pPr>
            <w:r>
              <w:rPr>
                <w:bCs/>
                <w:iCs/>
                <w:szCs w:val="24"/>
                <w:lang w:eastAsia="lt-LT"/>
              </w:rPr>
              <w:t>Numatoma, kad sporto infrastruktūros II etapo darbai (dalies patalpų įrengimas) ir operavimas/paslaugų teikimas pilna apimtimi būtų perduodamas privačiam subjektui, Savivaldybė pasiliktų sau tik išlaidas, susijusias su rajono moksleivių pavežėjimu.</w:t>
            </w:r>
          </w:p>
        </w:tc>
      </w:tr>
    </w:tbl>
    <w:p w14:paraId="4BE84FF0" w14:textId="77777777" w:rsidR="009A0866" w:rsidRPr="00BF47BA" w:rsidRDefault="009A0866" w:rsidP="009A0866"/>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3402"/>
        <w:gridCol w:w="3544"/>
      </w:tblGrid>
      <w:tr w:rsidR="009A0866" w:rsidRPr="00BF47BA" w14:paraId="46AE5C0B" w14:textId="77777777" w:rsidTr="00954A46">
        <w:tc>
          <w:tcPr>
            <w:tcW w:w="13745" w:type="dxa"/>
            <w:gridSpan w:val="4"/>
            <w:shd w:val="clear" w:color="auto" w:fill="D9D9D9" w:themeFill="background1" w:themeFillShade="D9"/>
          </w:tcPr>
          <w:p w14:paraId="2A4F7E55" w14:textId="77777777" w:rsidR="009A0866" w:rsidRPr="00BF47BA" w:rsidRDefault="009A0866" w:rsidP="00D455F3">
            <w:pPr>
              <w:jc w:val="center"/>
              <w:rPr>
                <w:szCs w:val="24"/>
                <w:lang w:eastAsia="lt-LT"/>
              </w:rPr>
            </w:pPr>
            <w:r w:rsidRPr="00BF47BA">
              <w:rPr>
                <w:b/>
                <w:szCs w:val="24"/>
                <w:lang w:eastAsia="lt-LT"/>
              </w:rPr>
              <w:t>7. Rizikų paskirstymas</w:t>
            </w:r>
          </w:p>
        </w:tc>
      </w:tr>
      <w:tr w:rsidR="009A0866" w:rsidRPr="00BF47BA" w14:paraId="735476AB" w14:textId="77777777" w:rsidTr="00954A46">
        <w:tc>
          <w:tcPr>
            <w:tcW w:w="3397" w:type="dxa"/>
            <w:vMerge w:val="restart"/>
            <w:shd w:val="clear" w:color="auto" w:fill="D9D9D9" w:themeFill="background1" w:themeFillShade="D9"/>
            <w:vAlign w:val="center"/>
          </w:tcPr>
          <w:p w14:paraId="2A0DF1AE" w14:textId="77777777" w:rsidR="009A0866" w:rsidRPr="00BF47BA" w:rsidRDefault="009A0866" w:rsidP="00D455F3">
            <w:pPr>
              <w:rPr>
                <w:b/>
                <w:szCs w:val="24"/>
                <w:lang w:eastAsia="lt-LT"/>
              </w:rPr>
            </w:pPr>
            <w:r w:rsidRPr="00BF47BA">
              <w:rPr>
                <w:b/>
                <w:szCs w:val="24"/>
                <w:lang w:eastAsia="lt-LT"/>
              </w:rPr>
              <w:t>Rizikų grupės</w:t>
            </w:r>
          </w:p>
        </w:tc>
        <w:tc>
          <w:tcPr>
            <w:tcW w:w="6804" w:type="dxa"/>
            <w:gridSpan w:val="2"/>
            <w:shd w:val="clear" w:color="auto" w:fill="D9D9D9" w:themeFill="background1" w:themeFillShade="D9"/>
          </w:tcPr>
          <w:p w14:paraId="73FD7853" w14:textId="77777777" w:rsidR="009A0866" w:rsidRPr="00BF47BA" w:rsidRDefault="009A0866" w:rsidP="00D455F3">
            <w:pPr>
              <w:jc w:val="center"/>
              <w:rPr>
                <w:b/>
                <w:szCs w:val="24"/>
                <w:lang w:eastAsia="lt-LT"/>
              </w:rPr>
            </w:pPr>
            <w:r w:rsidRPr="00BF47BA">
              <w:rPr>
                <w:b/>
                <w:szCs w:val="24"/>
                <w:lang w:eastAsia="lt-LT"/>
              </w:rPr>
              <w:t>Viešasis subjektas</w:t>
            </w:r>
          </w:p>
        </w:tc>
        <w:tc>
          <w:tcPr>
            <w:tcW w:w="3544" w:type="dxa"/>
            <w:shd w:val="clear" w:color="auto" w:fill="D9D9D9" w:themeFill="background1" w:themeFillShade="D9"/>
          </w:tcPr>
          <w:p w14:paraId="5DFDF95E" w14:textId="77777777" w:rsidR="009A0866" w:rsidRPr="00BF47BA" w:rsidRDefault="009A0866" w:rsidP="00D455F3">
            <w:pPr>
              <w:jc w:val="center"/>
              <w:rPr>
                <w:b/>
                <w:szCs w:val="24"/>
                <w:lang w:eastAsia="lt-LT"/>
              </w:rPr>
            </w:pPr>
            <w:r w:rsidRPr="00BF47BA">
              <w:rPr>
                <w:b/>
                <w:szCs w:val="24"/>
                <w:lang w:eastAsia="lt-LT"/>
              </w:rPr>
              <w:t xml:space="preserve">Privatus subjektas </w:t>
            </w:r>
          </w:p>
        </w:tc>
      </w:tr>
      <w:tr w:rsidR="009A0866" w:rsidRPr="00BF47BA" w14:paraId="0BCFEB1E" w14:textId="77777777" w:rsidTr="00954A46">
        <w:tc>
          <w:tcPr>
            <w:tcW w:w="3397" w:type="dxa"/>
            <w:vMerge/>
            <w:shd w:val="clear" w:color="auto" w:fill="D9D9D9" w:themeFill="background1" w:themeFillShade="D9"/>
          </w:tcPr>
          <w:p w14:paraId="0A597111" w14:textId="77777777" w:rsidR="009A0866" w:rsidRPr="00BF47BA" w:rsidRDefault="009A0866" w:rsidP="00D455F3"/>
        </w:tc>
        <w:tc>
          <w:tcPr>
            <w:tcW w:w="3402" w:type="dxa"/>
            <w:vMerge w:val="restart"/>
            <w:shd w:val="clear" w:color="auto" w:fill="D9D9D9" w:themeFill="background1" w:themeFillShade="D9"/>
            <w:vAlign w:val="center"/>
          </w:tcPr>
          <w:p w14:paraId="24533EDE" w14:textId="77777777" w:rsidR="009A0866" w:rsidRPr="00BF47BA" w:rsidRDefault="009A0866" w:rsidP="00D455F3">
            <w:pPr>
              <w:jc w:val="center"/>
              <w:rPr>
                <w:b/>
                <w:szCs w:val="24"/>
                <w:lang w:eastAsia="lt-LT"/>
              </w:rPr>
            </w:pPr>
            <w:r w:rsidRPr="00BF47BA">
              <w:rPr>
                <w:b/>
                <w:szCs w:val="24"/>
                <w:lang w:eastAsia="lt-LT"/>
              </w:rPr>
              <w:t>Veiklos, kurios neįtrauktos į VPSP projektą</w:t>
            </w:r>
          </w:p>
        </w:tc>
        <w:tc>
          <w:tcPr>
            <w:tcW w:w="6946" w:type="dxa"/>
            <w:gridSpan w:val="2"/>
            <w:shd w:val="clear" w:color="auto" w:fill="D9D9D9" w:themeFill="background1" w:themeFillShade="D9"/>
            <w:vAlign w:val="center"/>
          </w:tcPr>
          <w:p w14:paraId="289F8C23" w14:textId="77777777" w:rsidR="009A0866" w:rsidRPr="00BF47BA" w:rsidRDefault="009A0866" w:rsidP="00D455F3">
            <w:pPr>
              <w:jc w:val="center"/>
              <w:rPr>
                <w:b/>
                <w:szCs w:val="24"/>
                <w:lang w:eastAsia="lt-LT"/>
              </w:rPr>
            </w:pPr>
            <w:r w:rsidRPr="00BF47BA">
              <w:rPr>
                <w:b/>
                <w:szCs w:val="24"/>
                <w:lang w:eastAsia="lt-LT"/>
              </w:rPr>
              <w:t>VPSP projektas</w:t>
            </w:r>
          </w:p>
        </w:tc>
      </w:tr>
      <w:tr w:rsidR="009A0866" w:rsidRPr="00BF47BA" w14:paraId="28A8B641" w14:textId="77777777" w:rsidTr="00954A46">
        <w:tc>
          <w:tcPr>
            <w:tcW w:w="3397" w:type="dxa"/>
            <w:vMerge/>
            <w:shd w:val="clear" w:color="auto" w:fill="D9D9D9" w:themeFill="background1" w:themeFillShade="D9"/>
          </w:tcPr>
          <w:p w14:paraId="427B8D8E" w14:textId="77777777" w:rsidR="009A0866" w:rsidRPr="00BF47BA" w:rsidRDefault="009A0866" w:rsidP="00D455F3"/>
        </w:tc>
        <w:tc>
          <w:tcPr>
            <w:tcW w:w="3402" w:type="dxa"/>
            <w:vMerge/>
            <w:shd w:val="clear" w:color="auto" w:fill="D9D9D9" w:themeFill="background1" w:themeFillShade="D9"/>
            <w:vAlign w:val="center"/>
          </w:tcPr>
          <w:p w14:paraId="18F24825" w14:textId="77777777" w:rsidR="009A0866" w:rsidRPr="00BF47BA" w:rsidRDefault="009A0866" w:rsidP="00D455F3">
            <w:pPr>
              <w:jc w:val="center"/>
              <w:rPr>
                <w:b/>
                <w:szCs w:val="24"/>
                <w:lang w:eastAsia="lt-LT"/>
              </w:rPr>
            </w:pPr>
          </w:p>
        </w:tc>
        <w:tc>
          <w:tcPr>
            <w:tcW w:w="3402" w:type="dxa"/>
            <w:shd w:val="clear" w:color="auto" w:fill="D9D9D9" w:themeFill="background1" w:themeFillShade="D9"/>
            <w:vAlign w:val="center"/>
          </w:tcPr>
          <w:p w14:paraId="21C678D4" w14:textId="77777777" w:rsidR="009A0866" w:rsidRPr="00BF47BA" w:rsidRDefault="009A0866" w:rsidP="00D455F3">
            <w:pPr>
              <w:jc w:val="center"/>
              <w:rPr>
                <w:szCs w:val="24"/>
                <w:lang w:eastAsia="lt-LT"/>
              </w:rPr>
            </w:pPr>
            <w:r w:rsidRPr="00BF47BA">
              <w:rPr>
                <w:b/>
                <w:szCs w:val="24"/>
                <w:lang w:eastAsia="lt-LT"/>
              </w:rPr>
              <w:t>VPSP projekte pasiliekamos veiklos</w:t>
            </w:r>
          </w:p>
        </w:tc>
        <w:tc>
          <w:tcPr>
            <w:tcW w:w="3544" w:type="dxa"/>
            <w:shd w:val="clear" w:color="auto" w:fill="D9D9D9" w:themeFill="background1" w:themeFillShade="D9"/>
          </w:tcPr>
          <w:p w14:paraId="56161822" w14:textId="77777777" w:rsidR="009A0866" w:rsidRPr="00BF47BA" w:rsidRDefault="009A0866" w:rsidP="00D455F3">
            <w:pPr>
              <w:jc w:val="center"/>
              <w:rPr>
                <w:szCs w:val="24"/>
                <w:lang w:eastAsia="lt-LT"/>
              </w:rPr>
            </w:pPr>
            <w:r w:rsidRPr="00BF47BA">
              <w:rPr>
                <w:b/>
                <w:szCs w:val="24"/>
                <w:lang w:eastAsia="lt-LT"/>
              </w:rPr>
              <w:t>VPSP projekte perduodamos veiklos</w:t>
            </w:r>
          </w:p>
        </w:tc>
      </w:tr>
      <w:tr w:rsidR="009A0866" w:rsidRPr="00BF47BA" w14:paraId="61A86816" w14:textId="77777777" w:rsidTr="00954A46">
        <w:tc>
          <w:tcPr>
            <w:tcW w:w="3397" w:type="dxa"/>
            <w:shd w:val="clear" w:color="auto" w:fill="D9D9D9" w:themeFill="background1" w:themeFillShade="D9"/>
          </w:tcPr>
          <w:p w14:paraId="6B64B6A6" w14:textId="77777777" w:rsidR="009A0866" w:rsidRPr="00BF47BA" w:rsidRDefault="009A0866" w:rsidP="00D455F3">
            <w:pPr>
              <w:rPr>
                <w:szCs w:val="24"/>
                <w:lang w:eastAsia="lt-LT"/>
              </w:rPr>
            </w:pPr>
            <w:r w:rsidRPr="00BF47BA">
              <w:rPr>
                <w:szCs w:val="24"/>
                <w:lang w:eastAsia="lt-LT"/>
              </w:rPr>
              <w:t>7.1. Statybos rizika</w:t>
            </w:r>
          </w:p>
        </w:tc>
        <w:tc>
          <w:tcPr>
            <w:tcW w:w="3402" w:type="dxa"/>
          </w:tcPr>
          <w:p w14:paraId="11BFF2BF" w14:textId="168CC076" w:rsidR="009A0866" w:rsidRPr="00BF47BA" w:rsidRDefault="00537BF3" w:rsidP="00D455F3">
            <w:pPr>
              <w:jc w:val="center"/>
              <w:rPr>
                <w:szCs w:val="24"/>
                <w:lang w:eastAsia="lt-LT"/>
              </w:rPr>
            </w:pPr>
            <w:r>
              <w:rPr>
                <w:szCs w:val="24"/>
                <w:lang w:eastAsia="lt-LT"/>
              </w:rPr>
              <w:t>X (privačiam subjektui bus perduotas jau pastatytas Baseino pastatas ir teniso kortai)</w:t>
            </w:r>
          </w:p>
        </w:tc>
        <w:tc>
          <w:tcPr>
            <w:tcW w:w="3402" w:type="dxa"/>
          </w:tcPr>
          <w:p w14:paraId="0BD0475B" w14:textId="77777777" w:rsidR="009A0866" w:rsidRPr="00BF47BA" w:rsidRDefault="009A0866" w:rsidP="00D455F3">
            <w:pPr>
              <w:jc w:val="center"/>
              <w:rPr>
                <w:szCs w:val="24"/>
                <w:lang w:eastAsia="lt-LT"/>
              </w:rPr>
            </w:pPr>
          </w:p>
        </w:tc>
        <w:tc>
          <w:tcPr>
            <w:tcW w:w="3544" w:type="dxa"/>
          </w:tcPr>
          <w:p w14:paraId="504E29DA" w14:textId="5379FCE1" w:rsidR="009A0866" w:rsidRPr="00BF47BA" w:rsidRDefault="002C4437" w:rsidP="00D455F3">
            <w:pPr>
              <w:jc w:val="center"/>
              <w:rPr>
                <w:szCs w:val="24"/>
                <w:lang w:eastAsia="lt-LT"/>
              </w:rPr>
            </w:pPr>
            <w:r>
              <w:rPr>
                <w:szCs w:val="24"/>
                <w:lang w:eastAsia="lt-LT"/>
              </w:rPr>
              <w:t>X (kiek susiję su</w:t>
            </w:r>
            <w:r w:rsidR="00903830">
              <w:rPr>
                <w:szCs w:val="24"/>
                <w:lang w:eastAsia="lt-LT"/>
              </w:rPr>
              <w:t xml:space="preserve"> numatytais apdailos darbais,</w:t>
            </w:r>
            <w:r>
              <w:rPr>
                <w:szCs w:val="24"/>
                <w:lang w:eastAsia="lt-LT"/>
              </w:rPr>
              <w:t xml:space="preserve"> įrangos įsigijimu ir diegimu)</w:t>
            </w:r>
          </w:p>
        </w:tc>
      </w:tr>
      <w:tr w:rsidR="009A0866" w:rsidRPr="00BF47BA" w14:paraId="74E5AF82" w14:textId="77777777" w:rsidTr="00954A46">
        <w:tc>
          <w:tcPr>
            <w:tcW w:w="3397" w:type="dxa"/>
            <w:shd w:val="clear" w:color="auto" w:fill="D9D9D9" w:themeFill="background1" w:themeFillShade="D9"/>
          </w:tcPr>
          <w:p w14:paraId="14ADF04F" w14:textId="77777777" w:rsidR="009A0866" w:rsidRPr="00BF47BA" w:rsidRDefault="009A0866" w:rsidP="00D455F3">
            <w:pPr>
              <w:rPr>
                <w:szCs w:val="24"/>
                <w:lang w:eastAsia="lt-LT"/>
              </w:rPr>
            </w:pPr>
            <w:r w:rsidRPr="00BF47BA">
              <w:rPr>
                <w:szCs w:val="24"/>
                <w:lang w:eastAsia="lt-LT"/>
              </w:rPr>
              <w:t>7.2. Tinkamumo rizika</w:t>
            </w:r>
          </w:p>
        </w:tc>
        <w:tc>
          <w:tcPr>
            <w:tcW w:w="3402" w:type="dxa"/>
          </w:tcPr>
          <w:p w14:paraId="6FE8B1C8" w14:textId="77777777" w:rsidR="009A0866" w:rsidRPr="00BF47BA" w:rsidRDefault="009A0866" w:rsidP="00D455F3">
            <w:pPr>
              <w:jc w:val="center"/>
              <w:rPr>
                <w:szCs w:val="24"/>
                <w:lang w:eastAsia="lt-LT"/>
              </w:rPr>
            </w:pPr>
          </w:p>
        </w:tc>
        <w:tc>
          <w:tcPr>
            <w:tcW w:w="3402" w:type="dxa"/>
          </w:tcPr>
          <w:p w14:paraId="4CF93081" w14:textId="556D68AD" w:rsidR="009A0866" w:rsidRPr="00BF47BA" w:rsidRDefault="009A0866" w:rsidP="00D455F3">
            <w:pPr>
              <w:jc w:val="center"/>
              <w:rPr>
                <w:szCs w:val="24"/>
                <w:lang w:eastAsia="lt-LT"/>
              </w:rPr>
            </w:pPr>
          </w:p>
        </w:tc>
        <w:tc>
          <w:tcPr>
            <w:tcW w:w="3544" w:type="dxa"/>
          </w:tcPr>
          <w:p w14:paraId="0EC69F9B" w14:textId="10C78571" w:rsidR="009A0866" w:rsidRPr="00BF47BA" w:rsidRDefault="00537BF3" w:rsidP="00D455F3">
            <w:pPr>
              <w:jc w:val="center"/>
              <w:rPr>
                <w:szCs w:val="24"/>
                <w:lang w:eastAsia="lt-LT"/>
              </w:rPr>
            </w:pPr>
            <w:r>
              <w:rPr>
                <w:szCs w:val="24"/>
                <w:lang w:eastAsia="lt-LT"/>
              </w:rPr>
              <w:t>X</w:t>
            </w:r>
          </w:p>
        </w:tc>
      </w:tr>
      <w:tr w:rsidR="009A0866" w:rsidRPr="00BF47BA" w14:paraId="29F419F5" w14:textId="77777777" w:rsidTr="00954A46">
        <w:tc>
          <w:tcPr>
            <w:tcW w:w="3397" w:type="dxa"/>
            <w:tcBorders>
              <w:bottom w:val="single" w:sz="12" w:space="0" w:color="auto"/>
            </w:tcBorders>
            <w:shd w:val="clear" w:color="auto" w:fill="D9D9D9" w:themeFill="background1" w:themeFillShade="D9"/>
          </w:tcPr>
          <w:p w14:paraId="2A8B02E4" w14:textId="77777777" w:rsidR="009A0866" w:rsidRPr="00BF47BA" w:rsidRDefault="009A0866" w:rsidP="00D455F3">
            <w:pPr>
              <w:rPr>
                <w:szCs w:val="24"/>
                <w:lang w:eastAsia="lt-LT"/>
              </w:rPr>
            </w:pPr>
            <w:r w:rsidRPr="00BF47BA">
              <w:rPr>
                <w:szCs w:val="24"/>
                <w:lang w:eastAsia="lt-LT"/>
              </w:rPr>
              <w:t xml:space="preserve">7.3. Paklausos rizika </w:t>
            </w:r>
          </w:p>
        </w:tc>
        <w:tc>
          <w:tcPr>
            <w:tcW w:w="3402" w:type="dxa"/>
            <w:tcBorders>
              <w:bottom w:val="single" w:sz="12" w:space="0" w:color="auto"/>
            </w:tcBorders>
          </w:tcPr>
          <w:p w14:paraId="31FAB7A0" w14:textId="77777777" w:rsidR="009A0866" w:rsidRPr="00BF47BA" w:rsidRDefault="009A0866" w:rsidP="00D455F3">
            <w:pPr>
              <w:jc w:val="center"/>
              <w:rPr>
                <w:szCs w:val="24"/>
                <w:lang w:eastAsia="lt-LT"/>
              </w:rPr>
            </w:pPr>
          </w:p>
        </w:tc>
        <w:tc>
          <w:tcPr>
            <w:tcW w:w="3402" w:type="dxa"/>
            <w:tcBorders>
              <w:bottom w:val="single" w:sz="12" w:space="0" w:color="auto"/>
            </w:tcBorders>
          </w:tcPr>
          <w:p w14:paraId="7A6343F2" w14:textId="0D7F9C27" w:rsidR="009A0866" w:rsidRPr="00BF47BA" w:rsidRDefault="00537BF3" w:rsidP="00D455F3">
            <w:pPr>
              <w:jc w:val="center"/>
              <w:rPr>
                <w:szCs w:val="24"/>
                <w:lang w:eastAsia="lt-LT"/>
              </w:rPr>
            </w:pPr>
            <w:r w:rsidRPr="00537BF3">
              <w:rPr>
                <w:szCs w:val="24"/>
                <w:lang w:eastAsia="lt-LT"/>
              </w:rPr>
              <w:t>X (tiek, kiek reikia užtikrinti MRSA poreikį)</w:t>
            </w:r>
          </w:p>
        </w:tc>
        <w:tc>
          <w:tcPr>
            <w:tcW w:w="3544" w:type="dxa"/>
            <w:tcBorders>
              <w:bottom w:val="single" w:sz="12" w:space="0" w:color="auto"/>
            </w:tcBorders>
          </w:tcPr>
          <w:p w14:paraId="4D329E6A" w14:textId="77777777" w:rsidR="009A0866" w:rsidRPr="00BF47BA" w:rsidRDefault="009A0866" w:rsidP="00D455F3">
            <w:pPr>
              <w:jc w:val="center"/>
              <w:rPr>
                <w:szCs w:val="24"/>
                <w:lang w:eastAsia="lt-LT"/>
              </w:rPr>
            </w:pPr>
          </w:p>
        </w:tc>
      </w:tr>
      <w:tr w:rsidR="009A0866" w:rsidRPr="00BF47BA" w14:paraId="0BBE8183" w14:textId="77777777" w:rsidTr="00954A46">
        <w:tc>
          <w:tcPr>
            <w:tcW w:w="13745" w:type="dxa"/>
            <w:gridSpan w:val="4"/>
            <w:tcBorders>
              <w:top w:val="single" w:sz="12" w:space="0" w:color="auto"/>
              <w:left w:val="single" w:sz="12" w:space="0" w:color="auto"/>
              <w:bottom w:val="single" w:sz="18" w:space="0" w:color="auto"/>
              <w:right w:val="single" w:sz="12" w:space="0" w:color="auto"/>
            </w:tcBorders>
          </w:tcPr>
          <w:p w14:paraId="6CBF58A0" w14:textId="5E9991BA" w:rsidR="00E516A6" w:rsidRDefault="009A0866" w:rsidP="00D455F3">
            <w:pPr>
              <w:rPr>
                <w:i/>
                <w:szCs w:val="24"/>
                <w:lang w:eastAsia="lt-LT"/>
              </w:rPr>
            </w:pPr>
            <w:r w:rsidRPr="00BF47BA">
              <w:rPr>
                <w:b/>
                <w:szCs w:val="24"/>
                <w:lang w:eastAsia="lt-LT"/>
              </w:rPr>
              <w:lastRenderedPageBreak/>
              <w:t>CPVA išvada</w:t>
            </w:r>
            <w:r w:rsidR="00E516A6">
              <w:rPr>
                <w:i/>
                <w:szCs w:val="24"/>
                <w:lang w:eastAsia="lt-LT"/>
              </w:rPr>
              <w:t xml:space="preserve"> (</w:t>
            </w:r>
            <w:r w:rsidRPr="00BF47BA">
              <w:rPr>
                <w:i/>
                <w:szCs w:val="24"/>
                <w:lang w:eastAsia="lt-LT"/>
              </w:rPr>
              <w:t>Rizikos pasidalinimo logiškumas, pagrįstumas ir efektyvumas</w:t>
            </w:r>
            <w:r w:rsidR="00E516A6">
              <w:rPr>
                <w:i/>
                <w:szCs w:val="24"/>
                <w:lang w:eastAsia="lt-LT"/>
              </w:rPr>
              <w:t xml:space="preserve">; </w:t>
            </w:r>
            <w:r w:rsidRPr="00BF47BA">
              <w:rPr>
                <w:i/>
                <w:szCs w:val="24"/>
                <w:lang w:eastAsia="lt-LT"/>
              </w:rPr>
              <w:t>Prielaidų, kurios leistų tikėtis, kad VPSP sutartis gali būti apskaitoma už viešojo sektoriaus balanso ribų, šiame etape vertinimas.</w:t>
            </w:r>
            <w:r w:rsidR="00E516A6">
              <w:rPr>
                <w:i/>
                <w:szCs w:val="24"/>
                <w:lang w:eastAsia="lt-LT"/>
              </w:rPr>
              <w:t xml:space="preserve"> )</w:t>
            </w:r>
          </w:p>
          <w:p w14:paraId="03B7EF09" w14:textId="77777777" w:rsidR="00E516A6" w:rsidRPr="00F852C0" w:rsidRDefault="00E516A6" w:rsidP="00D455F3">
            <w:pPr>
              <w:rPr>
                <w:szCs w:val="24"/>
                <w:lang w:eastAsia="lt-LT"/>
              </w:rPr>
            </w:pPr>
          </w:p>
          <w:p w14:paraId="2306C228" w14:textId="694BAF31" w:rsidR="00037E84" w:rsidRPr="00037E84" w:rsidRDefault="00037E84" w:rsidP="00037E84">
            <w:pPr>
              <w:numPr>
                <w:ilvl w:val="0"/>
                <w:numId w:val="27"/>
              </w:numPr>
              <w:rPr>
                <w:szCs w:val="24"/>
                <w:lang w:eastAsia="lt-LT"/>
              </w:rPr>
            </w:pPr>
            <w:r w:rsidRPr="00037E84">
              <w:rPr>
                <w:szCs w:val="24"/>
                <w:u w:val="single"/>
                <w:lang w:eastAsia="lt-LT"/>
              </w:rPr>
              <w:t>Statybos rizik</w:t>
            </w:r>
            <w:r w:rsidRPr="00590881">
              <w:rPr>
                <w:szCs w:val="24"/>
                <w:u w:val="single"/>
                <w:lang w:eastAsia="lt-LT"/>
              </w:rPr>
              <w:t>a</w:t>
            </w:r>
            <w:r w:rsidRPr="00590881">
              <w:rPr>
                <w:szCs w:val="24"/>
                <w:lang w:eastAsia="lt-LT"/>
              </w:rPr>
              <w:t>.</w:t>
            </w:r>
            <w:r w:rsidRPr="00037E84">
              <w:rPr>
                <w:szCs w:val="24"/>
                <w:lang w:eastAsia="lt-LT"/>
              </w:rPr>
              <w:t xml:space="preserve"> </w:t>
            </w:r>
          </w:p>
          <w:p w14:paraId="55533AEB" w14:textId="0D011CF5" w:rsidR="00037E84" w:rsidRPr="00037E84" w:rsidRDefault="00037E84" w:rsidP="00037E84">
            <w:pPr>
              <w:jc w:val="both"/>
              <w:rPr>
                <w:szCs w:val="24"/>
                <w:lang w:eastAsia="lt-LT"/>
              </w:rPr>
            </w:pPr>
            <w:r>
              <w:rPr>
                <w:szCs w:val="24"/>
                <w:lang w:eastAsia="lt-LT"/>
              </w:rPr>
              <w:t>Privačiam subjektui planuojama perduoti Baseino įrengimo darbų</w:t>
            </w:r>
            <w:r w:rsidR="00F85E43">
              <w:rPr>
                <w:szCs w:val="24"/>
                <w:lang w:eastAsia="lt-LT"/>
              </w:rPr>
              <w:t xml:space="preserve">, įrangos montavimo darbų riziką. </w:t>
            </w:r>
            <w:r w:rsidR="00A9168E" w:rsidRPr="00A9168E">
              <w:rPr>
                <w:szCs w:val="24"/>
                <w:lang w:eastAsia="lt-LT"/>
              </w:rPr>
              <w:t xml:space="preserve">Pagal IP Baseino pastato statybos riziką, kuri nėra įtraukiama į Projekto rizikas, pasilieka MRSA. </w:t>
            </w:r>
            <w:r w:rsidRPr="00037E84">
              <w:rPr>
                <w:szCs w:val="24"/>
                <w:lang w:eastAsia="lt-LT"/>
              </w:rPr>
              <w:t>Projekto apimtyje</w:t>
            </w:r>
            <w:r w:rsidR="00F85E43">
              <w:rPr>
                <w:szCs w:val="24"/>
                <w:lang w:eastAsia="lt-LT"/>
              </w:rPr>
              <w:t xml:space="preserve"> numatytos statybos rizikos </w:t>
            </w:r>
            <w:r w:rsidRPr="00037E84">
              <w:rPr>
                <w:szCs w:val="24"/>
                <w:lang w:eastAsia="lt-LT"/>
              </w:rPr>
              <w:t>perdavimas privačiam subje</w:t>
            </w:r>
            <w:r w:rsidR="00055D3A">
              <w:rPr>
                <w:szCs w:val="24"/>
                <w:lang w:eastAsia="lt-LT"/>
              </w:rPr>
              <w:t>ktui yra pagrįstas ir logiškas, tačiau a</w:t>
            </w:r>
            <w:r w:rsidR="00F85E43">
              <w:rPr>
                <w:szCs w:val="24"/>
                <w:lang w:eastAsia="lt-LT"/>
              </w:rPr>
              <w:t>tsižvelgiant į tai, kad paties Baseino pastato statybos darbus atliks ne privatus subjektas (jam bus perduotas jau pastatytas Baseino pastatas), išlieka rizika</w:t>
            </w:r>
            <w:r w:rsidR="00730A3E">
              <w:rPr>
                <w:szCs w:val="24"/>
                <w:lang w:eastAsia="lt-LT"/>
              </w:rPr>
              <w:t>, kad dėl netinkamų</w:t>
            </w:r>
            <w:r w:rsidR="00F85E43">
              <w:rPr>
                <w:szCs w:val="24"/>
                <w:lang w:eastAsia="lt-LT"/>
              </w:rPr>
              <w:t xml:space="preserve"> </w:t>
            </w:r>
            <w:r w:rsidR="00730A3E">
              <w:rPr>
                <w:szCs w:val="24"/>
                <w:lang w:eastAsia="lt-LT"/>
              </w:rPr>
              <w:t xml:space="preserve">paties </w:t>
            </w:r>
            <w:r w:rsidR="00F85E43">
              <w:rPr>
                <w:szCs w:val="24"/>
                <w:lang w:eastAsia="lt-LT"/>
              </w:rPr>
              <w:t xml:space="preserve">Baseino pastato </w:t>
            </w:r>
            <w:r w:rsidR="00730A3E">
              <w:rPr>
                <w:szCs w:val="24"/>
                <w:lang w:eastAsia="lt-LT"/>
              </w:rPr>
              <w:t xml:space="preserve">statybos darbų, už kuriuos atsakingas MRSA rangovas, privatus subjektas negalės tinkamai atlikti Baseino įrengimo darbų arba įrengimo darbai vėluos dėl </w:t>
            </w:r>
            <w:r w:rsidR="00055D3A">
              <w:rPr>
                <w:szCs w:val="24"/>
                <w:lang w:eastAsia="lt-LT"/>
              </w:rPr>
              <w:t xml:space="preserve">Baseino </w:t>
            </w:r>
            <w:r w:rsidR="00730A3E">
              <w:rPr>
                <w:szCs w:val="24"/>
                <w:lang w:eastAsia="lt-LT"/>
              </w:rPr>
              <w:t>statybos defektų šalinimo ir pan.</w:t>
            </w:r>
            <w:r w:rsidR="00F85E43">
              <w:rPr>
                <w:szCs w:val="24"/>
                <w:lang w:eastAsia="lt-LT"/>
              </w:rPr>
              <w:t xml:space="preserve"> </w:t>
            </w:r>
            <w:r w:rsidR="00C84802">
              <w:rPr>
                <w:szCs w:val="24"/>
                <w:lang w:eastAsia="lt-LT"/>
              </w:rPr>
              <w:t xml:space="preserve">Koncesijos </w:t>
            </w:r>
            <w:r w:rsidR="00A9168E">
              <w:rPr>
                <w:szCs w:val="24"/>
                <w:lang w:eastAsia="lt-LT"/>
              </w:rPr>
              <w:t xml:space="preserve">sutarties projekte turėtų būti įtraukiama perduoto turto (Baseino pastato, teniso kortų) rizika </w:t>
            </w:r>
            <w:r w:rsidR="00055D3A">
              <w:rPr>
                <w:szCs w:val="24"/>
                <w:lang w:eastAsia="lt-LT"/>
              </w:rPr>
              <w:t>detaliai aprašant ir paskirsta</w:t>
            </w:r>
            <w:r w:rsidR="00A9168E">
              <w:rPr>
                <w:szCs w:val="24"/>
                <w:lang w:eastAsia="lt-LT"/>
              </w:rPr>
              <w:t>nt šią riziką sutarties šalims atsižvelgiant į tai, kuri šalis gali geriau ją suvaldyti.</w:t>
            </w:r>
          </w:p>
          <w:p w14:paraId="750820A9" w14:textId="77777777" w:rsidR="00037E84" w:rsidRPr="00037E84" w:rsidRDefault="00037E84" w:rsidP="00037E84">
            <w:pPr>
              <w:rPr>
                <w:szCs w:val="24"/>
                <w:lang w:eastAsia="lt-LT"/>
              </w:rPr>
            </w:pPr>
          </w:p>
          <w:p w14:paraId="53D9E4AF" w14:textId="77777777" w:rsidR="00037E84" w:rsidRPr="00037E84" w:rsidRDefault="00037E84" w:rsidP="00037E84">
            <w:pPr>
              <w:numPr>
                <w:ilvl w:val="0"/>
                <w:numId w:val="27"/>
              </w:numPr>
              <w:rPr>
                <w:szCs w:val="24"/>
                <w:lang w:eastAsia="lt-LT"/>
              </w:rPr>
            </w:pPr>
            <w:r w:rsidRPr="00037E84">
              <w:rPr>
                <w:szCs w:val="24"/>
                <w:u w:val="single"/>
                <w:lang w:eastAsia="lt-LT"/>
              </w:rPr>
              <w:t>Tinkamumo rizika</w:t>
            </w:r>
            <w:r w:rsidRPr="00037E84">
              <w:rPr>
                <w:szCs w:val="24"/>
                <w:lang w:eastAsia="lt-LT"/>
              </w:rPr>
              <w:t xml:space="preserve">. </w:t>
            </w:r>
          </w:p>
          <w:p w14:paraId="6926FFFD" w14:textId="0E9481A2" w:rsidR="00037E84" w:rsidRPr="00037E84" w:rsidRDefault="00037E84" w:rsidP="002D54B5">
            <w:pPr>
              <w:jc w:val="both"/>
              <w:rPr>
                <w:szCs w:val="24"/>
                <w:lang w:eastAsia="lt-LT"/>
              </w:rPr>
            </w:pPr>
            <w:r w:rsidRPr="00037E84">
              <w:rPr>
                <w:szCs w:val="24"/>
                <w:lang w:eastAsia="lt-LT"/>
              </w:rPr>
              <w:t xml:space="preserve">Viešųjų paslaugų ir ūkinės komercinės veiklos tinkamumo rizika pilnai perduodama privačiam subjektui, kas atitinka Koncesijų įstatymo ir metodinių rekomendacijų reikalavimus. Tačiau atkreiptinas dėmesys, kad </w:t>
            </w:r>
            <w:r w:rsidR="00795944">
              <w:rPr>
                <w:szCs w:val="24"/>
                <w:lang w:eastAsia="lt-LT"/>
              </w:rPr>
              <w:t>Baseino pastatą pastatys MRSA</w:t>
            </w:r>
            <w:r w:rsidRPr="00037E84">
              <w:rPr>
                <w:szCs w:val="24"/>
                <w:lang w:eastAsia="lt-LT"/>
              </w:rPr>
              <w:t xml:space="preserve">, o </w:t>
            </w:r>
            <w:r w:rsidR="00795944">
              <w:rPr>
                <w:szCs w:val="24"/>
                <w:lang w:eastAsia="lt-LT"/>
              </w:rPr>
              <w:t xml:space="preserve">Baseino įrengimo darbus ir </w:t>
            </w:r>
            <w:r w:rsidRPr="00037E84">
              <w:rPr>
                <w:szCs w:val="24"/>
                <w:lang w:eastAsia="lt-LT"/>
              </w:rPr>
              <w:t xml:space="preserve">būklės palaikymo ir infrastruktūros / paslaugų tinkamumo riziką planuojama perduoti privačiam subjektui, </w:t>
            </w:r>
            <w:r w:rsidR="00795944">
              <w:rPr>
                <w:szCs w:val="24"/>
                <w:lang w:eastAsia="lt-LT"/>
              </w:rPr>
              <w:t xml:space="preserve">todėl </w:t>
            </w:r>
            <w:r w:rsidRPr="00037E84">
              <w:rPr>
                <w:szCs w:val="24"/>
                <w:lang w:eastAsia="lt-LT"/>
              </w:rPr>
              <w:t xml:space="preserve">yra rizika, kad koncesijos suteikimo konkurso metu privatūs subjektai arba brangiai įsivertins šią riziką, arba </w:t>
            </w:r>
            <w:r w:rsidR="00795944">
              <w:rPr>
                <w:szCs w:val="24"/>
                <w:lang w:eastAsia="lt-LT"/>
              </w:rPr>
              <w:t>reikalaus, kad ją pasiliktų MRSA</w:t>
            </w:r>
            <w:r w:rsidRPr="00037E84">
              <w:rPr>
                <w:szCs w:val="24"/>
                <w:lang w:eastAsia="lt-LT"/>
              </w:rPr>
              <w:t xml:space="preserve"> - dėl netinkamo </w:t>
            </w:r>
            <w:r w:rsidR="00795944">
              <w:rPr>
                <w:szCs w:val="24"/>
                <w:lang w:eastAsia="lt-LT"/>
              </w:rPr>
              <w:t xml:space="preserve">Baseino </w:t>
            </w:r>
            <w:r w:rsidRPr="00037E84">
              <w:rPr>
                <w:szCs w:val="24"/>
                <w:lang w:eastAsia="lt-LT"/>
              </w:rPr>
              <w:t xml:space="preserve">projektavimo / statybos darbų gali iškilti grėsmė, kad privatus subjektas negalės teikti tinkamos kokybės paslaugų ir / ar vykdyti ūkinę komercinę veiklą, dėl ko patirs nuostolius. </w:t>
            </w:r>
          </w:p>
          <w:p w14:paraId="183774C3" w14:textId="77777777" w:rsidR="00037E84" w:rsidRPr="00037E84" w:rsidRDefault="00037E84" w:rsidP="00037E84">
            <w:pPr>
              <w:rPr>
                <w:szCs w:val="24"/>
                <w:lang w:eastAsia="lt-LT"/>
              </w:rPr>
            </w:pPr>
          </w:p>
          <w:p w14:paraId="22872D3D" w14:textId="77777777" w:rsidR="00037E84" w:rsidRPr="00037E84" w:rsidRDefault="00037E84" w:rsidP="00037E84">
            <w:pPr>
              <w:numPr>
                <w:ilvl w:val="0"/>
                <w:numId w:val="27"/>
              </w:numPr>
              <w:rPr>
                <w:szCs w:val="24"/>
                <w:lang w:eastAsia="lt-LT"/>
              </w:rPr>
            </w:pPr>
            <w:r w:rsidRPr="00037E84">
              <w:rPr>
                <w:szCs w:val="24"/>
                <w:u w:val="single"/>
                <w:lang w:eastAsia="lt-LT"/>
              </w:rPr>
              <w:t>Paklausos rizika</w:t>
            </w:r>
            <w:r w:rsidRPr="00037E84">
              <w:rPr>
                <w:szCs w:val="24"/>
                <w:lang w:eastAsia="lt-LT"/>
              </w:rPr>
              <w:t xml:space="preserve">. </w:t>
            </w:r>
          </w:p>
          <w:p w14:paraId="36DF532E" w14:textId="0E3C4F80" w:rsidR="00037E84" w:rsidRPr="00D70A0E" w:rsidRDefault="00037E84" w:rsidP="000263A8">
            <w:pPr>
              <w:jc w:val="both"/>
              <w:rPr>
                <w:szCs w:val="24"/>
                <w:lang w:eastAsia="lt-LT"/>
              </w:rPr>
            </w:pPr>
            <w:r w:rsidRPr="00037E84">
              <w:rPr>
                <w:szCs w:val="24"/>
                <w:lang w:eastAsia="lt-LT"/>
              </w:rPr>
              <w:t>Iš dalies</w:t>
            </w:r>
            <w:r w:rsidR="00587CD2">
              <w:rPr>
                <w:szCs w:val="24"/>
                <w:lang w:eastAsia="lt-LT"/>
              </w:rPr>
              <w:t xml:space="preserve"> paklausos riziką pasilieka MRSA</w:t>
            </w:r>
            <w:r w:rsidRPr="00037E84">
              <w:rPr>
                <w:szCs w:val="24"/>
                <w:lang w:eastAsia="lt-LT"/>
              </w:rPr>
              <w:t>, kadangi yra poreikis mokslei</w:t>
            </w:r>
            <w:r w:rsidR="000263A8">
              <w:rPr>
                <w:szCs w:val="24"/>
                <w:lang w:eastAsia="lt-LT"/>
              </w:rPr>
              <w:t>viams naudotis B</w:t>
            </w:r>
            <w:r w:rsidRPr="00037E84">
              <w:rPr>
                <w:szCs w:val="24"/>
                <w:lang w:eastAsia="lt-LT"/>
              </w:rPr>
              <w:t xml:space="preserve">aseino </w:t>
            </w:r>
            <w:r w:rsidR="000263A8">
              <w:rPr>
                <w:szCs w:val="24"/>
                <w:lang w:eastAsia="lt-LT"/>
              </w:rPr>
              <w:t xml:space="preserve">ir teniso kortų </w:t>
            </w:r>
            <w:r w:rsidRPr="00037E84">
              <w:rPr>
                <w:szCs w:val="24"/>
                <w:lang w:eastAsia="lt-LT"/>
              </w:rPr>
              <w:t>viešosiomis paslaugomis. Tačiau didesnė dalis paklausos rizikos perduodama privačiam subjektui, kas atitinka Koncesijų įstatymo ir metodinių rekomendacijų reikalavimus.</w:t>
            </w:r>
            <w:r w:rsidR="00D70A0E">
              <w:rPr>
                <w:szCs w:val="24"/>
                <w:lang w:eastAsia="lt-LT"/>
              </w:rPr>
              <w:t xml:space="preserve"> Kadangi planuojamas koncesijos, o ne VžPP projektas, pažymėtina, kad MRSA neturėtų prisiimti VPSP skaičiuoklės </w:t>
            </w:r>
            <w:r w:rsidR="00D70A0E" w:rsidRPr="00D70A0E">
              <w:rPr>
                <w:szCs w:val="24"/>
                <w:lang w:eastAsia="lt-LT"/>
              </w:rPr>
              <w:t>6.3 darbalaukyje</w:t>
            </w:r>
            <w:r w:rsidR="00D70A0E">
              <w:rPr>
                <w:szCs w:val="24"/>
                <w:lang w:eastAsia="lt-LT"/>
              </w:rPr>
              <w:t xml:space="preserve"> nurodytos</w:t>
            </w:r>
            <w:r w:rsidR="00D70A0E" w:rsidRPr="00D70A0E">
              <w:rPr>
                <w:szCs w:val="24"/>
                <w:lang w:eastAsia="lt-LT"/>
              </w:rPr>
              <w:t xml:space="preserve"> demografini</w:t>
            </w:r>
            <w:r w:rsidR="00D70A0E">
              <w:rPr>
                <w:szCs w:val="24"/>
                <w:lang w:eastAsia="lt-LT"/>
              </w:rPr>
              <w:t>ų veiksnių pasikeitimo rizikos (</w:t>
            </w:r>
            <w:r w:rsidR="00D70A0E" w:rsidRPr="00D70A0E">
              <w:rPr>
                <w:szCs w:val="24"/>
                <w:lang w:eastAsia="lt-LT"/>
              </w:rPr>
              <w:t>7.</w:t>
            </w:r>
            <w:r w:rsidR="00D70A0E">
              <w:rPr>
                <w:szCs w:val="24"/>
                <w:lang w:eastAsia="lt-LT"/>
              </w:rPr>
              <w:t>5 punktas), ši rizika turėtų būti perduota privačiam subjektui ar ja galėtų būti dalinamasi.</w:t>
            </w:r>
          </w:p>
          <w:p w14:paraId="3086D345" w14:textId="77777777" w:rsidR="00037E84" w:rsidRPr="00037E84" w:rsidRDefault="00037E84" w:rsidP="000263A8">
            <w:pPr>
              <w:jc w:val="both"/>
              <w:rPr>
                <w:szCs w:val="24"/>
                <w:lang w:eastAsia="lt-LT"/>
              </w:rPr>
            </w:pPr>
          </w:p>
          <w:p w14:paraId="3F63C373" w14:textId="26F2A694" w:rsidR="00037E84" w:rsidRPr="00037E84" w:rsidRDefault="00037E84" w:rsidP="000263A8">
            <w:pPr>
              <w:jc w:val="both"/>
              <w:rPr>
                <w:szCs w:val="24"/>
                <w:lang w:eastAsia="lt-LT"/>
              </w:rPr>
            </w:pPr>
            <w:r w:rsidRPr="00037E84">
              <w:rPr>
                <w:szCs w:val="24"/>
                <w:lang w:eastAsia="lt-LT"/>
              </w:rPr>
              <w:t xml:space="preserve">Įvertinus pateiktą informaciją, galima daryti išvadą, kad rizikos Projekte įvertintos pagrįstai ir priskirtos tai šaliai, kuri geriau gali ją valdyti, išskyrus </w:t>
            </w:r>
            <w:r w:rsidR="000263A8">
              <w:rPr>
                <w:szCs w:val="24"/>
                <w:lang w:eastAsia="lt-LT"/>
              </w:rPr>
              <w:t xml:space="preserve">Baseino </w:t>
            </w:r>
            <w:r w:rsidR="00420232">
              <w:rPr>
                <w:szCs w:val="24"/>
                <w:lang w:eastAsia="lt-LT"/>
              </w:rPr>
              <w:t xml:space="preserve">būklės </w:t>
            </w:r>
            <w:r w:rsidRPr="00037E84">
              <w:rPr>
                <w:szCs w:val="24"/>
                <w:lang w:eastAsia="lt-LT"/>
              </w:rPr>
              <w:t xml:space="preserve">palaikymo ir tinkamumo vykdyti kokybiškas veiklas rizika. Šios rizikos vertinimas gali turėti neigiamos įtakos rizikų paskirstymo vertinimui, jeigu koncesijos suteikimo konkurso metu bus nuspręsta </w:t>
            </w:r>
            <w:r w:rsidR="00420232">
              <w:rPr>
                <w:szCs w:val="24"/>
                <w:lang w:eastAsia="lt-LT"/>
              </w:rPr>
              <w:t xml:space="preserve">Baseino </w:t>
            </w:r>
            <w:r w:rsidRPr="00037E84">
              <w:rPr>
                <w:szCs w:val="24"/>
                <w:lang w:eastAsia="lt-LT"/>
              </w:rPr>
              <w:t xml:space="preserve">būklės palaikymo, jo tinkamumo vykdyti veiklą rizikas dalintis </w:t>
            </w:r>
            <w:r w:rsidR="00420232">
              <w:rPr>
                <w:szCs w:val="24"/>
                <w:lang w:eastAsia="lt-LT"/>
              </w:rPr>
              <w:t>arba pilna apimtimi palikti MRSA</w:t>
            </w:r>
            <w:r w:rsidRPr="00037E84">
              <w:rPr>
                <w:szCs w:val="24"/>
                <w:lang w:eastAsia="lt-LT"/>
              </w:rPr>
              <w:t xml:space="preserve">. Jeigu koncesijos suteikimo konkurso metu būtų nuspręsta </w:t>
            </w:r>
            <w:r w:rsidR="00420232">
              <w:rPr>
                <w:szCs w:val="24"/>
                <w:lang w:eastAsia="lt-LT"/>
              </w:rPr>
              <w:t xml:space="preserve">Baseino </w:t>
            </w:r>
            <w:r w:rsidRPr="00037E84">
              <w:rPr>
                <w:szCs w:val="24"/>
                <w:lang w:eastAsia="lt-LT"/>
              </w:rPr>
              <w:t>būklės palaikymo / tinkamumo vykdyti veiklas</w:t>
            </w:r>
            <w:r w:rsidR="00420232">
              <w:rPr>
                <w:szCs w:val="24"/>
                <w:lang w:eastAsia="lt-LT"/>
              </w:rPr>
              <w:t xml:space="preserve"> rizikomis dalintis su MRSA arba jas perduoti MRSA</w:t>
            </w:r>
            <w:r w:rsidRPr="00037E84">
              <w:rPr>
                <w:szCs w:val="24"/>
                <w:lang w:eastAsia="lt-LT"/>
              </w:rPr>
              <w:t xml:space="preserve"> visa apimtimi, tokiu atveju kiltų abejonė ir iš naujo reikėtų </w:t>
            </w:r>
            <w:r w:rsidRPr="00037E84">
              <w:rPr>
                <w:szCs w:val="24"/>
                <w:lang w:eastAsia="lt-LT"/>
              </w:rPr>
              <w:lastRenderedPageBreak/>
              <w:t xml:space="preserve">įvertinti ar toks Projektas vis dar atitinka VPSP požymius bei Koncesijos įstatymo reikalavimus, kad visa arba didesnė dalis rizikų (statybos, tinkamumo ir paklausos) būtų perduodamos privačiam subjektui. </w:t>
            </w:r>
          </w:p>
          <w:p w14:paraId="714DF442" w14:textId="77777777" w:rsidR="00037E84" w:rsidRPr="00037E84" w:rsidRDefault="00037E84" w:rsidP="000263A8">
            <w:pPr>
              <w:jc w:val="both"/>
              <w:rPr>
                <w:szCs w:val="24"/>
                <w:lang w:eastAsia="lt-LT"/>
              </w:rPr>
            </w:pPr>
          </w:p>
          <w:p w14:paraId="4259D7F4" w14:textId="5B3F353F" w:rsidR="009A0866" w:rsidRPr="00954A46" w:rsidRDefault="00037E84" w:rsidP="000263A8">
            <w:pPr>
              <w:jc w:val="both"/>
              <w:rPr>
                <w:szCs w:val="24"/>
                <w:lang w:eastAsia="lt-LT"/>
              </w:rPr>
            </w:pPr>
            <w:r w:rsidRPr="00037E84">
              <w:rPr>
                <w:szCs w:val="24"/>
                <w:lang w:eastAsia="lt-LT"/>
              </w:rPr>
              <w:t>Pagal pateiktą informacij</w:t>
            </w:r>
            <w:r w:rsidR="00420232">
              <w:rPr>
                <w:szCs w:val="24"/>
                <w:lang w:eastAsia="lt-LT"/>
              </w:rPr>
              <w:t>ą, rizikų priskyrimas atitinka</w:t>
            </w:r>
            <w:r w:rsidRPr="00037E84">
              <w:rPr>
                <w:szCs w:val="24"/>
                <w:lang w:eastAsia="lt-LT"/>
              </w:rPr>
              <w:t xml:space="preserve"> Europos Sąjungos statistikos tarnybos (Eurostato) reikalavimus, kad statybos, tinkamumo rizikos pilnai, o paklausos – didesne dalimi, būtų perduotos privačiam subjektui, todėl šiame etape nenustatyta prielaidų, kad turtas,</w:t>
            </w:r>
            <w:r w:rsidR="00420232">
              <w:rPr>
                <w:szCs w:val="24"/>
                <w:lang w:eastAsia="lt-LT"/>
              </w:rPr>
              <w:t xml:space="preserve"> sukurtas partnerystės sutarties </w:t>
            </w:r>
            <w:r w:rsidRPr="00037E84">
              <w:rPr>
                <w:szCs w:val="24"/>
                <w:lang w:eastAsia="lt-LT"/>
              </w:rPr>
              <w:t>metu</w:t>
            </w:r>
            <w:r w:rsidR="00420232">
              <w:rPr>
                <w:szCs w:val="24"/>
                <w:lang w:eastAsia="lt-LT"/>
              </w:rPr>
              <w:t>,</w:t>
            </w:r>
            <w:r w:rsidRPr="00037E84">
              <w:rPr>
                <w:szCs w:val="24"/>
                <w:lang w:eastAsia="lt-LT"/>
              </w:rPr>
              <w:t xml:space="preserve"> </w:t>
            </w:r>
            <w:r w:rsidRPr="000744B3">
              <w:rPr>
                <w:szCs w:val="24"/>
                <w:lang w:eastAsia="lt-LT"/>
              </w:rPr>
              <w:t>būtų apskaitomas viešojo sektoriaus balan</w:t>
            </w:r>
            <w:r w:rsidR="00420232" w:rsidRPr="000744B3">
              <w:rPr>
                <w:szCs w:val="24"/>
                <w:lang w:eastAsia="lt-LT"/>
              </w:rPr>
              <w:t>se, kas įtakotų valstybės / Molėtų rajono savivaldybės</w:t>
            </w:r>
            <w:r w:rsidRPr="000744B3">
              <w:rPr>
                <w:szCs w:val="24"/>
                <w:lang w:eastAsia="lt-LT"/>
              </w:rPr>
              <w:t xml:space="preserve"> skolą.</w:t>
            </w:r>
          </w:p>
        </w:tc>
      </w:tr>
    </w:tbl>
    <w:p w14:paraId="267B3836" w14:textId="77777777" w:rsidR="009A0866" w:rsidRPr="00BF47BA" w:rsidRDefault="009A0866" w:rsidP="009A0866"/>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428"/>
        <w:gridCol w:w="3428"/>
        <w:gridCol w:w="3458"/>
      </w:tblGrid>
      <w:tr w:rsidR="0058474C" w:rsidRPr="0058474C" w14:paraId="3831FB64" w14:textId="77777777" w:rsidTr="00D455F3">
        <w:tc>
          <w:tcPr>
            <w:tcW w:w="5000" w:type="pct"/>
            <w:gridSpan w:val="4"/>
            <w:shd w:val="clear" w:color="auto" w:fill="D9D9D9" w:themeFill="background1" w:themeFillShade="D9"/>
          </w:tcPr>
          <w:p w14:paraId="60019806" w14:textId="77777777" w:rsidR="0058474C" w:rsidRPr="0058474C" w:rsidRDefault="0058474C" w:rsidP="0058474C">
            <w:pPr>
              <w:jc w:val="center"/>
              <w:rPr>
                <w:b/>
                <w:szCs w:val="24"/>
                <w:lang w:eastAsia="lt-LT"/>
              </w:rPr>
            </w:pPr>
            <w:r w:rsidRPr="0058474C">
              <w:rPr>
                <w:b/>
                <w:szCs w:val="24"/>
                <w:lang w:eastAsia="lt-LT"/>
              </w:rPr>
              <w:t>8. Partnerystės finansiniai rodikliai, Eur</w:t>
            </w:r>
          </w:p>
        </w:tc>
      </w:tr>
      <w:tr w:rsidR="0058474C" w:rsidRPr="0058474C" w14:paraId="04AED435" w14:textId="77777777" w:rsidTr="00D455F3">
        <w:tc>
          <w:tcPr>
            <w:tcW w:w="1248" w:type="pct"/>
            <w:shd w:val="clear" w:color="auto" w:fill="D9D9D9" w:themeFill="background1" w:themeFillShade="D9"/>
          </w:tcPr>
          <w:p w14:paraId="708603AA" w14:textId="77777777" w:rsidR="0058474C" w:rsidRPr="0058474C" w:rsidRDefault="0058474C" w:rsidP="0058474C"/>
        </w:tc>
        <w:tc>
          <w:tcPr>
            <w:tcW w:w="1247" w:type="pct"/>
            <w:shd w:val="clear" w:color="auto" w:fill="D9D9D9" w:themeFill="background1" w:themeFillShade="D9"/>
          </w:tcPr>
          <w:p w14:paraId="604796E1" w14:textId="77777777" w:rsidR="0058474C" w:rsidRPr="0058474C" w:rsidRDefault="0058474C" w:rsidP="0058474C">
            <w:pPr>
              <w:jc w:val="center"/>
              <w:rPr>
                <w:b/>
                <w:szCs w:val="24"/>
                <w:lang w:eastAsia="lt-LT"/>
              </w:rPr>
            </w:pPr>
            <w:r w:rsidRPr="0058474C">
              <w:rPr>
                <w:b/>
                <w:szCs w:val="24"/>
                <w:lang w:eastAsia="lt-LT"/>
              </w:rPr>
              <w:t>Diskontuota vertė</w:t>
            </w:r>
          </w:p>
        </w:tc>
        <w:tc>
          <w:tcPr>
            <w:tcW w:w="1247" w:type="pct"/>
            <w:shd w:val="clear" w:color="auto" w:fill="D9D9D9" w:themeFill="background1" w:themeFillShade="D9"/>
          </w:tcPr>
          <w:p w14:paraId="357414F9" w14:textId="77777777" w:rsidR="0058474C" w:rsidRPr="0058474C" w:rsidRDefault="0058474C" w:rsidP="0058474C">
            <w:pPr>
              <w:jc w:val="center"/>
              <w:rPr>
                <w:b/>
                <w:szCs w:val="24"/>
                <w:lang w:eastAsia="lt-LT"/>
              </w:rPr>
            </w:pPr>
            <w:r w:rsidRPr="0058474C">
              <w:rPr>
                <w:b/>
                <w:szCs w:val="24"/>
                <w:lang w:eastAsia="lt-LT"/>
              </w:rPr>
              <w:t>Reali vertė</w:t>
            </w:r>
          </w:p>
        </w:tc>
        <w:tc>
          <w:tcPr>
            <w:tcW w:w="1258" w:type="pct"/>
            <w:shd w:val="clear" w:color="auto" w:fill="D9D9D9" w:themeFill="background1" w:themeFillShade="D9"/>
          </w:tcPr>
          <w:p w14:paraId="41556920" w14:textId="77777777" w:rsidR="0058474C" w:rsidRPr="0058474C" w:rsidRDefault="0058474C" w:rsidP="0058474C">
            <w:pPr>
              <w:jc w:val="center"/>
              <w:rPr>
                <w:b/>
                <w:szCs w:val="24"/>
                <w:lang w:eastAsia="lt-LT"/>
              </w:rPr>
            </w:pPr>
            <w:r w:rsidRPr="0058474C">
              <w:rPr>
                <w:b/>
                <w:szCs w:val="24"/>
                <w:lang w:eastAsia="lt-LT"/>
              </w:rPr>
              <w:t>Nominali vertė</w:t>
            </w:r>
            <w:r w:rsidRPr="0058474C">
              <w:rPr>
                <w:b/>
                <w:szCs w:val="24"/>
                <w:vertAlign w:val="superscript"/>
                <w:lang w:eastAsia="lt-LT"/>
              </w:rPr>
              <w:footnoteReference w:id="9"/>
            </w:r>
          </w:p>
        </w:tc>
      </w:tr>
      <w:tr w:rsidR="0058474C" w:rsidRPr="0058474C" w14:paraId="27B282C1" w14:textId="77777777" w:rsidTr="00D455F3">
        <w:tc>
          <w:tcPr>
            <w:tcW w:w="1248" w:type="pct"/>
            <w:shd w:val="clear" w:color="auto" w:fill="D9D9D9" w:themeFill="background1" w:themeFillShade="D9"/>
          </w:tcPr>
          <w:p w14:paraId="420FB817" w14:textId="77777777" w:rsidR="0058474C" w:rsidRPr="0058474C" w:rsidRDefault="0058474C" w:rsidP="0058474C">
            <w:pPr>
              <w:rPr>
                <w:szCs w:val="24"/>
                <w:lang w:eastAsia="lt-LT"/>
              </w:rPr>
            </w:pPr>
            <w:r w:rsidRPr="0058474C">
              <w:rPr>
                <w:b/>
                <w:szCs w:val="24"/>
                <w:lang w:eastAsia="lt-LT"/>
              </w:rPr>
              <w:t>8.1. Koncesijos projektas</w:t>
            </w:r>
          </w:p>
        </w:tc>
        <w:tc>
          <w:tcPr>
            <w:tcW w:w="1247" w:type="pct"/>
          </w:tcPr>
          <w:p w14:paraId="70162517" w14:textId="77777777" w:rsidR="0058474C" w:rsidRPr="0058474C" w:rsidRDefault="0058474C" w:rsidP="0058474C">
            <w:pPr>
              <w:rPr>
                <w:b/>
                <w:szCs w:val="24"/>
              </w:rPr>
            </w:pPr>
          </w:p>
        </w:tc>
        <w:tc>
          <w:tcPr>
            <w:tcW w:w="1247" w:type="pct"/>
          </w:tcPr>
          <w:p w14:paraId="1C99E249" w14:textId="77777777" w:rsidR="0058474C" w:rsidRPr="0058474C" w:rsidRDefault="0058474C" w:rsidP="0058474C">
            <w:pPr>
              <w:rPr>
                <w:b/>
                <w:szCs w:val="24"/>
                <w:lang w:eastAsia="lt-LT"/>
              </w:rPr>
            </w:pPr>
          </w:p>
        </w:tc>
        <w:tc>
          <w:tcPr>
            <w:tcW w:w="1258" w:type="pct"/>
          </w:tcPr>
          <w:p w14:paraId="568AD8F8" w14:textId="77777777" w:rsidR="0058474C" w:rsidRPr="0058474C" w:rsidRDefault="0058474C" w:rsidP="0058474C">
            <w:pPr>
              <w:rPr>
                <w:b/>
                <w:szCs w:val="24"/>
                <w:lang w:eastAsia="lt-LT"/>
              </w:rPr>
            </w:pPr>
          </w:p>
        </w:tc>
      </w:tr>
      <w:tr w:rsidR="0058474C" w:rsidRPr="0058474C" w14:paraId="5867FDC0" w14:textId="77777777" w:rsidTr="00D455F3">
        <w:tc>
          <w:tcPr>
            <w:tcW w:w="1248" w:type="pct"/>
            <w:shd w:val="clear" w:color="auto" w:fill="D9D9D9" w:themeFill="background1" w:themeFillShade="D9"/>
          </w:tcPr>
          <w:p w14:paraId="064EE5BB" w14:textId="77777777" w:rsidR="0058474C" w:rsidRPr="0058474C" w:rsidRDefault="0058474C" w:rsidP="0058474C">
            <w:pPr>
              <w:rPr>
                <w:szCs w:val="24"/>
                <w:lang w:eastAsia="lt-LT"/>
              </w:rPr>
            </w:pPr>
            <w:r w:rsidRPr="0058474C">
              <w:rPr>
                <w:szCs w:val="24"/>
                <w:lang w:eastAsia="lt-LT"/>
              </w:rPr>
              <w:t xml:space="preserve">8.1.1. Maksimalūs viešojo subjekto turtiniai įsipareigojimai VPSP projekte (su PVM) </w:t>
            </w:r>
            <w:r w:rsidRPr="0058474C">
              <w:rPr>
                <w:szCs w:val="24"/>
                <w:vertAlign w:val="superscript"/>
                <w:lang w:eastAsia="lt-LT"/>
              </w:rPr>
              <w:footnoteReference w:id="10"/>
            </w:r>
          </w:p>
        </w:tc>
        <w:tc>
          <w:tcPr>
            <w:tcW w:w="1247" w:type="pct"/>
          </w:tcPr>
          <w:p w14:paraId="1BCFF294" w14:textId="77777777" w:rsidR="0058474C" w:rsidRPr="0058474C" w:rsidRDefault="0058474C" w:rsidP="0058474C">
            <w:pPr>
              <w:jc w:val="center"/>
              <w:rPr>
                <w:szCs w:val="24"/>
              </w:rPr>
            </w:pPr>
            <w:r w:rsidRPr="0058474C">
              <w:t>5,404,127</w:t>
            </w:r>
          </w:p>
        </w:tc>
        <w:tc>
          <w:tcPr>
            <w:tcW w:w="1247" w:type="pct"/>
          </w:tcPr>
          <w:p w14:paraId="1399E1B9" w14:textId="77777777" w:rsidR="0058474C" w:rsidRPr="0058474C" w:rsidRDefault="0058474C" w:rsidP="0058474C">
            <w:pPr>
              <w:jc w:val="center"/>
              <w:rPr>
                <w:szCs w:val="24"/>
                <w:lang w:eastAsia="lt-LT"/>
              </w:rPr>
            </w:pPr>
            <w:r w:rsidRPr="0058474C">
              <w:t>7,253,415</w:t>
            </w:r>
          </w:p>
        </w:tc>
        <w:tc>
          <w:tcPr>
            <w:tcW w:w="1258" w:type="pct"/>
          </w:tcPr>
          <w:p w14:paraId="11753467" w14:textId="77777777" w:rsidR="0058474C" w:rsidRPr="0058474C" w:rsidRDefault="0058474C" w:rsidP="0058474C">
            <w:pPr>
              <w:jc w:val="center"/>
              <w:rPr>
                <w:szCs w:val="24"/>
                <w:lang w:eastAsia="lt-LT"/>
              </w:rPr>
            </w:pPr>
            <w:r w:rsidRPr="0058474C">
              <w:t>9,236,852</w:t>
            </w:r>
          </w:p>
        </w:tc>
      </w:tr>
      <w:tr w:rsidR="0058474C" w:rsidRPr="0058474C" w14:paraId="6EA4A06C" w14:textId="77777777" w:rsidTr="00D455F3">
        <w:tc>
          <w:tcPr>
            <w:tcW w:w="1248" w:type="pct"/>
            <w:shd w:val="clear" w:color="auto" w:fill="D9D9D9" w:themeFill="background1" w:themeFillShade="D9"/>
          </w:tcPr>
          <w:p w14:paraId="287EA0A5" w14:textId="77777777" w:rsidR="0058474C" w:rsidRPr="0058474C" w:rsidRDefault="0058474C" w:rsidP="0058474C">
            <w:pPr>
              <w:rPr>
                <w:szCs w:val="24"/>
                <w:lang w:eastAsia="lt-LT"/>
              </w:rPr>
            </w:pPr>
            <w:r w:rsidRPr="0058474C">
              <w:rPr>
                <w:szCs w:val="24"/>
                <w:lang w:eastAsia="lt-LT"/>
              </w:rPr>
              <w:t>8.1.2. Maksimalūs Viešojo subjekto mokėjimai privačiam subjektui</w:t>
            </w:r>
            <w:r w:rsidRPr="0058474C">
              <w:rPr>
                <w:szCs w:val="24"/>
                <w:vertAlign w:val="superscript"/>
                <w:lang w:eastAsia="lt-LT"/>
              </w:rPr>
              <w:footnoteReference w:id="11"/>
            </w:r>
            <w:r w:rsidRPr="0058474C">
              <w:rPr>
                <w:szCs w:val="24"/>
                <w:lang w:eastAsia="lt-LT"/>
              </w:rPr>
              <w:t xml:space="preserve"> (su PVM)</w:t>
            </w:r>
          </w:p>
        </w:tc>
        <w:tc>
          <w:tcPr>
            <w:tcW w:w="1247" w:type="pct"/>
          </w:tcPr>
          <w:p w14:paraId="1CE59104" w14:textId="77777777" w:rsidR="0058474C" w:rsidRPr="0058474C" w:rsidRDefault="0058474C" w:rsidP="0058474C">
            <w:pPr>
              <w:jc w:val="center"/>
              <w:rPr>
                <w:szCs w:val="24"/>
              </w:rPr>
            </w:pPr>
            <w:r w:rsidRPr="0058474C">
              <w:t>4,969,068</w:t>
            </w:r>
          </w:p>
        </w:tc>
        <w:tc>
          <w:tcPr>
            <w:tcW w:w="1247" w:type="pct"/>
          </w:tcPr>
          <w:p w14:paraId="2DF90D56" w14:textId="77777777" w:rsidR="0058474C" w:rsidRPr="0058474C" w:rsidRDefault="0058474C" w:rsidP="0058474C">
            <w:pPr>
              <w:jc w:val="center"/>
              <w:rPr>
                <w:szCs w:val="24"/>
                <w:lang w:eastAsia="lt-LT"/>
              </w:rPr>
            </w:pPr>
            <w:r w:rsidRPr="0058474C">
              <w:t>6,674,217</w:t>
            </w:r>
          </w:p>
        </w:tc>
        <w:tc>
          <w:tcPr>
            <w:tcW w:w="1258" w:type="pct"/>
          </w:tcPr>
          <w:p w14:paraId="46816FA3" w14:textId="77777777" w:rsidR="0058474C" w:rsidRPr="0058474C" w:rsidRDefault="0058474C" w:rsidP="0058474C">
            <w:pPr>
              <w:ind w:right="-44"/>
              <w:jc w:val="center"/>
              <w:rPr>
                <w:szCs w:val="24"/>
                <w:lang w:eastAsia="lt-LT"/>
              </w:rPr>
            </w:pPr>
            <w:r w:rsidRPr="0058474C">
              <w:t>8,503,202</w:t>
            </w:r>
          </w:p>
        </w:tc>
      </w:tr>
      <w:tr w:rsidR="0058474C" w:rsidRPr="0058474C" w14:paraId="7DA56336" w14:textId="77777777" w:rsidTr="00D455F3">
        <w:tc>
          <w:tcPr>
            <w:tcW w:w="1248" w:type="pct"/>
            <w:shd w:val="clear" w:color="auto" w:fill="D9D9D9" w:themeFill="background1" w:themeFillShade="D9"/>
          </w:tcPr>
          <w:p w14:paraId="3CAB31C4" w14:textId="77777777" w:rsidR="0058474C" w:rsidRPr="0058474C" w:rsidRDefault="0058474C" w:rsidP="0058474C">
            <w:pPr>
              <w:rPr>
                <w:szCs w:val="24"/>
                <w:lang w:eastAsia="lt-LT"/>
              </w:rPr>
            </w:pPr>
            <w:r w:rsidRPr="0058474C">
              <w:rPr>
                <w:szCs w:val="24"/>
                <w:lang w:eastAsia="lt-LT"/>
              </w:rPr>
              <w:t>8.1.3. Prisiimami viešojo subjekto turtiniai įsipareigojimai PP</w:t>
            </w:r>
            <w:r w:rsidRPr="0058474C">
              <w:rPr>
                <w:szCs w:val="24"/>
                <w:vertAlign w:val="superscript"/>
                <w:lang w:eastAsia="lt-LT"/>
              </w:rPr>
              <w:footnoteReference w:id="12"/>
            </w:r>
            <w:r w:rsidRPr="0058474C">
              <w:rPr>
                <w:szCs w:val="24"/>
                <w:lang w:eastAsia="lt-LT"/>
              </w:rPr>
              <w:t xml:space="preserve"> (su PVM)</w:t>
            </w:r>
          </w:p>
        </w:tc>
        <w:tc>
          <w:tcPr>
            <w:tcW w:w="1247" w:type="pct"/>
          </w:tcPr>
          <w:p w14:paraId="0EA100A7" w14:textId="77777777" w:rsidR="0058474C" w:rsidRPr="0058474C" w:rsidRDefault="0058474C" w:rsidP="0058474C">
            <w:pPr>
              <w:jc w:val="center"/>
              <w:rPr>
                <w:szCs w:val="24"/>
                <w:lang w:eastAsia="lt-LT"/>
              </w:rPr>
            </w:pPr>
            <w:r w:rsidRPr="0058474C">
              <w:t>435,059</w:t>
            </w:r>
          </w:p>
        </w:tc>
        <w:tc>
          <w:tcPr>
            <w:tcW w:w="1247" w:type="pct"/>
          </w:tcPr>
          <w:p w14:paraId="51A2AEFB" w14:textId="77777777" w:rsidR="0058474C" w:rsidRPr="0058474C" w:rsidRDefault="0058474C" w:rsidP="0058474C">
            <w:pPr>
              <w:jc w:val="center"/>
              <w:rPr>
                <w:szCs w:val="24"/>
                <w:lang w:eastAsia="lt-LT"/>
              </w:rPr>
            </w:pPr>
            <w:r w:rsidRPr="0058474C">
              <w:t>579,199</w:t>
            </w:r>
          </w:p>
        </w:tc>
        <w:tc>
          <w:tcPr>
            <w:tcW w:w="1258" w:type="pct"/>
          </w:tcPr>
          <w:p w14:paraId="691FA261" w14:textId="77777777" w:rsidR="0058474C" w:rsidRPr="0058474C" w:rsidRDefault="0058474C" w:rsidP="0058474C">
            <w:pPr>
              <w:jc w:val="center"/>
              <w:rPr>
                <w:szCs w:val="24"/>
              </w:rPr>
            </w:pPr>
            <w:r w:rsidRPr="0058474C">
              <w:t>733,650</w:t>
            </w:r>
          </w:p>
        </w:tc>
      </w:tr>
      <w:tr w:rsidR="0058474C" w:rsidRPr="0058474C" w14:paraId="1667881B" w14:textId="77777777" w:rsidTr="00D455F3">
        <w:tc>
          <w:tcPr>
            <w:tcW w:w="1248" w:type="pct"/>
            <w:shd w:val="clear" w:color="auto" w:fill="D9D9D9" w:themeFill="background1" w:themeFillShade="D9"/>
          </w:tcPr>
          <w:p w14:paraId="4CDC181C" w14:textId="77777777" w:rsidR="0058474C" w:rsidRPr="0058474C" w:rsidRDefault="0058474C" w:rsidP="0058474C">
            <w:pPr>
              <w:rPr>
                <w:szCs w:val="24"/>
                <w:lang w:eastAsia="lt-LT"/>
              </w:rPr>
            </w:pPr>
            <w:r w:rsidRPr="0058474C">
              <w:rPr>
                <w:szCs w:val="24"/>
                <w:lang w:eastAsia="lt-LT"/>
              </w:rPr>
              <w:t>8.1.4. VPSP sutarties vertė (a</w:t>
            </w:r>
            <w:r w:rsidRPr="0058474C">
              <w:rPr>
                <w:i/>
                <w:szCs w:val="24"/>
                <w:lang w:eastAsia="lt-LT"/>
              </w:rPr>
              <w:t>ktualu tik koncesijos atveju</w:t>
            </w:r>
            <w:r w:rsidRPr="0058474C">
              <w:rPr>
                <w:szCs w:val="24"/>
                <w:lang w:eastAsia="lt-LT"/>
              </w:rPr>
              <w:t xml:space="preserve">) </w:t>
            </w:r>
          </w:p>
        </w:tc>
        <w:tc>
          <w:tcPr>
            <w:tcW w:w="1247" w:type="pct"/>
          </w:tcPr>
          <w:p w14:paraId="3295D000" w14:textId="77777777" w:rsidR="0058474C" w:rsidRPr="0058474C" w:rsidRDefault="0058474C" w:rsidP="0058474C">
            <w:pPr>
              <w:jc w:val="center"/>
              <w:rPr>
                <w:szCs w:val="24"/>
                <w:lang w:eastAsia="lt-LT"/>
              </w:rPr>
            </w:pPr>
            <w:r w:rsidRPr="0058474C">
              <w:t>7,119,373</w:t>
            </w:r>
          </w:p>
        </w:tc>
        <w:tc>
          <w:tcPr>
            <w:tcW w:w="1247" w:type="pct"/>
          </w:tcPr>
          <w:p w14:paraId="38596412" w14:textId="77777777" w:rsidR="0058474C" w:rsidRPr="0058474C" w:rsidRDefault="0058474C" w:rsidP="0058474C">
            <w:pPr>
              <w:jc w:val="center"/>
              <w:rPr>
                <w:szCs w:val="24"/>
                <w:lang w:eastAsia="lt-LT"/>
              </w:rPr>
            </w:pPr>
            <w:r w:rsidRPr="0058474C">
              <w:t>9,596,574</w:t>
            </w:r>
          </w:p>
        </w:tc>
        <w:tc>
          <w:tcPr>
            <w:tcW w:w="1258" w:type="pct"/>
          </w:tcPr>
          <w:p w14:paraId="5860D8BC" w14:textId="77777777" w:rsidR="0058474C" w:rsidRPr="0058474C" w:rsidRDefault="0058474C" w:rsidP="0058474C">
            <w:pPr>
              <w:jc w:val="center"/>
              <w:rPr>
                <w:szCs w:val="24"/>
              </w:rPr>
            </w:pPr>
            <w:r w:rsidRPr="0058474C">
              <w:t>11,224,302</w:t>
            </w:r>
          </w:p>
        </w:tc>
      </w:tr>
      <w:tr w:rsidR="0058474C" w:rsidRPr="0058474C" w14:paraId="57BB11E8" w14:textId="77777777" w:rsidTr="00D455F3">
        <w:tc>
          <w:tcPr>
            <w:tcW w:w="1248" w:type="pct"/>
            <w:shd w:val="clear" w:color="auto" w:fill="D9D9D9" w:themeFill="background1" w:themeFillShade="D9"/>
          </w:tcPr>
          <w:p w14:paraId="1CDD2530" w14:textId="77777777" w:rsidR="0058474C" w:rsidRPr="0058474C" w:rsidRDefault="0058474C" w:rsidP="0058474C">
            <w:pPr>
              <w:rPr>
                <w:szCs w:val="24"/>
                <w:lang w:eastAsia="lt-LT"/>
              </w:rPr>
            </w:pPr>
            <w:r w:rsidRPr="0058474C">
              <w:rPr>
                <w:szCs w:val="24"/>
                <w:lang w:eastAsia="lt-LT"/>
              </w:rPr>
              <w:t>8.1.5. Tikėtinas skolos dydis viešojo subjekto biudžete (be PVM)</w:t>
            </w:r>
            <w:r w:rsidRPr="0058474C">
              <w:rPr>
                <w:szCs w:val="24"/>
                <w:vertAlign w:val="superscript"/>
                <w:lang w:eastAsia="lt-LT"/>
              </w:rPr>
              <w:footnoteReference w:id="13"/>
            </w:r>
          </w:p>
        </w:tc>
        <w:tc>
          <w:tcPr>
            <w:tcW w:w="1247" w:type="pct"/>
          </w:tcPr>
          <w:p w14:paraId="6AE870CF" w14:textId="77777777" w:rsidR="0058474C" w:rsidRPr="0058474C" w:rsidRDefault="0058474C" w:rsidP="0058474C">
            <w:pPr>
              <w:jc w:val="center"/>
              <w:rPr>
                <w:szCs w:val="24"/>
                <w:lang w:eastAsia="lt-LT"/>
              </w:rPr>
            </w:pPr>
            <w:r w:rsidRPr="0058474C">
              <w:t>570,524</w:t>
            </w:r>
          </w:p>
        </w:tc>
        <w:tc>
          <w:tcPr>
            <w:tcW w:w="1247" w:type="pct"/>
          </w:tcPr>
          <w:p w14:paraId="723CB540" w14:textId="77777777" w:rsidR="0058474C" w:rsidRPr="0058474C" w:rsidRDefault="0058474C" w:rsidP="0058474C">
            <w:pPr>
              <w:jc w:val="center"/>
              <w:rPr>
                <w:szCs w:val="24"/>
                <w:lang w:eastAsia="lt-LT"/>
              </w:rPr>
            </w:pPr>
            <w:r w:rsidRPr="0058474C">
              <w:t>617,732</w:t>
            </w:r>
          </w:p>
        </w:tc>
        <w:tc>
          <w:tcPr>
            <w:tcW w:w="1258" w:type="pct"/>
          </w:tcPr>
          <w:p w14:paraId="1E02426D" w14:textId="77777777" w:rsidR="0058474C" w:rsidRPr="0058474C" w:rsidRDefault="0058474C" w:rsidP="0058474C">
            <w:pPr>
              <w:jc w:val="center"/>
              <w:rPr>
                <w:szCs w:val="24"/>
              </w:rPr>
            </w:pPr>
            <w:r w:rsidRPr="0058474C">
              <w:t>668,120</w:t>
            </w:r>
          </w:p>
        </w:tc>
      </w:tr>
      <w:tr w:rsidR="0058474C" w:rsidRPr="0058474C" w14:paraId="54C18112" w14:textId="77777777" w:rsidTr="00D455F3">
        <w:tc>
          <w:tcPr>
            <w:tcW w:w="1248" w:type="pct"/>
            <w:shd w:val="clear" w:color="auto" w:fill="D9D9D9" w:themeFill="background1" w:themeFillShade="D9"/>
          </w:tcPr>
          <w:p w14:paraId="3EAAE7F8" w14:textId="77777777" w:rsidR="0058474C" w:rsidRPr="0058474C" w:rsidRDefault="0058474C" w:rsidP="0058474C">
            <w:pPr>
              <w:rPr>
                <w:szCs w:val="24"/>
                <w:highlight w:val="yellow"/>
                <w:lang w:eastAsia="lt-LT"/>
              </w:rPr>
            </w:pPr>
            <w:r w:rsidRPr="0058474C">
              <w:rPr>
                <w:szCs w:val="24"/>
                <w:lang w:eastAsia="lt-LT"/>
              </w:rPr>
              <w:t xml:space="preserve">8.1.6. Pridėtinės vertės mokesčio (PVM) dalis, skaičiuojant </w:t>
            </w:r>
            <w:r w:rsidRPr="0058474C">
              <w:rPr>
                <w:szCs w:val="24"/>
                <w:lang w:eastAsia="lt-LT"/>
              </w:rPr>
              <w:lastRenderedPageBreak/>
              <w:t>maksimalius viešojo subjekto turtinius įsipareigojimus</w:t>
            </w:r>
            <w:r w:rsidRPr="0058474C">
              <w:rPr>
                <w:szCs w:val="24"/>
                <w:vertAlign w:val="superscript"/>
                <w:lang w:eastAsia="lt-LT"/>
              </w:rPr>
              <w:footnoteReference w:id="14"/>
            </w:r>
          </w:p>
        </w:tc>
        <w:tc>
          <w:tcPr>
            <w:tcW w:w="1247" w:type="pct"/>
          </w:tcPr>
          <w:p w14:paraId="3D91E425" w14:textId="77777777" w:rsidR="0058474C" w:rsidRPr="0058474C" w:rsidRDefault="0058474C" w:rsidP="0058474C">
            <w:pPr>
              <w:jc w:val="center"/>
              <w:rPr>
                <w:szCs w:val="24"/>
                <w:lang w:eastAsia="lt-LT"/>
              </w:rPr>
            </w:pPr>
            <w:r w:rsidRPr="0058474C">
              <w:rPr>
                <w:szCs w:val="24"/>
                <w:lang w:eastAsia="lt-LT"/>
              </w:rPr>
              <w:lastRenderedPageBreak/>
              <w:t>619,922</w:t>
            </w:r>
          </w:p>
        </w:tc>
        <w:tc>
          <w:tcPr>
            <w:tcW w:w="1247" w:type="pct"/>
          </w:tcPr>
          <w:p w14:paraId="20EA2B1F" w14:textId="77777777" w:rsidR="0058474C" w:rsidRPr="0058474C" w:rsidRDefault="0058474C" w:rsidP="0058474C">
            <w:pPr>
              <w:jc w:val="center"/>
              <w:rPr>
                <w:szCs w:val="24"/>
                <w:lang w:eastAsia="lt-LT"/>
              </w:rPr>
            </w:pPr>
            <w:r w:rsidRPr="0058474C">
              <w:rPr>
                <w:szCs w:val="24"/>
                <w:lang w:eastAsia="lt-LT"/>
              </w:rPr>
              <w:t>832,329</w:t>
            </w:r>
          </w:p>
        </w:tc>
        <w:tc>
          <w:tcPr>
            <w:tcW w:w="1258" w:type="pct"/>
          </w:tcPr>
          <w:p w14:paraId="52850945" w14:textId="77777777" w:rsidR="0058474C" w:rsidRPr="0058474C" w:rsidRDefault="0058474C" w:rsidP="0058474C">
            <w:pPr>
              <w:jc w:val="center"/>
              <w:rPr>
                <w:szCs w:val="24"/>
                <w:lang w:eastAsia="lt-LT"/>
              </w:rPr>
            </w:pPr>
            <w:r w:rsidRPr="0058474C">
              <w:rPr>
                <w:szCs w:val="24"/>
                <w:lang w:eastAsia="lt-LT"/>
              </w:rPr>
              <w:t>1,060,392</w:t>
            </w:r>
          </w:p>
        </w:tc>
      </w:tr>
      <w:tr w:rsidR="0058474C" w:rsidRPr="0058474C" w14:paraId="16416DD9" w14:textId="77777777" w:rsidTr="00D455F3">
        <w:tc>
          <w:tcPr>
            <w:tcW w:w="1248" w:type="pct"/>
            <w:shd w:val="clear" w:color="auto" w:fill="D9D9D9" w:themeFill="background1" w:themeFillShade="D9"/>
          </w:tcPr>
          <w:p w14:paraId="1E8163B0" w14:textId="77777777" w:rsidR="0058474C" w:rsidRPr="0058474C" w:rsidRDefault="0058474C" w:rsidP="0058474C">
            <w:pPr>
              <w:rPr>
                <w:b/>
                <w:szCs w:val="24"/>
                <w:lang w:eastAsia="lt-LT"/>
              </w:rPr>
            </w:pPr>
            <w:r w:rsidRPr="0058474C">
              <w:rPr>
                <w:b/>
                <w:szCs w:val="24"/>
                <w:lang w:eastAsia="lt-LT"/>
              </w:rPr>
              <w:t>Kita:</w:t>
            </w:r>
          </w:p>
        </w:tc>
        <w:tc>
          <w:tcPr>
            <w:tcW w:w="1247" w:type="pct"/>
          </w:tcPr>
          <w:p w14:paraId="64DA09BD" w14:textId="77777777" w:rsidR="0058474C" w:rsidRPr="0058474C" w:rsidRDefault="0058474C" w:rsidP="0058474C">
            <w:pPr>
              <w:jc w:val="center"/>
              <w:rPr>
                <w:b/>
                <w:szCs w:val="24"/>
              </w:rPr>
            </w:pPr>
          </w:p>
        </w:tc>
        <w:tc>
          <w:tcPr>
            <w:tcW w:w="1247" w:type="pct"/>
          </w:tcPr>
          <w:p w14:paraId="1BB47759" w14:textId="77777777" w:rsidR="0058474C" w:rsidRPr="0058474C" w:rsidRDefault="0058474C" w:rsidP="0058474C">
            <w:pPr>
              <w:jc w:val="center"/>
              <w:rPr>
                <w:b/>
                <w:szCs w:val="24"/>
                <w:lang w:eastAsia="lt-LT"/>
              </w:rPr>
            </w:pPr>
          </w:p>
        </w:tc>
        <w:tc>
          <w:tcPr>
            <w:tcW w:w="1258" w:type="pct"/>
          </w:tcPr>
          <w:p w14:paraId="75534315" w14:textId="77777777" w:rsidR="0058474C" w:rsidRPr="0058474C" w:rsidRDefault="0058474C" w:rsidP="0058474C">
            <w:pPr>
              <w:jc w:val="center"/>
              <w:rPr>
                <w:b/>
                <w:szCs w:val="24"/>
                <w:lang w:eastAsia="lt-LT"/>
              </w:rPr>
            </w:pPr>
          </w:p>
        </w:tc>
      </w:tr>
      <w:tr w:rsidR="0058474C" w:rsidRPr="0058474C" w14:paraId="742B8446" w14:textId="77777777" w:rsidTr="00D455F3">
        <w:tc>
          <w:tcPr>
            <w:tcW w:w="1248" w:type="pct"/>
            <w:shd w:val="clear" w:color="auto" w:fill="D9D9D9" w:themeFill="background1" w:themeFillShade="D9"/>
          </w:tcPr>
          <w:p w14:paraId="671FE2FD" w14:textId="77777777" w:rsidR="0058474C" w:rsidRPr="0058474C" w:rsidRDefault="0058474C" w:rsidP="0058474C">
            <w:pPr>
              <w:rPr>
                <w:b/>
                <w:szCs w:val="24"/>
                <w:lang w:eastAsia="lt-LT"/>
              </w:rPr>
            </w:pPr>
            <w:r w:rsidRPr="0058474C">
              <w:rPr>
                <w:szCs w:val="24"/>
                <w:lang w:eastAsia="lt-LT"/>
              </w:rPr>
              <w:t>8.1.7. Viešojo subjekto išlaidų ir rizikų, susijusių su VPSP projekto įgyvendinimu, tačiau kurios nėra įtrauktos į VPSP projekto apimtį, vertė.</w:t>
            </w:r>
          </w:p>
        </w:tc>
        <w:tc>
          <w:tcPr>
            <w:tcW w:w="1247" w:type="pct"/>
          </w:tcPr>
          <w:p w14:paraId="4D53F6DA" w14:textId="77777777" w:rsidR="0058474C" w:rsidRPr="0058474C" w:rsidRDefault="0058474C" w:rsidP="0058474C">
            <w:pPr>
              <w:jc w:val="center"/>
              <w:rPr>
                <w:szCs w:val="24"/>
                <w:lang w:eastAsia="lt-LT"/>
              </w:rPr>
            </w:pPr>
            <w:r w:rsidRPr="0058474C">
              <w:t>372,415</w:t>
            </w:r>
          </w:p>
        </w:tc>
        <w:tc>
          <w:tcPr>
            <w:tcW w:w="1247" w:type="pct"/>
          </w:tcPr>
          <w:p w14:paraId="2931D519" w14:textId="77777777" w:rsidR="0058474C" w:rsidRPr="0058474C" w:rsidRDefault="0058474C" w:rsidP="0058474C">
            <w:pPr>
              <w:jc w:val="center"/>
              <w:rPr>
                <w:szCs w:val="24"/>
                <w:lang w:eastAsia="lt-LT"/>
              </w:rPr>
            </w:pPr>
            <w:r w:rsidRPr="0058474C">
              <w:t xml:space="preserve">502,430  </w:t>
            </w:r>
          </w:p>
        </w:tc>
        <w:tc>
          <w:tcPr>
            <w:tcW w:w="1258" w:type="pct"/>
          </w:tcPr>
          <w:p w14:paraId="77C8F9FE" w14:textId="77777777" w:rsidR="0058474C" w:rsidRPr="0058474C" w:rsidRDefault="0058474C" w:rsidP="0058474C">
            <w:pPr>
              <w:jc w:val="center"/>
              <w:rPr>
                <w:szCs w:val="24"/>
                <w:lang w:eastAsia="lt-LT"/>
              </w:rPr>
            </w:pPr>
            <w:r w:rsidRPr="0058474C">
              <w:t>641,666</w:t>
            </w:r>
          </w:p>
        </w:tc>
      </w:tr>
      <w:tr w:rsidR="0058474C" w:rsidRPr="0058474C" w14:paraId="16211806" w14:textId="77777777" w:rsidTr="00D455F3">
        <w:tc>
          <w:tcPr>
            <w:tcW w:w="1248" w:type="pct"/>
            <w:tcBorders>
              <w:bottom w:val="single" w:sz="12" w:space="0" w:color="000000"/>
            </w:tcBorders>
            <w:shd w:val="clear" w:color="auto" w:fill="D9D9D9" w:themeFill="background1" w:themeFillShade="D9"/>
          </w:tcPr>
          <w:p w14:paraId="447E6D23" w14:textId="77777777" w:rsidR="0058474C" w:rsidRPr="0058474C" w:rsidRDefault="0058474C" w:rsidP="0058474C">
            <w:pPr>
              <w:rPr>
                <w:szCs w:val="24"/>
                <w:lang w:eastAsia="lt-LT"/>
              </w:rPr>
            </w:pPr>
            <w:r w:rsidRPr="0058474C">
              <w:rPr>
                <w:szCs w:val="24"/>
                <w:lang w:eastAsia="lt-LT"/>
              </w:rPr>
              <w:t>8.1.8. Kita</w:t>
            </w:r>
          </w:p>
        </w:tc>
        <w:tc>
          <w:tcPr>
            <w:tcW w:w="1247" w:type="pct"/>
            <w:tcBorders>
              <w:bottom w:val="single" w:sz="12" w:space="0" w:color="000000"/>
            </w:tcBorders>
          </w:tcPr>
          <w:p w14:paraId="412DAD5C" w14:textId="77777777" w:rsidR="0058474C" w:rsidRPr="0058474C" w:rsidRDefault="0058474C" w:rsidP="0058474C">
            <w:pPr>
              <w:jc w:val="center"/>
              <w:rPr>
                <w:szCs w:val="24"/>
              </w:rPr>
            </w:pPr>
            <w:r w:rsidRPr="0058474C">
              <w:rPr>
                <w:szCs w:val="24"/>
              </w:rPr>
              <w:t>-</w:t>
            </w:r>
          </w:p>
        </w:tc>
        <w:tc>
          <w:tcPr>
            <w:tcW w:w="1247" w:type="pct"/>
            <w:tcBorders>
              <w:bottom w:val="single" w:sz="12" w:space="0" w:color="000000"/>
            </w:tcBorders>
          </w:tcPr>
          <w:p w14:paraId="10606D81" w14:textId="77777777" w:rsidR="0058474C" w:rsidRPr="0058474C" w:rsidRDefault="0058474C" w:rsidP="0058474C">
            <w:pPr>
              <w:jc w:val="center"/>
              <w:rPr>
                <w:szCs w:val="24"/>
                <w:lang w:eastAsia="lt-LT"/>
              </w:rPr>
            </w:pPr>
            <w:r w:rsidRPr="0058474C">
              <w:rPr>
                <w:szCs w:val="24"/>
                <w:lang w:eastAsia="lt-LT"/>
              </w:rPr>
              <w:t>-</w:t>
            </w:r>
          </w:p>
        </w:tc>
        <w:tc>
          <w:tcPr>
            <w:tcW w:w="1258" w:type="pct"/>
            <w:tcBorders>
              <w:bottom w:val="single" w:sz="12" w:space="0" w:color="000000"/>
            </w:tcBorders>
          </w:tcPr>
          <w:p w14:paraId="5E55A17D" w14:textId="77777777" w:rsidR="0058474C" w:rsidRPr="0058474C" w:rsidRDefault="0058474C" w:rsidP="0058474C">
            <w:pPr>
              <w:jc w:val="center"/>
              <w:rPr>
                <w:szCs w:val="24"/>
              </w:rPr>
            </w:pPr>
            <w:r w:rsidRPr="0058474C">
              <w:rPr>
                <w:szCs w:val="24"/>
              </w:rPr>
              <w:t>-</w:t>
            </w:r>
          </w:p>
        </w:tc>
      </w:tr>
      <w:tr w:rsidR="0058474C" w:rsidRPr="0058474C" w14:paraId="7EF00872" w14:textId="77777777" w:rsidTr="00D455F3">
        <w:tc>
          <w:tcPr>
            <w:tcW w:w="5000" w:type="pct"/>
            <w:gridSpan w:val="4"/>
            <w:tcBorders>
              <w:top w:val="single" w:sz="12" w:space="0" w:color="000000"/>
              <w:left w:val="single" w:sz="12" w:space="0" w:color="000000"/>
              <w:bottom w:val="single" w:sz="12" w:space="0" w:color="000000"/>
              <w:right w:val="single" w:sz="12" w:space="0" w:color="000000"/>
            </w:tcBorders>
          </w:tcPr>
          <w:p w14:paraId="0EA348F8" w14:textId="77777777" w:rsidR="0058474C" w:rsidRPr="0058474C" w:rsidRDefault="0058474C" w:rsidP="0058474C">
            <w:pPr>
              <w:rPr>
                <w:i/>
                <w:szCs w:val="24"/>
                <w:lang w:eastAsia="lt-LT"/>
              </w:rPr>
            </w:pPr>
            <w:r w:rsidRPr="0058474C">
              <w:rPr>
                <w:b/>
                <w:szCs w:val="24"/>
                <w:lang w:eastAsia="lt-LT"/>
              </w:rPr>
              <w:t>CPVA išvada</w:t>
            </w:r>
            <w:r w:rsidRPr="0058474C">
              <w:rPr>
                <w:i/>
                <w:szCs w:val="24"/>
                <w:lang w:eastAsia="lt-LT"/>
              </w:rPr>
              <w:t xml:space="preserve"> </w:t>
            </w:r>
          </w:p>
          <w:p w14:paraId="2932FAB5" w14:textId="77777777" w:rsidR="0058474C" w:rsidRPr="0058474C" w:rsidRDefault="0058474C" w:rsidP="0058474C">
            <w:pPr>
              <w:rPr>
                <w:b/>
                <w:i/>
                <w:szCs w:val="24"/>
                <w:lang w:eastAsia="lt-LT"/>
              </w:rPr>
            </w:pPr>
            <w:r w:rsidRPr="0058474C">
              <w:rPr>
                <w:b/>
                <w:i/>
                <w:szCs w:val="24"/>
                <w:lang w:eastAsia="lt-LT"/>
              </w:rPr>
              <w:t>I.</w:t>
            </w:r>
            <w:r w:rsidRPr="0058474C">
              <w:rPr>
                <w:b/>
                <w:i/>
                <w:szCs w:val="24"/>
                <w:lang w:eastAsia="lt-LT"/>
              </w:rPr>
              <w:tab/>
              <w:t>VPSP projekto finansinių rodiklių vertinimas</w:t>
            </w:r>
          </w:p>
          <w:p w14:paraId="23C8B677" w14:textId="77777777" w:rsidR="0058474C" w:rsidRPr="0058474C" w:rsidRDefault="0058474C" w:rsidP="0058474C">
            <w:pPr>
              <w:jc w:val="both"/>
              <w:rPr>
                <w:szCs w:val="24"/>
                <w:lang w:eastAsia="lt-LT"/>
              </w:rPr>
            </w:pPr>
            <w:r w:rsidRPr="0058474C">
              <w:rPr>
                <w:szCs w:val="24"/>
                <w:lang w:eastAsia="lt-LT"/>
              </w:rPr>
              <w:t>Projekto finansiniai rodikliai apskaičiuoti naudojant standartinę PP skaičiuoklę. 8.1.1-8.1.3 ir 8.1.6-8.1.7 eilutėse rodiklių dydžiai įvertinti su rizika (įskaičiuotas išlaidų padidėjimo ir/ar pajamų sumažėjimo tikėtinas efektas, statistiškai būdingas Lietuvoje įgyvendinamiems viešųjų investicijų projektams). Realių pinigų srautų konvertavimui į nominalius taikomas rekomenduojamas indeksas – 3 proc.</w:t>
            </w:r>
          </w:p>
          <w:p w14:paraId="52FF6FBC" w14:textId="4997FBAA" w:rsidR="0058474C" w:rsidRPr="0058474C" w:rsidRDefault="0058474C" w:rsidP="001D654A">
            <w:pPr>
              <w:jc w:val="both"/>
              <w:rPr>
                <w:szCs w:val="24"/>
                <w:lang w:eastAsia="lt-LT"/>
              </w:rPr>
            </w:pPr>
            <w:r w:rsidRPr="0058474C">
              <w:rPr>
                <w:szCs w:val="24"/>
                <w:lang w:eastAsia="lt-LT"/>
              </w:rPr>
              <w:t xml:space="preserve">Projektą įgyvendinti planuojama koncesijos būdu, tačiau pajamos iš paslaugos gavėjų yra nepakankamos Projekto finansiniam gyvybingumui užtikrinti, yra numatomas </w:t>
            </w:r>
            <w:r w:rsidR="001D654A">
              <w:rPr>
                <w:szCs w:val="24"/>
                <w:lang w:eastAsia="lt-LT"/>
              </w:rPr>
              <w:t>Savivaldybės atlygio mokėjimas.</w:t>
            </w:r>
          </w:p>
          <w:p w14:paraId="2C6E5D1C" w14:textId="77777777" w:rsidR="0058474C" w:rsidRPr="0058474C" w:rsidRDefault="0058474C" w:rsidP="0058474C">
            <w:pPr>
              <w:jc w:val="both"/>
              <w:rPr>
                <w:szCs w:val="24"/>
                <w:lang w:eastAsia="lt-LT"/>
              </w:rPr>
            </w:pPr>
            <w:r w:rsidRPr="0058474C">
              <w:rPr>
                <w:szCs w:val="24"/>
                <w:lang w:eastAsia="lt-LT"/>
              </w:rPr>
              <w:t xml:space="preserve">8.1.4 eilutėje „VPSP sutarties vertė“ apskaičiuota per visą Projekto ataskaitinį laikotarpį privataus subjekto gaunamų pajamų vertė. </w:t>
            </w:r>
          </w:p>
          <w:p w14:paraId="20F6BE89" w14:textId="77777777" w:rsidR="0058474C" w:rsidRPr="0058474C" w:rsidRDefault="0058474C" w:rsidP="0058474C">
            <w:pPr>
              <w:jc w:val="both"/>
              <w:rPr>
                <w:szCs w:val="24"/>
                <w:lang w:eastAsia="lt-LT"/>
              </w:rPr>
            </w:pPr>
            <w:r w:rsidRPr="0058474C">
              <w:rPr>
                <w:szCs w:val="24"/>
                <w:lang w:eastAsia="lt-LT"/>
              </w:rPr>
              <w:t>Rodikliai iš esmės teisingai atspindi Projekto finansinius srautus, tačiau įtaką jų pokyčiui gali turėti išvados I dalyje aptarti investicijų, veiklos išlaidų vertės bei paklausos dydžio faktoriai.</w:t>
            </w:r>
          </w:p>
          <w:p w14:paraId="34F84C8F" w14:textId="77777777" w:rsidR="0058474C" w:rsidRPr="0058474C" w:rsidRDefault="0058474C" w:rsidP="0058474C">
            <w:pPr>
              <w:jc w:val="both"/>
              <w:rPr>
                <w:szCs w:val="24"/>
                <w:lang w:eastAsia="lt-LT"/>
              </w:rPr>
            </w:pPr>
          </w:p>
          <w:p w14:paraId="349DEC08" w14:textId="77777777" w:rsidR="0058474C" w:rsidRPr="0058474C" w:rsidRDefault="0058474C" w:rsidP="0058474C">
            <w:pPr>
              <w:rPr>
                <w:b/>
                <w:i/>
                <w:szCs w:val="24"/>
                <w:lang w:eastAsia="lt-LT"/>
              </w:rPr>
            </w:pPr>
            <w:r w:rsidRPr="0058474C">
              <w:rPr>
                <w:b/>
                <w:i/>
                <w:szCs w:val="24"/>
                <w:lang w:eastAsia="lt-LT"/>
              </w:rPr>
              <w:t>II.</w:t>
            </w:r>
            <w:r w:rsidRPr="0058474C">
              <w:rPr>
                <w:b/>
                <w:i/>
                <w:szCs w:val="24"/>
                <w:lang w:eastAsia="lt-LT"/>
              </w:rPr>
              <w:tab/>
              <w:t xml:space="preserve">Tikėtino skolos dydžio, jei vadovaujantis fiskalinės drausmės ir Eurostato reikalavimais, sukurtas turtas būtų apskaičiuojama viešojo sektoriaus balanse, vertinimas </w:t>
            </w:r>
          </w:p>
          <w:p w14:paraId="2974BFD5" w14:textId="77777777" w:rsidR="0058474C" w:rsidRPr="0058474C" w:rsidRDefault="0058474C" w:rsidP="0058474C">
            <w:pPr>
              <w:jc w:val="both"/>
              <w:rPr>
                <w:szCs w:val="24"/>
                <w:lang w:eastAsia="lt-LT"/>
              </w:rPr>
            </w:pPr>
            <w:r w:rsidRPr="0058474C">
              <w:rPr>
                <w:szCs w:val="24"/>
                <w:lang w:eastAsia="lt-LT"/>
              </w:rPr>
              <w:t>Jei Savivaldybė išankstinio sutarties nutraukimo atveju sukurtą turtą pasiliktų sau nuosavybės teise, sukurtas turtas būtų apskaitomas viešojo sektoriaus balanse. Tokiu atveju, tikėtinas MRSA skolos dydis, vadovaujantis fiskalinės drausmės ir Eurostato reikalavimais dėl VPSP projektų statistinio vertinimo, sudarytų 617 732 Eur (be PVM) realiąja verte.</w:t>
            </w:r>
          </w:p>
        </w:tc>
      </w:tr>
    </w:tbl>
    <w:p w14:paraId="2D457763" w14:textId="45920328" w:rsidR="009A0866" w:rsidRDefault="009A0866" w:rsidP="009A0866">
      <w:pPr>
        <w:tabs>
          <w:tab w:val="left" w:pos="1469"/>
        </w:tabs>
        <w:rPr>
          <w:szCs w:val="24"/>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781"/>
      </w:tblGrid>
      <w:tr w:rsidR="0058474C" w:rsidRPr="0058474C" w14:paraId="25E01F0C" w14:textId="77777777" w:rsidTr="00D455F3">
        <w:tc>
          <w:tcPr>
            <w:tcW w:w="13745" w:type="dxa"/>
            <w:gridSpan w:val="2"/>
            <w:shd w:val="clear" w:color="auto" w:fill="D9D9D9" w:themeFill="background1" w:themeFillShade="D9"/>
          </w:tcPr>
          <w:p w14:paraId="391CEDEB" w14:textId="77777777" w:rsidR="0058474C" w:rsidRPr="0058474C" w:rsidRDefault="0058474C" w:rsidP="0058474C">
            <w:pPr>
              <w:tabs>
                <w:tab w:val="left" w:pos="1469"/>
              </w:tabs>
              <w:jc w:val="center"/>
              <w:rPr>
                <w:b/>
                <w:szCs w:val="24"/>
                <w:lang w:eastAsia="lt-LT"/>
              </w:rPr>
            </w:pPr>
            <w:r w:rsidRPr="0058474C">
              <w:rPr>
                <w:b/>
                <w:szCs w:val="24"/>
                <w:lang w:eastAsia="lt-LT"/>
              </w:rPr>
              <w:t>9. VPSP projekto finansinis gyvybingumas</w:t>
            </w:r>
            <w:r w:rsidRPr="0058474C">
              <w:rPr>
                <w:b/>
                <w:szCs w:val="24"/>
                <w:vertAlign w:val="superscript"/>
                <w:lang w:eastAsia="lt-LT"/>
              </w:rPr>
              <w:footnoteReference w:id="15"/>
            </w:r>
            <w:r w:rsidRPr="0058474C">
              <w:rPr>
                <w:b/>
                <w:szCs w:val="24"/>
                <w:lang w:eastAsia="lt-LT"/>
              </w:rPr>
              <w:t xml:space="preserve"> </w:t>
            </w:r>
          </w:p>
        </w:tc>
      </w:tr>
      <w:tr w:rsidR="0058474C" w:rsidRPr="0058474C" w14:paraId="1B9F9072" w14:textId="77777777" w:rsidTr="00D455F3">
        <w:tc>
          <w:tcPr>
            <w:tcW w:w="3964" w:type="dxa"/>
            <w:shd w:val="clear" w:color="auto" w:fill="D9D9D9" w:themeFill="background1" w:themeFillShade="D9"/>
          </w:tcPr>
          <w:p w14:paraId="2213DE90" w14:textId="77777777" w:rsidR="0058474C" w:rsidRPr="0058474C" w:rsidRDefault="0058474C" w:rsidP="0058474C">
            <w:pPr>
              <w:tabs>
                <w:tab w:val="left" w:pos="1469"/>
              </w:tabs>
              <w:rPr>
                <w:szCs w:val="24"/>
                <w:lang w:val="en-US" w:eastAsia="lt-LT"/>
              </w:rPr>
            </w:pPr>
            <w:r w:rsidRPr="0058474C">
              <w:rPr>
                <w:szCs w:val="24"/>
                <w:lang w:eastAsia="lt-LT"/>
              </w:rPr>
              <w:t xml:space="preserve">9.1. Metinis atlyginimas </w:t>
            </w:r>
          </w:p>
        </w:tc>
        <w:tc>
          <w:tcPr>
            <w:tcW w:w="9781" w:type="dxa"/>
          </w:tcPr>
          <w:p w14:paraId="6F4DED90" w14:textId="77777777" w:rsidR="0058474C" w:rsidRPr="0058474C" w:rsidRDefault="0058474C" w:rsidP="0058474C">
            <w:pPr>
              <w:tabs>
                <w:tab w:val="left" w:pos="1469"/>
              </w:tabs>
              <w:rPr>
                <w:szCs w:val="24"/>
                <w:lang w:eastAsia="lt-LT"/>
              </w:rPr>
            </w:pPr>
            <w:r w:rsidRPr="0058474C">
              <w:rPr>
                <w:szCs w:val="24"/>
                <w:lang w:eastAsia="lt-LT"/>
              </w:rPr>
              <w:t>Netaikoma</w:t>
            </w:r>
          </w:p>
        </w:tc>
      </w:tr>
      <w:tr w:rsidR="0058474C" w:rsidRPr="0058474C" w14:paraId="42439A65" w14:textId="77777777" w:rsidTr="00D455F3">
        <w:tc>
          <w:tcPr>
            <w:tcW w:w="3964" w:type="dxa"/>
            <w:shd w:val="clear" w:color="auto" w:fill="D9D9D9" w:themeFill="background1" w:themeFillShade="D9"/>
          </w:tcPr>
          <w:p w14:paraId="537524E1" w14:textId="77777777" w:rsidR="0058474C" w:rsidRPr="0058474C" w:rsidRDefault="0058474C" w:rsidP="0058474C">
            <w:pPr>
              <w:tabs>
                <w:tab w:val="left" w:pos="1469"/>
              </w:tabs>
              <w:rPr>
                <w:szCs w:val="24"/>
                <w:lang w:eastAsia="lt-LT"/>
              </w:rPr>
            </w:pPr>
            <w:r w:rsidRPr="0058474C">
              <w:rPr>
                <w:szCs w:val="24"/>
                <w:lang w:eastAsia="lt-LT"/>
              </w:rPr>
              <w:t xml:space="preserve">9.2. Koncesijos mokestis </w:t>
            </w:r>
          </w:p>
        </w:tc>
        <w:tc>
          <w:tcPr>
            <w:tcW w:w="9781" w:type="dxa"/>
          </w:tcPr>
          <w:p w14:paraId="50149FCF" w14:textId="1656A6D0" w:rsidR="0058474C" w:rsidRPr="0058474C" w:rsidRDefault="00684272" w:rsidP="0058474C">
            <w:pPr>
              <w:tabs>
                <w:tab w:val="left" w:pos="1469"/>
              </w:tabs>
              <w:rPr>
                <w:szCs w:val="24"/>
                <w:lang w:eastAsia="lt-LT"/>
              </w:rPr>
            </w:pPr>
            <w:r>
              <w:rPr>
                <w:szCs w:val="24"/>
                <w:lang w:eastAsia="lt-LT"/>
              </w:rPr>
              <w:t>P</w:t>
            </w:r>
            <w:r w:rsidR="0058474C" w:rsidRPr="0058474C">
              <w:rPr>
                <w:szCs w:val="24"/>
                <w:lang w:eastAsia="lt-LT"/>
              </w:rPr>
              <w:t>rivataus subjekto mokėjimas Savivaldybei nenumatomas</w:t>
            </w:r>
          </w:p>
        </w:tc>
      </w:tr>
      <w:tr w:rsidR="0058474C" w:rsidRPr="0058474C" w14:paraId="2DED411D" w14:textId="77777777" w:rsidTr="00D455F3">
        <w:tc>
          <w:tcPr>
            <w:tcW w:w="3964" w:type="dxa"/>
            <w:shd w:val="clear" w:color="auto" w:fill="D9D9D9" w:themeFill="background1" w:themeFillShade="D9"/>
          </w:tcPr>
          <w:p w14:paraId="3686F87F" w14:textId="77777777" w:rsidR="0058474C" w:rsidRPr="0058474C" w:rsidRDefault="0058474C" w:rsidP="0058474C">
            <w:pPr>
              <w:tabs>
                <w:tab w:val="left" w:pos="1469"/>
              </w:tabs>
              <w:rPr>
                <w:szCs w:val="24"/>
                <w:lang w:eastAsia="lt-LT"/>
              </w:rPr>
            </w:pPr>
            <w:r w:rsidRPr="0058474C">
              <w:rPr>
                <w:szCs w:val="24"/>
                <w:lang w:eastAsia="lt-LT"/>
              </w:rPr>
              <w:lastRenderedPageBreak/>
              <w:t>9.3. Atlygis (</w:t>
            </w:r>
            <w:r w:rsidRPr="0058474C">
              <w:rPr>
                <w:i/>
                <w:szCs w:val="24"/>
                <w:lang w:eastAsia="lt-LT"/>
              </w:rPr>
              <w:t>jei taikoma</w:t>
            </w:r>
            <w:r w:rsidRPr="0058474C">
              <w:rPr>
                <w:szCs w:val="24"/>
                <w:lang w:eastAsia="lt-LT"/>
              </w:rPr>
              <w:t>)</w:t>
            </w:r>
            <w:r w:rsidRPr="0058474C">
              <w:rPr>
                <w:szCs w:val="24"/>
                <w:vertAlign w:val="superscript"/>
                <w:lang w:eastAsia="lt-LT"/>
              </w:rPr>
              <w:footnoteReference w:id="16"/>
            </w:r>
            <w:r w:rsidRPr="0058474C">
              <w:rPr>
                <w:szCs w:val="24"/>
                <w:lang w:eastAsia="lt-LT"/>
              </w:rPr>
              <w:t xml:space="preserve"> </w:t>
            </w:r>
          </w:p>
        </w:tc>
        <w:tc>
          <w:tcPr>
            <w:tcW w:w="9781" w:type="dxa"/>
          </w:tcPr>
          <w:p w14:paraId="72F7F7E0" w14:textId="77777777" w:rsidR="0058474C" w:rsidRPr="0058474C" w:rsidRDefault="0058474C" w:rsidP="0058474C">
            <w:pPr>
              <w:tabs>
                <w:tab w:val="left" w:pos="1469"/>
              </w:tabs>
              <w:rPr>
                <w:szCs w:val="24"/>
                <w:lang w:eastAsia="lt-LT"/>
              </w:rPr>
            </w:pPr>
            <w:r w:rsidRPr="0058474C">
              <w:rPr>
                <w:szCs w:val="24"/>
                <w:lang w:eastAsia="lt-LT"/>
              </w:rPr>
              <w:t>Numatomas metinis atlygis koncesininkui 235 000 Eur</w:t>
            </w:r>
          </w:p>
        </w:tc>
      </w:tr>
      <w:tr w:rsidR="0058474C" w:rsidRPr="0058474C" w14:paraId="11903F41" w14:textId="77777777" w:rsidTr="00D455F3">
        <w:tc>
          <w:tcPr>
            <w:tcW w:w="3964" w:type="dxa"/>
            <w:shd w:val="clear" w:color="auto" w:fill="D9D9D9" w:themeFill="background1" w:themeFillShade="D9"/>
          </w:tcPr>
          <w:p w14:paraId="01E7CF61" w14:textId="77777777" w:rsidR="0058474C" w:rsidRPr="0058474C" w:rsidRDefault="0058474C" w:rsidP="0058474C">
            <w:pPr>
              <w:tabs>
                <w:tab w:val="left" w:pos="1469"/>
              </w:tabs>
              <w:rPr>
                <w:szCs w:val="24"/>
                <w:lang w:eastAsia="lt-LT"/>
              </w:rPr>
            </w:pPr>
            <w:r w:rsidRPr="0058474C">
              <w:rPr>
                <w:szCs w:val="24"/>
                <w:lang w:eastAsia="lt-LT"/>
              </w:rPr>
              <w:t>9.4. Mokesčiai</w:t>
            </w:r>
          </w:p>
        </w:tc>
        <w:tc>
          <w:tcPr>
            <w:tcW w:w="9781" w:type="dxa"/>
          </w:tcPr>
          <w:p w14:paraId="350B678C" w14:textId="77777777" w:rsidR="0058474C" w:rsidRPr="0058474C" w:rsidRDefault="0058474C" w:rsidP="0058474C">
            <w:pPr>
              <w:tabs>
                <w:tab w:val="left" w:pos="1469"/>
              </w:tabs>
              <w:jc w:val="both"/>
              <w:rPr>
                <w:szCs w:val="24"/>
                <w:lang w:eastAsia="lt-LT"/>
              </w:rPr>
            </w:pPr>
            <w:r w:rsidRPr="0058474C">
              <w:rPr>
                <w:szCs w:val="24"/>
                <w:lang w:eastAsia="lt-LT"/>
              </w:rPr>
              <w:t>Nekilnojamojo turto, nuomos, žemės nuomos mokesčių taikymas Projekte nenumatytas</w:t>
            </w:r>
          </w:p>
        </w:tc>
      </w:tr>
      <w:tr w:rsidR="0058474C" w:rsidRPr="0058474C" w14:paraId="2A7205F9" w14:textId="77777777" w:rsidTr="00D455F3">
        <w:tc>
          <w:tcPr>
            <w:tcW w:w="3964" w:type="dxa"/>
            <w:shd w:val="clear" w:color="auto" w:fill="D9D9D9" w:themeFill="background1" w:themeFillShade="D9"/>
          </w:tcPr>
          <w:p w14:paraId="65D75F7A" w14:textId="77777777" w:rsidR="0058474C" w:rsidRPr="0058474C" w:rsidRDefault="0058474C" w:rsidP="0058474C">
            <w:pPr>
              <w:tabs>
                <w:tab w:val="left" w:pos="1469"/>
              </w:tabs>
              <w:rPr>
                <w:szCs w:val="24"/>
                <w:lang w:eastAsia="lt-LT"/>
              </w:rPr>
            </w:pPr>
            <w:r w:rsidRPr="0058474C">
              <w:rPr>
                <w:szCs w:val="24"/>
                <w:lang w:eastAsia="lt-LT"/>
              </w:rPr>
              <w:t>9.5. VPSP projekto grąža</w:t>
            </w:r>
            <w:r w:rsidRPr="0058474C">
              <w:rPr>
                <w:szCs w:val="24"/>
                <w:vertAlign w:val="superscript"/>
                <w:lang w:eastAsia="lt-LT"/>
              </w:rPr>
              <w:footnoteReference w:id="17"/>
            </w:r>
          </w:p>
        </w:tc>
        <w:tc>
          <w:tcPr>
            <w:tcW w:w="9781" w:type="dxa"/>
          </w:tcPr>
          <w:p w14:paraId="1276B45F" w14:textId="77777777" w:rsidR="0058474C" w:rsidRPr="0058474C" w:rsidRDefault="0058474C" w:rsidP="0058474C">
            <w:pPr>
              <w:tabs>
                <w:tab w:val="left" w:pos="1469"/>
              </w:tabs>
              <w:jc w:val="both"/>
              <w:rPr>
                <w:szCs w:val="24"/>
                <w:lang w:eastAsia="lt-LT"/>
              </w:rPr>
            </w:pPr>
            <w:r w:rsidRPr="0058474C">
              <w:rPr>
                <w:szCs w:val="24"/>
                <w:lang w:eastAsia="lt-LT"/>
              </w:rPr>
              <w:t xml:space="preserve">VPSP skaičiuoklės finansinio gyvybingumo vertinimo darbalapyje 7.2 daromos šios esminės prielaidos: </w:t>
            </w:r>
          </w:p>
          <w:p w14:paraId="6EF26D50" w14:textId="77777777" w:rsidR="0058474C" w:rsidRPr="0058474C" w:rsidRDefault="0058474C" w:rsidP="0058474C">
            <w:pPr>
              <w:tabs>
                <w:tab w:val="left" w:pos="1469"/>
              </w:tabs>
              <w:jc w:val="both"/>
              <w:rPr>
                <w:szCs w:val="24"/>
                <w:lang w:eastAsia="lt-LT"/>
              </w:rPr>
            </w:pPr>
            <w:r w:rsidRPr="0058474C">
              <w:rPr>
                <w:szCs w:val="24"/>
                <w:lang w:eastAsia="lt-LT"/>
              </w:rPr>
              <w:t>- finansavimo struktūra: 50</w:t>
            </w:r>
            <w:r w:rsidRPr="0058474C">
              <w:rPr>
                <w:szCs w:val="24"/>
                <w:lang w:val="es-ES" w:eastAsia="lt-LT"/>
              </w:rPr>
              <w:t xml:space="preserve">% - </w:t>
            </w:r>
            <w:r w:rsidRPr="0058474C">
              <w:rPr>
                <w:szCs w:val="24"/>
                <w:lang w:eastAsia="lt-LT"/>
              </w:rPr>
              <w:t>investicijų finansuojama nuosavu kapitalu, 50</w:t>
            </w:r>
            <w:r w:rsidRPr="0058474C">
              <w:rPr>
                <w:szCs w:val="24"/>
                <w:lang w:val="es-ES" w:eastAsia="lt-LT"/>
              </w:rPr>
              <w:t>%</w:t>
            </w:r>
            <w:r w:rsidRPr="0058474C">
              <w:rPr>
                <w:szCs w:val="24"/>
                <w:lang w:eastAsia="lt-LT"/>
              </w:rPr>
              <w:t xml:space="preserve"> - paskolos lėšomis;</w:t>
            </w:r>
          </w:p>
          <w:p w14:paraId="655876DE" w14:textId="77777777" w:rsidR="0058474C" w:rsidRPr="0058474C" w:rsidRDefault="0058474C" w:rsidP="0058474C">
            <w:pPr>
              <w:tabs>
                <w:tab w:val="left" w:pos="1469"/>
              </w:tabs>
              <w:jc w:val="both"/>
              <w:rPr>
                <w:szCs w:val="24"/>
                <w:lang w:eastAsia="lt-LT"/>
              </w:rPr>
            </w:pPr>
            <w:r w:rsidRPr="0058474C">
              <w:rPr>
                <w:szCs w:val="24"/>
                <w:lang w:eastAsia="lt-LT"/>
              </w:rPr>
              <w:t>- privataus subjekto nuosavo kapitalo metinė grąža po mokesčių – 12</w:t>
            </w:r>
            <w:r w:rsidRPr="0058474C">
              <w:rPr>
                <w:szCs w:val="24"/>
                <w:lang w:val="es-ES" w:eastAsia="lt-LT"/>
              </w:rPr>
              <w:t>%</w:t>
            </w:r>
            <w:r w:rsidRPr="0058474C">
              <w:rPr>
                <w:szCs w:val="24"/>
                <w:lang w:eastAsia="lt-LT"/>
              </w:rPr>
              <w:t>;</w:t>
            </w:r>
          </w:p>
          <w:p w14:paraId="0DD51691" w14:textId="77777777" w:rsidR="0058474C" w:rsidRPr="0058474C" w:rsidRDefault="0058474C" w:rsidP="0058474C">
            <w:pPr>
              <w:tabs>
                <w:tab w:val="left" w:pos="1469"/>
              </w:tabs>
              <w:jc w:val="both"/>
              <w:rPr>
                <w:szCs w:val="24"/>
                <w:lang w:eastAsia="lt-LT"/>
              </w:rPr>
            </w:pPr>
            <w:r w:rsidRPr="0058474C">
              <w:rPr>
                <w:szCs w:val="24"/>
                <w:lang w:eastAsia="lt-LT"/>
              </w:rPr>
              <w:t xml:space="preserve">- skolinto kapitalo palūkanų norma –  12%. </w:t>
            </w:r>
          </w:p>
          <w:p w14:paraId="42CF6C14" w14:textId="05A3572D" w:rsidR="0058474C" w:rsidRPr="0058474C" w:rsidRDefault="0058474C" w:rsidP="0058474C">
            <w:pPr>
              <w:tabs>
                <w:tab w:val="left" w:pos="1469"/>
              </w:tabs>
              <w:jc w:val="both"/>
              <w:rPr>
                <w:szCs w:val="24"/>
                <w:lang w:eastAsia="lt-LT"/>
              </w:rPr>
            </w:pPr>
            <w:r w:rsidRPr="0058474C">
              <w:rPr>
                <w:szCs w:val="24"/>
                <w:lang w:eastAsia="lt-LT"/>
              </w:rPr>
              <w:t>Su numatytomis prielaidomis</w:t>
            </w:r>
            <w:r w:rsidR="00684272">
              <w:rPr>
                <w:szCs w:val="24"/>
                <w:lang w:eastAsia="lt-LT"/>
              </w:rPr>
              <w:t xml:space="preserve"> Projektas būtų finansiškai gyvybingas,</w:t>
            </w:r>
            <w:r w:rsidRPr="0058474C">
              <w:rPr>
                <w:szCs w:val="24"/>
                <w:lang w:eastAsia="lt-LT"/>
              </w:rPr>
              <w:t xml:space="preserve"> privataus subjekto vidinė grąžos norma – 13,7</w:t>
            </w:r>
            <w:r w:rsidRPr="0058474C">
              <w:rPr>
                <w:szCs w:val="24"/>
                <w:lang w:val="es-ES" w:eastAsia="lt-LT"/>
              </w:rPr>
              <w:t>%</w:t>
            </w:r>
            <w:r w:rsidRPr="0058474C">
              <w:rPr>
                <w:szCs w:val="24"/>
                <w:lang w:eastAsia="lt-LT"/>
              </w:rPr>
              <w:t xml:space="preserve">, diskontuotas atsipirkimo laikotarpis – 15 metų. </w:t>
            </w:r>
          </w:p>
        </w:tc>
      </w:tr>
      <w:tr w:rsidR="0058474C" w:rsidRPr="0058474C" w14:paraId="59EE743E" w14:textId="77777777" w:rsidTr="00D455F3">
        <w:tc>
          <w:tcPr>
            <w:tcW w:w="3964" w:type="dxa"/>
            <w:shd w:val="clear" w:color="auto" w:fill="D9D9D9" w:themeFill="background1" w:themeFillShade="D9"/>
          </w:tcPr>
          <w:p w14:paraId="735BD89A" w14:textId="77777777" w:rsidR="0058474C" w:rsidRPr="0058474C" w:rsidRDefault="0058474C" w:rsidP="0058474C">
            <w:pPr>
              <w:tabs>
                <w:tab w:val="left" w:pos="1469"/>
              </w:tabs>
              <w:rPr>
                <w:szCs w:val="24"/>
                <w:lang w:eastAsia="lt-LT"/>
              </w:rPr>
            </w:pPr>
            <w:r w:rsidRPr="0058474C">
              <w:rPr>
                <w:szCs w:val="24"/>
                <w:lang w:eastAsia="lt-LT"/>
              </w:rPr>
              <w:t>9.6. VPSP projekto finansinis prieinamumas</w:t>
            </w:r>
            <w:r w:rsidRPr="0058474C">
              <w:rPr>
                <w:szCs w:val="24"/>
                <w:vertAlign w:val="superscript"/>
                <w:lang w:eastAsia="lt-LT"/>
              </w:rPr>
              <w:footnoteReference w:id="18"/>
            </w:r>
          </w:p>
        </w:tc>
        <w:tc>
          <w:tcPr>
            <w:tcW w:w="9781" w:type="dxa"/>
          </w:tcPr>
          <w:p w14:paraId="25918029" w14:textId="77777777" w:rsidR="0058474C" w:rsidRPr="0058474C" w:rsidRDefault="0058474C" w:rsidP="0058474C">
            <w:pPr>
              <w:tabs>
                <w:tab w:val="left" w:pos="1469"/>
              </w:tabs>
              <w:jc w:val="both"/>
              <w:rPr>
                <w:szCs w:val="24"/>
                <w:lang w:eastAsia="lt-LT"/>
              </w:rPr>
            </w:pPr>
            <w:r w:rsidRPr="0058474C">
              <w:rPr>
                <w:szCs w:val="24"/>
                <w:lang w:eastAsia="lt-LT"/>
              </w:rPr>
              <w:t xml:space="preserve">PK 3 priedo duomenimis, Savivaldybės turimi įsipareigojimai ir vykdomos prievolės pastaraisiais metais bei, remiantis pateiktais prognozuojamais piniginiais srautais, artimiausius 5 metus, viršija disponuojamąsias pajamas. Projekto atlygio mokėjimas prognozuojamas pasinaudojant esamu skolinimosi limitu. </w:t>
            </w:r>
          </w:p>
        </w:tc>
      </w:tr>
      <w:tr w:rsidR="0058474C" w:rsidRPr="0058474C" w14:paraId="6210B8E2" w14:textId="77777777" w:rsidTr="00D455F3">
        <w:tc>
          <w:tcPr>
            <w:tcW w:w="3964" w:type="dxa"/>
            <w:tcBorders>
              <w:bottom w:val="single" w:sz="12" w:space="0" w:color="auto"/>
            </w:tcBorders>
            <w:shd w:val="clear" w:color="auto" w:fill="D9D9D9" w:themeFill="background1" w:themeFillShade="D9"/>
          </w:tcPr>
          <w:p w14:paraId="2BEE5613" w14:textId="77777777" w:rsidR="0058474C" w:rsidRPr="0058474C" w:rsidRDefault="0058474C" w:rsidP="0058474C">
            <w:pPr>
              <w:tabs>
                <w:tab w:val="left" w:pos="1469"/>
              </w:tabs>
              <w:rPr>
                <w:szCs w:val="24"/>
                <w:lang w:eastAsia="lt-LT"/>
              </w:rPr>
            </w:pPr>
            <w:r w:rsidRPr="0058474C">
              <w:rPr>
                <w:szCs w:val="24"/>
                <w:lang w:eastAsia="lt-LT"/>
              </w:rPr>
              <w:t>9.7. Kita</w:t>
            </w:r>
          </w:p>
        </w:tc>
        <w:tc>
          <w:tcPr>
            <w:tcW w:w="9781" w:type="dxa"/>
          </w:tcPr>
          <w:p w14:paraId="7168F1CA" w14:textId="77777777" w:rsidR="0058474C" w:rsidRPr="0058474C" w:rsidRDefault="0058474C" w:rsidP="0058474C">
            <w:pPr>
              <w:tabs>
                <w:tab w:val="left" w:pos="1469"/>
              </w:tabs>
              <w:rPr>
                <w:szCs w:val="24"/>
                <w:lang w:eastAsia="lt-LT"/>
              </w:rPr>
            </w:pPr>
            <w:r w:rsidRPr="0058474C">
              <w:rPr>
                <w:szCs w:val="24"/>
                <w:lang w:eastAsia="lt-LT"/>
              </w:rPr>
              <w:t>-</w:t>
            </w:r>
          </w:p>
        </w:tc>
      </w:tr>
      <w:tr w:rsidR="0058474C" w:rsidRPr="0058474C" w14:paraId="5A246083" w14:textId="77777777" w:rsidTr="00D455F3">
        <w:tc>
          <w:tcPr>
            <w:tcW w:w="13745" w:type="dxa"/>
            <w:gridSpan w:val="2"/>
            <w:tcBorders>
              <w:top w:val="single" w:sz="12" w:space="0" w:color="auto"/>
              <w:left w:val="single" w:sz="12" w:space="0" w:color="auto"/>
              <w:bottom w:val="single" w:sz="12" w:space="0" w:color="auto"/>
              <w:right w:val="single" w:sz="12" w:space="0" w:color="auto"/>
            </w:tcBorders>
          </w:tcPr>
          <w:p w14:paraId="3691A286" w14:textId="77777777" w:rsidR="0058474C" w:rsidRPr="0058474C" w:rsidRDefault="0058474C" w:rsidP="0058474C">
            <w:pPr>
              <w:tabs>
                <w:tab w:val="left" w:pos="1469"/>
              </w:tabs>
              <w:rPr>
                <w:i/>
                <w:szCs w:val="24"/>
                <w:lang w:eastAsia="lt-LT"/>
              </w:rPr>
            </w:pPr>
            <w:r w:rsidRPr="0058474C">
              <w:rPr>
                <w:b/>
                <w:szCs w:val="24"/>
                <w:lang w:eastAsia="lt-LT"/>
              </w:rPr>
              <w:t>CPVA išvada</w:t>
            </w:r>
            <w:r w:rsidRPr="0058474C">
              <w:rPr>
                <w:i/>
                <w:szCs w:val="24"/>
                <w:lang w:eastAsia="lt-LT"/>
              </w:rPr>
              <w:t xml:space="preserve"> </w:t>
            </w:r>
          </w:p>
          <w:p w14:paraId="0C14C227" w14:textId="77777777" w:rsidR="0058474C" w:rsidRPr="0058474C" w:rsidRDefault="0058474C" w:rsidP="0058474C">
            <w:pPr>
              <w:numPr>
                <w:ilvl w:val="0"/>
                <w:numId w:val="33"/>
              </w:numPr>
              <w:tabs>
                <w:tab w:val="left" w:pos="1469"/>
              </w:tabs>
              <w:contextualSpacing/>
              <w:rPr>
                <w:b/>
                <w:i/>
                <w:szCs w:val="24"/>
                <w:lang w:eastAsia="lt-LT"/>
              </w:rPr>
            </w:pPr>
            <w:r w:rsidRPr="0058474C">
              <w:rPr>
                <w:b/>
                <w:i/>
                <w:szCs w:val="24"/>
                <w:lang w:eastAsia="lt-LT"/>
              </w:rPr>
              <w:t>VPSP projekto finansinio gyvybingumo iki pelno mokesčio vertinimas</w:t>
            </w:r>
          </w:p>
          <w:p w14:paraId="136912FC" w14:textId="77777777" w:rsidR="0058474C" w:rsidRPr="0058474C" w:rsidRDefault="0058474C" w:rsidP="0058474C">
            <w:pPr>
              <w:tabs>
                <w:tab w:val="left" w:pos="1469"/>
              </w:tabs>
              <w:jc w:val="both"/>
              <w:rPr>
                <w:szCs w:val="24"/>
                <w:lang w:eastAsia="lt-LT"/>
              </w:rPr>
            </w:pPr>
            <w:r w:rsidRPr="0058474C">
              <w:rPr>
                <w:szCs w:val="24"/>
                <w:lang w:eastAsia="lt-LT"/>
              </w:rPr>
              <w:t xml:space="preserve">Projektas, pagal IP prognozuojamus finansinius srautus, t.y. įvertinant tik iš paslaugų vartotojų gaunamas pajamas, nebūtų finansiškai gyvybingas. Finansiniam gyvybingumui užtikrinti numatomas Savivaldybės atlygis (235 000 Eur), kuris, taikant finansavimo prielaidas, artimesnes šiuo metu taikomoms įgyvendinamuose PPP projektuose (didesnė paskolos dalis finansavimo struktūroje, mažesnė skolinto kapitalo palūkanų norma), galėtų būti ir kiek mažesnis. </w:t>
            </w:r>
          </w:p>
          <w:p w14:paraId="410A0598" w14:textId="77777777" w:rsidR="0058474C" w:rsidRPr="0058474C" w:rsidRDefault="0058474C" w:rsidP="0058474C">
            <w:pPr>
              <w:tabs>
                <w:tab w:val="left" w:pos="1469"/>
              </w:tabs>
              <w:rPr>
                <w:szCs w:val="24"/>
                <w:lang w:eastAsia="lt-LT"/>
              </w:rPr>
            </w:pPr>
          </w:p>
          <w:p w14:paraId="38856CF7" w14:textId="77777777" w:rsidR="0058474C" w:rsidRPr="0058474C" w:rsidRDefault="0058474C" w:rsidP="0058474C">
            <w:pPr>
              <w:numPr>
                <w:ilvl w:val="0"/>
                <w:numId w:val="33"/>
              </w:numPr>
              <w:tabs>
                <w:tab w:val="left" w:pos="1469"/>
              </w:tabs>
              <w:contextualSpacing/>
              <w:rPr>
                <w:b/>
                <w:i/>
                <w:szCs w:val="24"/>
                <w:lang w:eastAsia="lt-LT"/>
              </w:rPr>
            </w:pPr>
            <w:r w:rsidRPr="0058474C">
              <w:rPr>
                <w:b/>
                <w:i/>
                <w:szCs w:val="24"/>
                <w:lang w:eastAsia="lt-LT"/>
              </w:rPr>
              <w:t xml:space="preserve">Mokestiniai klausimai (atleidimas / mokėjimas) </w:t>
            </w:r>
          </w:p>
          <w:p w14:paraId="71B203EA" w14:textId="77777777" w:rsidR="0058474C" w:rsidRPr="0058474C" w:rsidRDefault="0058474C" w:rsidP="0058474C">
            <w:pPr>
              <w:tabs>
                <w:tab w:val="left" w:pos="1469"/>
              </w:tabs>
              <w:jc w:val="both"/>
              <w:rPr>
                <w:szCs w:val="24"/>
                <w:lang w:eastAsia="lt-LT"/>
              </w:rPr>
            </w:pPr>
            <w:r w:rsidRPr="0058474C">
              <w:rPr>
                <w:szCs w:val="24"/>
                <w:lang w:eastAsia="lt-LT"/>
              </w:rPr>
              <w:t>Nekilnojamojo turto, nuomos, žemės nuomos mokesčių taikymas Projekte nenumatytas.</w:t>
            </w:r>
          </w:p>
          <w:p w14:paraId="554D0D16" w14:textId="77777777" w:rsidR="0058474C" w:rsidRPr="0058474C" w:rsidRDefault="0058474C" w:rsidP="0058474C">
            <w:pPr>
              <w:tabs>
                <w:tab w:val="left" w:pos="1469"/>
              </w:tabs>
              <w:rPr>
                <w:szCs w:val="24"/>
                <w:lang w:eastAsia="lt-LT"/>
              </w:rPr>
            </w:pPr>
          </w:p>
          <w:p w14:paraId="07FBE02F" w14:textId="77777777" w:rsidR="0058474C" w:rsidRPr="0058474C" w:rsidRDefault="0058474C" w:rsidP="0058474C">
            <w:pPr>
              <w:numPr>
                <w:ilvl w:val="0"/>
                <w:numId w:val="33"/>
              </w:numPr>
              <w:tabs>
                <w:tab w:val="left" w:pos="1469"/>
              </w:tabs>
              <w:contextualSpacing/>
              <w:rPr>
                <w:b/>
                <w:i/>
                <w:szCs w:val="24"/>
                <w:lang w:eastAsia="lt-LT"/>
              </w:rPr>
            </w:pPr>
            <w:r w:rsidRPr="0058474C">
              <w:rPr>
                <w:b/>
                <w:i/>
                <w:szCs w:val="24"/>
                <w:lang w:eastAsia="lt-LT"/>
              </w:rPr>
              <w:t>VPSP projekto patrauklumo rinkai vertinamas, atsižvelgiant į grąžos rodiklius</w:t>
            </w:r>
          </w:p>
          <w:p w14:paraId="64D420B9" w14:textId="237B525C" w:rsidR="0058474C" w:rsidRPr="0058474C" w:rsidRDefault="0058474C" w:rsidP="0058474C">
            <w:pPr>
              <w:tabs>
                <w:tab w:val="left" w:pos="1469"/>
              </w:tabs>
              <w:rPr>
                <w:szCs w:val="24"/>
                <w:lang w:eastAsia="lt-LT"/>
              </w:rPr>
            </w:pPr>
            <w:r w:rsidRPr="0058474C">
              <w:rPr>
                <w:szCs w:val="24"/>
                <w:lang w:eastAsia="lt-LT"/>
              </w:rPr>
              <w:t>Su IP suplanuotais piniginiais srautais bei Savivaldybės numatytu atlygiu, privataus subjekto grąžos norma gana aukšta, Projektas galėtų būti vertinamas</w:t>
            </w:r>
            <w:r w:rsidR="000E3F36">
              <w:rPr>
                <w:szCs w:val="24"/>
                <w:lang w:eastAsia="lt-LT"/>
              </w:rPr>
              <w:t xml:space="preserve"> rinkoje</w:t>
            </w:r>
            <w:r w:rsidRPr="0058474C">
              <w:rPr>
                <w:szCs w:val="24"/>
                <w:lang w:eastAsia="lt-LT"/>
              </w:rPr>
              <w:t xml:space="preserve"> kaip </w:t>
            </w:r>
            <w:r w:rsidR="000E3F36">
              <w:rPr>
                <w:szCs w:val="24"/>
                <w:lang w:eastAsia="lt-LT"/>
              </w:rPr>
              <w:t xml:space="preserve">finansiškai </w:t>
            </w:r>
            <w:r w:rsidRPr="0058474C">
              <w:rPr>
                <w:szCs w:val="24"/>
                <w:lang w:eastAsia="lt-LT"/>
              </w:rPr>
              <w:t>patrauklus.</w:t>
            </w:r>
          </w:p>
          <w:p w14:paraId="38F83525" w14:textId="77777777" w:rsidR="0058474C" w:rsidRPr="0058474C" w:rsidRDefault="0058474C" w:rsidP="0058474C">
            <w:pPr>
              <w:tabs>
                <w:tab w:val="left" w:pos="1469"/>
              </w:tabs>
              <w:rPr>
                <w:szCs w:val="24"/>
                <w:lang w:eastAsia="lt-LT"/>
              </w:rPr>
            </w:pPr>
          </w:p>
          <w:p w14:paraId="251BA169" w14:textId="77777777" w:rsidR="0058474C" w:rsidRPr="0058474C" w:rsidRDefault="0058474C" w:rsidP="0058474C">
            <w:pPr>
              <w:numPr>
                <w:ilvl w:val="0"/>
                <w:numId w:val="33"/>
              </w:numPr>
              <w:tabs>
                <w:tab w:val="left" w:pos="1469"/>
              </w:tabs>
              <w:contextualSpacing/>
              <w:rPr>
                <w:b/>
                <w:i/>
                <w:szCs w:val="24"/>
                <w:lang w:eastAsia="lt-LT"/>
              </w:rPr>
            </w:pPr>
            <w:r w:rsidRPr="0058474C">
              <w:rPr>
                <w:b/>
                <w:i/>
                <w:szCs w:val="24"/>
                <w:lang w:eastAsia="lt-LT"/>
              </w:rPr>
              <w:lastRenderedPageBreak/>
              <w:t xml:space="preserve">Viešojo subjekto galimybių mokėti mokėjimus privačiam subjektui už veiklų vykdymą ir prisiimti kitus finansinius įsipareigojimus vertinimas </w:t>
            </w:r>
          </w:p>
          <w:p w14:paraId="300C123C" w14:textId="77777777" w:rsidR="0058474C" w:rsidRPr="0058474C" w:rsidRDefault="0058474C" w:rsidP="0058474C">
            <w:pPr>
              <w:tabs>
                <w:tab w:val="left" w:pos="1469"/>
              </w:tabs>
              <w:jc w:val="both"/>
              <w:rPr>
                <w:szCs w:val="24"/>
                <w:lang w:eastAsia="lt-LT"/>
              </w:rPr>
            </w:pPr>
            <w:r w:rsidRPr="0058474C">
              <w:rPr>
                <w:szCs w:val="24"/>
                <w:lang w:eastAsia="lt-LT"/>
              </w:rPr>
              <w:t>PK 3 priedo duomenimis, Savivaldybės turimi įsipareigojimai ir vykdomos prievolės pastaraisiais metais bei, remiantis pateiktais prognozuojamais piniginiais srautais, artimiausius 5 metus, viršija disponuojamąsias pajamas. Projekto atlygio mokėjimas prognozuojamas pasinaudojant esamu skolinimosi limitu.</w:t>
            </w:r>
          </w:p>
        </w:tc>
      </w:tr>
    </w:tbl>
    <w:p w14:paraId="0D8FF717" w14:textId="77777777" w:rsidR="0058474C" w:rsidRPr="00BF47BA" w:rsidRDefault="0058474C" w:rsidP="009A0866">
      <w:pPr>
        <w:tabs>
          <w:tab w:val="left" w:pos="1469"/>
        </w:tabs>
        <w:rPr>
          <w:szCs w:val="24"/>
          <w:lang w:eastAsia="lt-LT"/>
        </w:rPr>
      </w:pPr>
    </w:p>
    <w:p w14:paraId="4F83DDDB" w14:textId="17C8ABD3" w:rsidR="009A0866" w:rsidRDefault="009A0866" w:rsidP="009A0866"/>
    <w:p w14:paraId="08746AC3" w14:textId="77777777" w:rsidR="0058474C" w:rsidRPr="00BF47BA" w:rsidRDefault="0058474C" w:rsidP="009A0866"/>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781"/>
      </w:tblGrid>
      <w:tr w:rsidR="009A0866" w:rsidRPr="00BF47BA" w14:paraId="1A6D5C19" w14:textId="77777777" w:rsidTr="00954A46">
        <w:tc>
          <w:tcPr>
            <w:tcW w:w="13745" w:type="dxa"/>
            <w:gridSpan w:val="2"/>
            <w:shd w:val="clear" w:color="auto" w:fill="D9D9D9" w:themeFill="background1" w:themeFillShade="D9"/>
          </w:tcPr>
          <w:p w14:paraId="10E2E74A" w14:textId="77777777" w:rsidR="009A0866" w:rsidRPr="00BF47BA" w:rsidRDefault="009A0866" w:rsidP="00D455F3">
            <w:pPr>
              <w:jc w:val="center"/>
              <w:rPr>
                <w:b/>
                <w:szCs w:val="24"/>
                <w:lang w:eastAsia="lt-LT"/>
              </w:rPr>
            </w:pPr>
            <w:r w:rsidRPr="00BF47BA">
              <w:rPr>
                <w:b/>
                <w:szCs w:val="24"/>
                <w:lang w:eastAsia="lt-LT"/>
              </w:rPr>
              <w:t>1</w:t>
            </w:r>
            <w:r w:rsidR="00D1497B">
              <w:rPr>
                <w:b/>
                <w:szCs w:val="24"/>
                <w:lang w:eastAsia="lt-LT"/>
              </w:rPr>
              <w:t>0</w:t>
            </w:r>
            <w:r w:rsidRPr="00BF47BA">
              <w:rPr>
                <w:b/>
                <w:szCs w:val="24"/>
                <w:lang w:eastAsia="lt-LT"/>
              </w:rPr>
              <w:t>. VPSP projektą įgyvendinančio viešojo subjekto pasirengimas įgyvendinti</w:t>
            </w:r>
          </w:p>
          <w:p w14:paraId="6BCFB55B" w14:textId="77777777" w:rsidR="009A0866" w:rsidRPr="00BF47BA" w:rsidRDefault="009A0866" w:rsidP="00D455F3">
            <w:pPr>
              <w:jc w:val="center"/>
              <w:rPr>
                <w:szCs w:val="24"/>
                <w:lang w:eastAsia="lt-LT"/>
              </w:rPr>
            </w:pPr>
          </w:p>
        </w:tc>
      </w:tr>
      <w:tr w:rsidR="00EC5BB9" w:rsidRPr="00BF47BA" w14:paraId="5CFCCB53" w14:textId="77777777" w:rsidTr="00D455F3">
        <w:tc>
          <w:tcPr>
            <w:tcW w:w="3964" w:type="dxa"/>
            <w:shd w:val="clear" w:color="auto" w:fill="D9D9D9" w:themeFill="background1" w:themeFillShade="D9"/>
          </w:tcPr>
          <w:p w14:paraId="7072DE41" w14:textId="77777777" w:rsidR="00EC5BB9" w:rsidRPr="00BF47BA" w:rsidRDefault="00EC5BB9" w:rsidP="00D455F3">
            <w:pPr>
              <w:rPr>
                <w:szCs w:val="24"/>
                <w:lang w:eastAsia="lt-LT"/>
              </w:rPr>
            </w:pPr>
            <w:r w:rsidRPr="00BF47BA">
              <w:rPr>
                <w:szCs w:val="24"/>
                <w:lang w:eastAsia="lt-LT"/>
              </w:rPr>
              <w:t>12.1. Rinkos suinteresuotumas VPSP projektu</w:t>
            </w:r>
          </w:p>
        </w:tc>
        <w:tc>
          <w:tcPr>
            <w:tcW w:w="9781" w:type="dxa"/>
          </w:tcPr>
          <w:p w14:paraId="0CEC36BE" w14:textId="494CC182" w:rsidR="00EC5BB9" w:rsidRPr="00BF47BA" w:rsidRDefault="00EC5BB9" w:rsidP="00554FDD">
            <w:pPr>
              <w:jc w:val="both"/>
              <w:rPr>
                <w:szCs w:val="24"/>
                <w:lang w:eastAsia="lt-LT"/>
              </w:rPr>
            </w:pPr>
            <w:r>
              <w:rPr>
                <w:szCs w:val="24"/>
                <w:lang w:eastAsia="lt-LT"/>
              </w:rPr>
              <w:t>PK nurodoma, kad p</w:t>
            </w:r>
            <w:r w:rsidRPr="00EC5BB9">
              <w:rPr>
                <w:szCs w:val="24"/>
                <w:lang w:eastAsia="lt-LT"/>
              </w:rPr>
              <w:t xml:space="preserve">latesnis rinkos tyrimas nebuvo atliktas, tačiau jis bus atliktas prieš skelbiant privataus subjekto atranką. </w:t>
            </w:r>
          </w:p>
        </w:tc>
      </w:tr>
      <w:tr w:rsidR="00EC5BB9" w:rsidRPr="00BF47BA" w14:paraId="13D89EC6" w14:textId="77777777" w:rsidTr="00D455F3">
        <w:tc>
          <w:tcPr>
            <w:tcW w:w="3964" w:type="dxa"/>
            <w:tcBorders>
              <w:bottom w:val="single" w:sz="12" w:space="0" w:color="auto"/>
            </w:tcBorders>
            <w:shd w:val="clear" w:color="auto" w:fill="D9D9D9" w:themeFill="background1" w:themeFillShade="D9"/>
          </w:tcPr>
          <w:p w14:paraId="691117BE" w14:textId="77777777" w:rsidR="00EC5BB9" w:rsidRPr="00BF47BA" w:rsidRDefault="00EC5BB9" w:rsidP="00D455F3">
            <w:pPr>
              <w:rPr>
                <w:szCs w:val="24"/>
                <w:lang w:eastAsia="lt-LT"/>
              </w:rPr>
            </w:pPr>
            <w:r w:rsidRPr="00BF47BA">
              <w:rPr>
                <w:szCs w:val="24"/>
                <w:lang w:eastAsia="lt-LT"/>
              </w:rPr>
              <w:t>12.2. Viešojo subjekto turima kompetencija / patirtis</w:t>
            </w:r>
          </w:p>
        </w:tc>
        <w:tc>
          <w:tcPr>
            <w:tcW w:w="9781" w:type="dxa"/>
            <w:tcBorders>
              <w:bottom w:val="single" w:sz="12" w:space="0" w:color="auto"/>
            </w:tcBorders>
          </w:tcPr>
          <w:p w14:paraId="61BFBD93" w14:textId="562763C7" w:rsidR="00EC5BB9" w:rsidRPr="00BF47BA" w:rsidRDefault="00B51489" w:rsidP="00554FDD">
            <w:pPr>
              <w:jc w:val="both"/>
              <w:rPr>
                <w:szCs w:val="24"/>
                <w:lang w:eastAsia="lt-LT"/>
              </w:rPr>
            </w:pPr>
            <w:r>
              <w:rPr>
                <w:szCs w:val="24"/>
                <w:lang w:eastAsia="lt-LT"/>
              </w:rPr>
              <w:t>PK nurodoma, kad MRSA dire</w:t>
            </w:r>
            <w:r w:rsidR="009B1581">
              <w:rPr>
                <w:szCs w:val="24"/>
                <w:lang w:eastAsia="lt-LT"/>
              </w:rPr>
              <w:t xml:space="preserve">ktoriaus įsakymu </w:t>
            </w:r>
            <w:r w:rsidR="009B1581" w:rsidRPr="009B1581">
              <w:rPr>
                <w:szCs w:val="24"/>
                <w:lang w:eastAsia="lt-LT"/>
              </w:rPr>
              <w:t>paskirtas projekto vadovas, projekto įgyvendinimo komanda.</w:t>
            </w:r>
            <w:r w:rsidR="00C82681">
              <w:t xml:space="preserve"> </w:t>
            </w:r>
            <w:r w:rsidR="00C82681" w:rsidRPr="00C82681">
              <w:rPr>
                <w:szCs w:val="24"/>
                <w:lang w:eastAsia="lt-LT"/>
              </w:rPr>
              <w:t xml:space="preserve">Atsižvelgiant į tai, kad </w:t>
            </w:r>
            <w:r w:rsidR="00B84D16">
              <w:rPr>
                <w:szCs w:val="24"/>
                <w:lang w:eastAsia="lt-LT"/>
              </w:rPr>
              <w:t xml:space="preserve">nenurodyti konkretūs asmenys, atsakingi už projekto įgyvendinimą, nurodoma tik patirtis ir kompetencijos, kurios bus reikalaujama iš atsakingų asmenų, </w:t>
            </w:r>
            <w:r w:rsidR="00C82681" w:rsidRPr="00C82681">
              <w:rPr>
                <w:szCs w:val="24"/>
                <w:lang w:eastAsia="lt-LT"/>
              </w:rPr>
              <w:t xml:space="preserve">manytina, kad </w:t>
            </w:r>
            <w:r w:rsidR="00B84D16">
              <w:rPr>
                <w:szCs w:val="24"/>
                <w:lang w:eastAsia="lt-LT"/>
              </w:rPr>
              <w:t xml:space="preserve">MRSA </w:t>
            </w:r>
            <w:r w:rsidR="00C82681" w:rsidRPr="00C82681">
              <w:rPr>
                <w:szCs w:val="24"/>
                <w:lang w:eastAsia="lt-LT"/>
              </w:rPr>
              <w:t>tinkamai neatliko darbuotojų, kurie paskirti atsakingais už Projekto įgyvendinimą, kompetencijos įvertinimo ir balus nurodė tik formaliai.</w:t>
            </w:r>
          </w:p>
        </w:tc>
      </w:tr>
      <w:tr w:rsidR="009A0866" w:rsidRPr="00BF47BA" w14:paraId="62377EA8" w14:textId="77777777" w:rsidTr="003C3092">
        <w:tc>
          <w:tcPr>
            <w:tcW w:w="13745" w:type="dxa"/>
            <w:gridSpan w:val="2"/>
            <w:tcBorders>
              <w:top w:val="single" w:sz="12" w:space="0" w:color="auto"/>
              <w:left w:val="single" w:sz="12" w:space="0" w:color="auto"/>
              <w:bottom w:val="single" w:sz="12" w:space="0" w:color="auto"/>
              <w:right w:val="single" w:sz="12" w:space="0" w:color="auto"/>
            </w:tcBorders>
          </w:tcPr>
          <w:p w14:paraId="2A883399" w14:textId="10D46256" w:rsidR="009A0866" w:rsidRDefault="009A0866" w:rsidP="00D455F3">
            <w:pPr>
              <w:rPr>
                <w:i/>
                <w:szCs w:val="24"/>
                <w:lang w:eastAsia="lt-LT"/>
              </w:rPr>
            </w:pPr>
            <w:r w:rsidRPr="00BF47BA">
              <w:rPr>
                <w:b/>
                <w:szCs w:val="24"/>
                <w:lang w:eastAsia="lt-LT"/>
              </w:rPr>
              <w:t>CPVA išvada</w:t>
            </w:r>
            <w:r w:rsidR="00055BF2">
              <w:rPr>
                <w:i/>
                <w:szCs w:val="24"/>
                <w:lang w:eastAsia="lt-LT"/>
              </w:rPr>
              <w:t xml:space="preserve"> (</w:t>
            </w:r>
            <w:r w:rsidRPr="00BF47BA">
              <w:rPr>
                <w:i/>
                <w:szCs w:val="24"/>
                <w:lang w:eastAsia="lt-LT"/>
              </w:rPr>
              <w:t>Informacija apie atliktą rinkos tyrimą, rinkos suinteresuotumą, institucijos patirtį ir galimybes įgyvendinti VPSP projektą.</w:t>
            </w:r>
            <w:r w:rsidR="00055BF2">
              <w:rPr>
                <w:i/>
                <w:szCs w:val="24"/>
                <w:lang w:eastAsia="lt-LT"/>
              </w:rPr>
              <w:t xml:space="preserve"> )</w:t>
            </w:r>
          </w:p>
          <w:p w14:paraId="78C4F9FC" w14:textId="77777777" w:rsidR="00420232" w:rsidRPr="00420232" w:rsidRDefault="00420232" w:rsidP="00420232">
            <w:pPr>
              <w:rPr>
                <w:szCs w:val="24"/>
                <w:u w:val="single"/>
                <w:lang w:eastAsia="lt-LT"/>
              </w:rPr>
            </w:pPr>
            <w:r w:rsidRPr="00420232">
              <w:rPr>
                <w:szCs w:val="24"/>
                <w:u w:val="single"/>
                <w:lang w:eastAsia="lt-LT"/>
              </w:rPr>
              <w:t>I.</w:t>
            </w:r>
            <w:r w:rsidRPr="00420232">
              <w:rPr>
                <w:szCs w:val="24"/>
                <w:u w:val="single"/>
                <w:lang w:eastAsia="lt-LT"/>
              </w:rPr>
              <w:tab/>
              <w:t xml:space="preserve">Rinkos tyrimas. </w:t>
            </w:r>
          </w:p>
          <w:p w14:paraId="37B73FCB" w14:textId="17AFEE3E" w:rsidR="00420232" w:rsidRPr="00420232" w:rsidRDefault="00420232" w:rsidP="00554FDD">
            <w:pPr>
              <w:jc w:val="both"/>
              <w:rPr>
                <w:szCs w:val="24"/>
                <w:lang w:eastAsia="lt-LT"/>
              </w:rPr>
            </w:pPr>
            <w:r>
              <w:rPr>
                <w:szCs w:val="24"/>
                <w:lang w:eastAsia="lt-LT"/>
              </w:rPr>
              <w:t xml:space="preserve">PK nėra duomenų apie atliktą rinkos tyrimą, todėl negalima daryti išvados, kad </w:t>
            </w:r>
            <w:r w:rsidRPr="00420232">
              <w:rPr>
                <w:szCs w:val="24"/>
                <w:lang w:eastAsia="lt-LT"/>
              </w:rPr>
              <w:t xml:space="preserve">Projektas bendrai yra patrauklus rinkai. </w:t>
            </w:r>
            <w:r w:rsidR="001E5ECD">
              <w:rPr>
                <w:szCs w:val="24"/>
                <w:lang w:eastAsia="lt-LT"/>
              </w:rPr>
              <w:t>Rinkos tyrimas turėtų būti atliekamas dar IP rengimo etape, kad jo metu surinkta informacija galėtų būti panaudota IP rengimui.</w:t>
            </w:r>
          </w:p>
          <w:p w14:paraId="0C172358" w14:textId="77777777" w:rsidR="00420232" w:rsidRPr="00420232" w:rsidRDefault="00420232" w:rsidP="00420232">
            <w:pPr>
              <w:rPr>
                <w:szCs w:val="24"/>
                <w:lang w:eastAsia="lt-LT"/>
              </w:rPr>
            </w:pPr>
          </w:p>
          <w:p w14:paraId="6EB39D37" w14:textId="77777777" w:rsidR="00420232" w:rsidRPr="00420232" w:rsidRDefault="00420232" w:rsidP="00420232">
            <w:pPr>
              <w:rPr>
                <w:szCs w:val="24"/>
                <w:u w:val="single"/>
                <w:lang w:eastAsia="lt-LT"/>
              </w:rPr>
            </w:pPr>
            <w:r w:rsidRPr="00420232">
              <w:rPr>
                <w:szCs w:val="24"/>
                <w:u w:val="single"/>
                <w:lang w:eastAsia="lt-LT"/>
              </w:rPr>
              <w:t>II.</w:t>
            </w:r>
            <w:r w:rsidRPr="00420232">
              <w:rPr>
                <w:szCs w:val="24"/>
                <w:u w:val="single"/>
                <w:lang w:eastAsia="lt-LT"/>
              </w:rPr>
              <w:tab/>
              <w:t xml:space="preserve">VMSA atsakingų asmenų kompetencija. </w:t>
            </w:r>
          </w:p>
          <w:p w14:paraId="7496D8DD" w14:textId="6819A997" w:rsidR="00554FDD" w:rsidRDefault="00554FDD" w:rsidP="00554FDD">
            <w:pPr>
              <w:jc w:val="both"/>
              <w:rPr>
                <w:szCs w:val="24"/>
                <w:lang w:eastAsia="lt-LT"/>
              </w:rPr>
            </w:pPr>
            <w:r w:rsidRPr="00554FDD">
              <w:rPr>
                <w:szCs w:val="24"/>
                <w:lang w:eastAsia="lt-LT"/>
              </w:rPr>
              <w:t>Atsižvelgiant į tai, kad nenurodyti konkretūs asmenys, atsakingi už projekto įgyvendinimą, nurodoma tik patirtis ir kompetencijos, kurios bus reikalaujama iš atsakingų asmenų, manytina, kad MRSA tinkamai neatliko darbuotojų, kurie paskirti atsakingais už Projekto įgyvendinimą, kompetencijos įvertinimo ir balus nurodė tik formaliai.</w:t>
            </w:r>
            <w:r>
              <w:rPr>
                <w:szCs w:val="24"/>
                <w:lang w:eastAsia="lt-LT"/>
              </w:rPr>
              <w:t xml:space="preserve"> MRSA turi atsakingai įvertinti už Projekto įgyvendinimą paskirtų asmenų kompetenciją, kad būtų įvertintas poreikis išorės konsultantų pasitelkimui.</w:t>
            </w:r>
          </w:p>
          <w:p w14:paraId="42A5804A" w14:textId="77777777" w:rsidR="00055BF2" w:rsidRPr="00BF47BA" w:rsidRDefault="00055BF2" w:rsidP="00554FDD">
            <w:pPr>
              <w:rPr>
                <w:szCs w:val="24"/>
                <w:lang w:eastAsia="lt-LT"/>
              </w:rPr>
            </w:pPr>
          </w:p>
        </w:tc>
      </w:tr>
    </w:tbl>
    <w:p w14:paraId="491D5D88" w14:textId="2D2A6E9C" w:rsidR="008B2805" w:rsidRPr="00954A46" w:rsidRDefault="008B2805" w:rsidP="009A0866">
      <w:pPr>
        <w:rPr>
          <w:szCs w:val="24"/>
        </w:rPr>
      </w:pPr>
    </w:p>
    <w:tbl>
      <w:tblPr>
        <w:tblStyle w:val="TableGrid"/>
        <w:tblW w:w="0" w:type="auto"/>
        <w:tblLook w:val="04A0" w:firstRow="1" w:lastRow="0" w:firstColumn="1" w:lastColumn="0" w:noHBand="0" w:noVBand="1"/>
      </w:tblPr>
      <w:tblGrid>
        <w:gridCol w:w="13682"/>
      </w:tblGrid>
      <w:tr w:rsidR="008D2671" w14:paraId="3F41C537" w14:textId="77777777" w:rsidTr="00684272">
        <w:tc>
          <w:tcPr>
            <w:tcW w:w="13682" w:type="dxa"/>
            <w:tcBorders>
              <w:top w:val="single" w:sz="12" w:space="0" w:color="auto"/>
              <w:left w:val="single" w:sz="18" w:space="0" w:color="auto"/>
              <w:bottom w:val="single" w:sz="18" w:space="0" w:color="auto"/>
              <w:right w:val="single" w:sz="18" w:space="0" w:color="auto"/>
            </w:tcBorders>
          </w:tcPr>
          <w:p w14:paraId="3A02F16C" w14:textId="66541D15" w:rsidR="008D2671" w:rsidRDefault="008B2805" w:rsidP="008D2671">
            <w:pPr>
              <w:rPr>
                <w:b/>
                <w:szCs w:val="24"/>
                <w:lang w:eastAsia="lt-LT"/>
              </w:rPr>
            </w:pPr>
            <w:r>
              <w:rPr>
                <w:szCs w:val="24"/>
                <w:lang w:eastAsia="lt-LT"/>
              </w:rPr>
              <w:br w:type="page"/>
            </w:r>
            <w:r w:rsidR="008D2671" w:rsidRPr="00954A46">
              <w:rPr>
                <w:b/>
                <w:szCs w:val="24"/>
                <w:lang w:eastAsia="lt-LT"/>
              </w:rPr>
              <w:t>Galutinė CPVA vertinimo išvada</w:t>
            </w:r>
            <w:r w:rsidR="005D6109">
              <w:rPr>
                <w:b/>
                <w:szCs w:val="24"/>
                <w:lang w:eastAsia="lt-LT"/>
              </w:rPr>
              <w:t xml:space="preserve"> </w:t>
            </w:r>
          </w:p>
          <w:p w14:paraId="56019C01" w14:textId="77777777" w:rsidR="00C72C36" w:rsidRDefault="00C72C36" w:rsidP="008D2671">
            <w:pPr>
              <w:rPr>
                <w:i/>
                <w:szCs w:val="24"/>
                <w:lang w:eastAsia="lt-LT"/>
              </w:rPr>
            </w:pPr>
          </w:p>
          <w:p w14:paraId="6F5B8009" w14:textId="63127E9A" w:rsidR="005C59CC" w:rsidRDefault="000A4A36" w:rsidP="00456178">
            <w:pPr>
              <w:pStyle w:val="ListParagraph"/>
              <w:numPr>
                <w:ilvl w:val="0"/>
                <w:numId w:val="29"/>
              </w:numPr>
              <w:jc w:val="both"/>
              <w:rPr>
                <w:szCs w:val="24"/>
                <w:lang w:eastAsia="lt-LT"/>
              </w:rPr>
            </w:pPr>
            <w:r>
              <w:rPr>
                <w:szCs w:val="24"/>
                <w:lang w:eastAsia="lt-LT"/>
              </w:rPr>
              <w:t>V</w:t>
            </w:r>
            <w:r w:rsidR="00456178" w:rsidRPr="00456178">
              <w:rPr>
                <w:szCs w:val="24"/>
                <w:lang w:eastAsia="lt-LT"/>
              </w:rPr>
              <w:t xml:space="preserve">ertinant Projekto ekonominę naudą visuomenei bendrame Projekto kontekste (t.y. įtraukiant </w:t>
            </w:r>
            <w:r w:rsidR="000E3F36">
              <w:rPr>
                <w:szCs w:val="24"/>
                <w:lang w:eastAsia="lt-LT"/>
              </w:rPr>
              <w:t xml:space="preserve">ir </w:t>
            </w:r>
            <w:r w:rsidR="00456178" w:rsidRPr="00456178">
              <w:rPr>
                <w:szCs w:val="24"/>
                <w:lang w:eastAsia="lt-LT"/>
              </w:rPr>
              <w:t xml:space="preserve">IP nurodytas I statybos etapo išlaidas), ekonominės grąžos rodikliai yra neigiami, - projekto generuojama ekonominė nauda yra žemesnė nei Projekto išlaidos, </w:t>
            </w:r>
            <w:r w:rsidR="000E3F36" w:rsidRPr="000E3F36">
              <w:rPr>
                <w:szCs w:val="24"/>
                <w:lang w:eastAsia="lt-LT"/>
              </w:rPr>
              <w:t xml:space="preserve">generuojama </w:t>
            </w:r>
            <w:r w:rsidR="000E3F36" w:rsidRPr="000E3F36">
              <w:rPr>
                <w:szCs w:val="24"/>
                <w:lang w:eastAsia="lt-LT"/>
              </w:rPr>
              <w:lastRenderedPageBreak/>
              <w:t>nauda nėra pakankama atpirkti į Projektą jau įdėtų ir planuojamų įdėti lėšų</w:t>
            </w:r>
            <w:r w:rsidR="00456178" w:rsidRPr="00456178">
              <w:rPr>
                <w:szCs w:val="24"/>
                <w:lang w:eastAsia="lt-LT"/>
              </w:rPr>
              <w:t xml:space="preserve">. </w:t>
            </w:r>
            <w:r w:rsidR="005C59CC" w:rsidRPr="00456178">
              <w:rPr>
                <w:szCs w:val="24"/>
                <w:lang w:eastAsia="lt-LT"/>
              </w:rPr>
              <w:t>Atsižvelgiant į tai, kad kokybiškų ir prieinamų sporto paslaugų pasiūla sukuria prielaidas gyventojų fiziniam aktyvumui, sveikatos būklės gerinimui, sudaromos galimybės įgyti ir tobulinti plaukimo įgūdžius vaikams,</w:t>
            </w:r>
            <w:r w:rsidR="005C59CC">
              <w:rPr>
                <w:szCs w:val="24"/>
                <w:lang w:eastAsia="lt-LT"/>
              </w:rPr>
              <w:t xml:space="preserve"> galimai Projekto socialinė-ekonominė nauda yra neįvertinta pilnai, tačiau šias naudas pakankamai sudėtinga pamatuoti ir pagrįsti Projekto kontekste</w:t>
            </w:r>
            <w:r w:rsidR="005C59CC" w:rsidRPr="00456178">
              <w:rPr>
                <w:szCs w:val="24"/>
                <w:lang w:eastAsia="lt-LT"/>
              </w:rPr>
              <w:t>.</w:t>
            </w:r>
          </w:p>
          <w:p w14:paraId="3B30546C" w14:textId="5A8557E0" w:rsidR="000A4A36" w:rsidRDefault="00456178" w:rsidP="005C59CC">
            <w:pPr>
              <w:pStyle w:val="ListParagraph"/>
              <w:jc w:val="both"/>
              <w:rPr>
                <w:szCs w:val="24"/>
                <w:lang w:eastAsia="lt-LT"/>
              </w:rPr>
            </w:pPr>
            <w:r w:rsidRPr="00456178">
              <w:rPr>
                <w:szCs w:val="24"/>
                <w:lang w:eastAsia="lt-LT"/>
              </w:rPr>
              <w:t>Tokios ekonominių rodiklių reikšmės turėjo lemti Savivaldybės sprendimą ieškoti būdų viešosios paslaugos teikimą organizuoti kitu būdu – galbūt kooperuojantis su gretimomis savivaldybėmis ir įgyvendinant vieną analogišką projektą kartu arba</w:t>
            </w:r>
            <w:r w:rsidR="005C59CC">
              <w:rPr>
                <w:szCs w:val="24"/>
                <w:lang w:eastAsia="lt-LT"/>
              </w:rPr>
              <w:t xml:space="preserve"> </w:t>
            </w:r>
            <w:r w:rsidRPr="00456178">
              <w:rPr>
                <w:szCs w:val="24"/>
                <w:lang w:eastAsia="lt-LT"/>
              </w:rPr>
              <w:t>organizuojant pavėžėjimo paslaugą</w:t>
            </w:r>
            <w:r w:rsidR="000A4A36">
              <w:rPr>
                <w:szCs w:val="24"/>
                <w:lang w:eastAsia="lt-LT"/>
              </w:rPr>
              <w:t xml:space="preserve">, tačiau sprendimas dėl Projekto įgyvendinimo buvo priimtas anksčiau, šiuo metu Projekto I etapas yra </w:t>
            </w:r>
            <w:r w:rsidR="005C59CC">
              <w:rPr>
                <w:szCs w:val="24"/>
                <w:lang w:eastAsia="lt-LT"/>
              </w:rPr>
              <w:t xml:space="preserve">jau </w:t>
            </w:r>
            <w:r w:rsidR="000A4A36">
              <w:rPr>
                <w:szCs w:val="24"/>
                <w:lang w:eastAsia="lt-LT"/>
              </w:rPr>
              <w:t xml:space="preserve">įgyvendinamas ir II etapas </w:t>
            </w:r>
            <w:r w:rsidR="005C59CC">
              <w:rPr>
                <w:szCs w:val="24"/>
                <w:lang w:eastAsia="lt-LT"/>
              </w:rPr>
              <w:t>kartu su objekto operavimu t</w:t>
            </w:r>
            <w:r w:rsidR="00260DE4">
              <w:rPr>
                <w:szCs w:val="24"/>
                <w:lang w:eastAsia="lt-LT"/>
              </w:rPr>
              <w:t xml:space="preserve">ėra </w:t>
            </w:r>
            <w:r w:rsidR="005C59CC">
              <w:rPr>
                <w:szCs w:val="24"/>
                <w:lang w:eastAsia="lt-LT"/>
              </w:rPr>
              <w:t xml:space="preserve">racionali </w:t>
            </w:r>
            <w:r w:rsidR="00260DE4">
              <w:rPr>
                <w:szCs w:val="24"/>
                <w:lang w:eastAsia="lt-LT"/>
              </w:rPr>
              <w:t>tokio sprendimo tąsa</w:t>
            </w:r>
            <w:r w:rsidR="005C59CC">
              <w:rPr>
                <w:szCs w:val="24"/>
                <w:lang w:eastAsia="lt-LT"/>
              </w:rPr>
              <w:t>.</w:t>
            </w:r>
          </w:p>
          <w:p w14:paraId="0CF0A5EF" w14:textId="0BD151E1" w:rsidR="00456178" w:rsidRPr="00456178" w:rsidRDefault="000A4A36" w:rsidP="00456178">
            <w:pPr>
              <w:pStyle w:val="ListParagraph"/>
              <w:numPr>
                <w:ilvl w:val="0"/>
                <w:numId w:val="29"/>
              </w:numPr>
              <w:jc w:val="both"/>
              <w:rPr>
                <w:szCs w:val="24"/>
                <w:lang w:eastAsia="lt-LT"/>
              </w:rPr>
            </w:pPr>
            <w:r w:rsidRPr="00E766E5">
              <w:rPr>
                <w:szCs w:val="24"/>
                <w:lang w:eastAsia="lt-LT"/>
              </w:rPr>
              <w:t>Alternatyvų palyginimas IP atliekamas pagal socialinių ekonominių rodiklių rezultatus, pasirinkta alternatyva turinti aukštesnius ekonominės grąžos rodiklius</w:t>
            </w:r>
            <w:r>
              <w:rPr>
                <w:szCs w:val="24"/>
                <w:lang w:eastAsia="lt-LT"/>
              </w:rPr>
              <w:t xml:space="preserve"> (vertinant tik II etapo investicijų vertę)</w:t>
            </w:r>
            <w:r w:rsidR="005C59CC">
              <w:rPr>
                <w:szCs w:val="24"/>
                <w:lang w:eastAsia="lt-LT"/>
              </w:rPr>
              <w:t>, kurią tikslinga įgyvendinti VPSP būdu</w:t>
            </w:r>
            <w:r w:rsidRPr="00E766E5">
              <w:rPr>
                <w:szCs w:val="24"/>
                <w:lang w:eastAsia="lt-LT"/>
              </w:rPr>
              <w:t>.</w:t>
            </w:r>
            <w:r>
              <w:rPr>
                <w:szCs w:val="24"/>
                <w:lang w:eastAsia="lt-LT"/>
              </w:rPr>
              <w:t xml:space="preserve"> </w:t>
            </w:r>
          </w:p>
          <w:p w14:paraId="071A8364" w14:textId="76432751" w:rsidR="00456178" w:rsidRPr="00456178" w:rsidRDefault="00456178" w:rsidP="00456178">
            <w:pPr>
              <w:pStyle w:val="ListParagraph"/>
              <w:numPr>
                <w:ilvl w:val="0"/>
                <w:numId w:val="29"/>
              </w:numPr>
              <w:jc w:val="both"/>
              <w:rPr>
                <w:szCs w:val="24"/>
                <w:lang w:eastAsia="lt-LT"/>
              </w:rPr>
            </w:pPr>
            <w:r w:rsidRPr="00456178">
              <w:rPr>
                <w:szCs w:val="24"/>
                <w:lang w:eastAsia="lt-LT"/>
              </w:rPr>
              <w:t xml:space="preserve">Šiame etape, kai I etapo statybos darbai jau vykdomi, Savivaldybei </w:t>
            </w:r>
            <w:r w:rsidR="00260DE4">
              <w:rPr>
                <w:szCs w:val="24"/>
                <w:lang w:eastAsia="lt-LT"/>
              </w:rPr>
              <w:t>būtina</w:t>
            </w:r>
            <w:r w:rsidRPr="00456178">
              <w:rPr>
                <w:szCs w:val="24"/>
                <w:lang w:eastAsia="lt-LT"/>
              </w:rPr>
              <w:t xml:space="preserve"> įsivertinti, ar </w:t>
            </w:r>
            <w:r w:rsidR="005E2C5C">
              <w:rPr>
                <w:szCs w:val="24"/>
                <w:lang w:eastAsia="lt-LT"/>
              </w:rPr>
              <w:t xml:space="preserve">patikimai </w:t>
            </w:r>
            <w:r w:rsidRPr="00456178">
              <w:rPr>
                <w:szCs w:val="24"/>
                <w:lang w:eastAsia="lt-LT"/>
              </w:rPr>
              <w:t xml:space="preserve">turima finansinių galimybių mokėti atlygį privačiam subjektui </w:t>
            </w:r>
            <w:r w:rsidR="00260DE4">
              <w:rPr>
                <w:szCs w:val="24"/>
                <w:lang w:eastAsia="lt-LT"/>
              </w:rPr>
              <w:t xml:space="preserve">(PK 3 priedo duomenimis, Projekto finansavimui būtų reikalingas skolinimosi limito panaudojimas) </w:t>
            </w:r>
            <w:r w:rsidRPr="00456178">
              <w:rPr>
                <w:szCs w:val="24"/>
                <w:lang w:eastAsia="lt-LT"/>
              </w:rPr>
              <w:t>visu sutarties laikotarpiu, turint omenyje tai, kad numatomas atlygis sudaro arti 50 proc. bendrųjų privataus subjekto pajamų, kai tuo tarpu Savivaldybės poreikis paslaugų laikui – tik 23,5 proc. maksimalios paslaugų apimties.</w:t>
            </w:r>
          </w:p>
          <w:p w14:paraId="0B7A33B8" w14:textId="1BE84BFB" w:rsidR="00904497" w:rsidRPr="00456178" w:rsidRDefault="00B72098" w:rsidP="00B72098">
            <w:pPr>
              <w:pStyle w:val="ListParagraph"/>
              <w:numPr>
                <w:ilvl w:val="0"/>
                <w:numId w:val="29"/>
              </w:numPr>
              <w:jc w:val="both"/>
              <w:rPr>
                <w:szCs w:val="24"/>
                <w:lang w:eastAsia="lt-LT"/>
              </w:rPr>
            </w:pPr>
            <w:r w:rsidRPr="00B72098">
              <w:rPr>
                <w:szCs w:val="24"/>
                <w:lang w:eastAsia="lt-LT"/>
              </w:rPr>
              <w:t>Pagal IP pateiktas prielaidas Projekto įgyvendinimo terminą (15 metų) galima vertinti kaip pagrįstą</w:t>
            </w:r>
            <w:r>
              <w:rPr>
                <w:szCs w:val="24"/>
                <w:lang w:eastAsia="lt-LT"/>
              </w:rPr>
              <w:t>, tačiau</w:t>
            </w:r>
            <w:r w:rsidRPr="00B72098">
              <w:rPr>
                <w:szCs w:val="24"/>
                <w:lang w:eastAsia="lt-LT"/>
              </w:rPr>
              <w:t xml:space="preserve"> </w:t>
            </w:r>
            <w:r>
              <w:rPr>
                <w:szCs w:val="24"/>
                <w:lang w:eastAsia="lt-LT"/>
              </w:rPr>
              <w:t>i</w:t>
            </w:r>
            <w:r w:rsidR="00456178" w:rsidRPr="00456178">
              <w:rPr>
                <w:szCs w:val="24"/>
                <w:lang w:eastAsia="lt-LT"/>
              </w:rPr>
              <w:t>švadoje aptartos investicijų bei veiklos išlaidų nepakankamo įvertinimo prielaidos kartu su paklausos bei pajamų neapibrėžtumu, gali daryti įtaką privataus subjekto</w:t>
            </w:r>
            <w:r w:rsidR="005E2C5C">
              <w:rPr>
                <w:szCs w:val="24"/>
                <w:lang w:eastAsia="lt-LT"/>
              </w:rPr>
              <w:t xml:space="preserve"> </w:t>
            </w:r>
            <w:r w:rsidR="00456178" w:rsidRPr="00456178">
              <w:rPr>
                <w:szCs w:val="24"/>
                <w:lang w:eastAsia="lt-LT"/>
              </w:rPr>
              <w:t>grąžai iš Projekto ir/ar koncesijos trukmei (koncesijos trukmė turi atitikti laikotarpį, per kurį koncesininkas pagrįstai gali tikėtis atgauti atliekant darbus ir teikiant paslaugas įdėtas investicijas ir būtų gauta investuoto kapitalo grąža), t. y. dėl žemesnės tikėtinos Projekto grąžos gali atsirasti poreikis ilginti sutarties terminą, kad privatus partneris gautų laukiamą grąžą.</w:t>
            </w:r>
            <w:r>
              <w:rPr>
                <w:szCs w:val="24"/>
                <w:lang w:eastAsia="lt-LT"/>
              </w:rPr>
              <w:t xml:space="preserve"> K</w:t>
            </w:r>
            <w:r w:rsidRPr="00B72098">
              <w:rPr>
                <w:szCs w:val="24"/>
                <w:lang w:eastAsia="lt-LT"/>
              </w:rPr>
              <w:t>oncesijos konkurso dokumentuose (koncesijos sutarties projekte)</w:t>
            </w:r>
            <w:r>
              <w:rPr>
                <w:szCs w:val="24"/>
                <w:lang w:eastAsia="lt-LT"/>
              </w:rPr>
              <w:t xml:space="preserve"> </w:t>
            </w:r>
            <w:r w:rsidR="00260DE4">
              <w:rPr>
                <w:szCs w:val="24"/>
                <w:lang w:eastAsia="lt-LT"/>
              </w:rPr>
              <w:t xml:space="preserve">taip pat </w:t>
            </w:r>
            <w:r>
              <w:rPr>
                <w:szCs w:val="24"/>
                <w:lang w:eastAsia="lt-LT"/>
              </w:rPr>
              <w:t xml:space="preserve">turi būti aiškiai numatyta, kad </w:t>
            </w:r>
            <w:r w:rsidRPr="00B72098">
              <w:rPr>
                <w:szCs w:val="24"/>
                <w:lang w:eastAsia="lt-LT"/>
              </w:rPr>
              <w:t xml:space="preserve">VPSP sutartis pasibaigtų anksčiau numatyto 15 metų termino, jeigu privatus subjektas investicijas susigrąžintų </w:t>
            </w:r>
            <w:r w:rsidR="001C3315">
              <w:rPr>
                <w:szCs w:val="24"/>
                <w:lang w:eastAsia="lt-LT"/>
              </w:rPr>
              <w:t>ir investuoto kapitalo grąžą atgautų anksčiau.</w:t>
            </w:r>
          </w:p>
          <w:p w14:paraId="7B83ED34" w14:textId="12FCE8C3" w:rsidR="0024632E" w:rsidRDefault="0024632E" w:rsidP="00D455F3">
            <w:pPr>
              <w:pStyle w:val="ListParagraph"/>
              <w:numPr>
                <w:ilvl w:val="0"/>
                <w:numId w:val="29"/>
              </w:numPr>
              <w:jc w:val="both"/>
              <w:rPr>
                <w:szCs w:val="24"/>
                <w:lang w:eastAsia="lt-LT"/>
              </w:rPr>
            </w:pPr>
            <w:r w:rsidRPr="0024632E">
              <w:rPr>
                <w:szCs w:val="24"/>
                <w:lang w:eastAsia="lt-LT"/>
              </w:rPr>
              <w:t>Projektas atitinka 2021-2023 m. Molėtų rajono savivaldybės strateginio veiklos plano 5-osios programos „Kultūrinės ir sportinės veiklos bei jos infrastruktūros programa“ I-ojo prioriteto „Besimokanti, atsakinga ir aktyvi bendruomenė“ 1.4 tikslo „Išplėtota kultūros, sporto, laisvalaikio paslaugų sistema ir sudarytos sąlygos asmens saviraiškai“ 1.4.3. uždavinį „Plėtoti kūno kultūrą ir skatinti aktyvų laisvalaikį, įvei</w:t>
            </w:r>
            <w:r>
              <w:rPr>
                <w:szCs w:val="24"/>
                <w:lang w:eastAsia="lt-LT"/>
              </w:rPr>
              <w:t>klinant sukurtą infrastruktūrą“.</w:t>
            </w:r>
          </w:p>
          <w:p w14:paraId="1B83A3C3" w14:textId="55474ABC" w:rsidR="00BF59AA" w:rsidRDefault="00BF59AA" w:rsidP="00D455F3">
            <w:pPr>
              <w:pStyle w:val="ListParagraph"/>
              <w:numPr>
                <w:ilvl w:val="0"/>
                <w:numId w:val="29"/>
              </w:numPr>
              <w:jc w:val="both"/>
              <w:rPr>
                <w:szCs w:val="24"/>
                <w:lang w:eastAsia="lt-LT"/>
              </w:rPr>
            </w:pPr>
            <w:r>
              <w:rPr>
                <w:szCs w:val="24"/>
                <w:lang w:eastAsia="lt-LT"/>
              </w:rPr>
              <w:t>Privačiam subjektui perduodamo turto (Baseino ir teniso kortų) perdavimo būdas (patikėjimo teisė) atitinka Koncesijų įstatymo nuostatas.</w:t>
            </w:r>
          </w:p>
          <w:p w14:paraId="2D648824" w14:textId="67EC553C" w:rsidR="003F7540" w:rsidRDefault="003F7540" w:rsidP="003F7540">
            <w:pPr>
              <w:pStyle w:val="ListParagraph"/>
              <w:numPr>
                <w:ilvl w:val="0"/>
                <w:numId w:val="29"/>
              </w:numPr>
              <w:jc w:val="both"/>
              <w:rPr>
                <w:szCs w:val="24"/>
                <w:lang w:eastAsia="lt-LT"/>
              </w:rPr>
            </w:pPr>
            <w:r>
              <w:rPr>
                <w:szCs w:val="24"/>
                <w:lang w:eastAsia="lt-LT"/>
              </w:rPr>
              <w:t>Privačiam subjektui perduodamos kompleksinės veiklos – Baseino pastato įrengimas, Baseino pastato, teniso kortų, eksploatacija ir priežiūra, teritorijos tvarkymas, veiklos, susijusios</w:t>
            </w:r>
            <w:r w:rsidRPr="003F7540">
              <w:rPr>
                <w:szCs w:val="24"/>
                <w:lang w:eastAsia="lt-LT"/>
              </w:rPr>
              <w:t xml:space="preserve"> su </w:t>
            </w:r>
            <w:r>
              <w:rPr>
                <w:szCs w:val="24"/>
                <w:lang w:eastAsia="lt-LT"/>
              </w:rPr>
              <w:t xml:space="preserve">patalpų nuoma, </w:t>
            </w:r>
            <w:r w:rsidRPr="003F7540">
              <w:rPr>
                <w:szCs w:val="24"/>
                <w:lang w:eastAsia="lt-LT"/>
              </w:rPr>
              <w:t>neformalaus švietimo paslaugų teikimu (sportinio meistriškumo užsiėmimais), suaugusiųjų spor</w:t>
            </w:r>
            <w:r>
              <w:rPr>
                <w:szCs w:val="24"/>
                <w:lang w:eastAsia="lt-LT"/>
              </w:rPr>
              <w:t xml:space="preserve">tinės veiklos paslaugų teikimu ir kitos komercinės veiklos. </w:t>
            </w:r>
          </w:p>
          <w:p w14:paraId="708EC838" w14:textId="32408C04" w:rsidR="003F7540" w:rsidRDefault="00DC1B30" w:rsidP="00D70A0E">
            <w:pPr>
              <w:pStyle w:val="ListParagraph"/>
              <w:numPr>
                <w:ilvl w:val="0"/>
                <w:numId w:val="29"/>
              </w:numPr>
              <w:jc w:val="both"/>
              <w:rPr>
                <w:szCs w:val="24"/>
                <w:lang w:eastAsia="lt-LT"/>
              </w:rPr>
            </w:pPr>
            <w:r w:rsidRPr="00DC1B30">
              <w:rPr>
                <w:szCs w:val="24"/>
                <w:lang w:eastAsia="lt-LT"/>
              </w:rPr>
              <w:t xml:space="preserve">Pagal pateiktą informaciją, rizikų priskyrimas atitinka Europos Sąjungos statistikos tarnybos (Eurostato) reikalavimus, kad statybos, tinkamumo rizikos pilnai, o paklausos – didesne dalimi, būtų perduotos privačiam subjektui, todėl šiame etape nenustatyta prielaidų, kad turtas, sukurtas </w:t>
            </w:r>
            <w:r>
              <w:rPr>
                <w:szCs w:val="24"/>
                <w:lang w:eastAsia="lt-LT"/>
              </w:rPr>
              <w:t xml:space="preserve">koncesijos </w:t>
            </w:r>
            <w:r w:rsidRPr="00DC1B30">
              <w:rPr>
                <w:szCs w:val="24"/>
                <w:lang w:eastAsia="lt-LT"/>
              </w:rPr>
              <w:t xml:space="preserve">sutarties metu, būtų apskaitomas viešojo sektoriaus balanse, kas įtakotų valstybės / Molėtų rajono </w:t>
            </w:r>
            <w:r w:rsidRPr="00DC1B30">
              <w:rPr>
                <w:szCs w:val="24"/>
                <w:lang w:eastAsia="lt-LT"/>
              </w:rPr>
              <w:lastRenderedPageBreak/>
              <w:t>savivaldybės skolą.</w:t>
            </w:r>
            <w:r>
              <w:rPr>
                <w:szCs w:val="24"/>
                <w:lang w:eastAsia="lt-LT"/>
              </w:rPr>
              <w:t xml:space="preserve"> Tačiau atkreiptinas dėmesys, kad </w:t>
            </w:r>
            <w:r w:rsidRPr="00DC1B30">
              <w:rPr>
                <w:szCs w:val="24"/>
                <w:lang w:eastAsia="lt-LT"/>
              </w:rPr>
              <w:t>Baseino būklės palaikymo ir tinkamumo v</w:t>
            </w:r>
            <w:r>
              <w:rPr>
                <w:szCs w:val="24"/>
                <w:lang w:eastAsia="lt-LT"/>
              </w:rPr>
              <w:t>ykdyti kokybiškas veiklas rizika</w:t>
            </w:r>
            <w:r w:rsidRPr="00DC1B30">
              <w:rPr>
                <w:szCs w:val="24"/>
                <w:lang w:eastAsia="lt-LT"/>
              </w:rPr>
              <w:t xml:space="preserve"> </w:t>
            </w:r>
            <w:r w:rsidR="003F7540" w:rsidRPr="003F7540">
              <w:rPr>
                <w:szCs w:val="24"/>
                <w:lang w:eastAsia="lt-LT"/>
              </w:rPr>
              <w:t>gali turėti neigiamos įtakos rizikų paskirstymo vertinimui, jeigu koncesijos suteikimo konkurso metu bus nuspręsta Baseino būklės palaikymo, jo tinkamumo vykdyti veiklą rizikas dalintis arba pilna apimtimi palikti MRSA. Jeigu koncesijos suteikimo konkurso metu būtų nuspręsta Baseino būklės palaikymo / tinkamumo vykdyti veiklas rizikomis dalintis su MRSA arba jas perduoti MRSA visa apimtimi, tokiu atveju kiltų abejonė ir iš naujo reikėtų įvertinti ar toks Projektas vis dar atitinka VPSP požymius bei Koncesijos įstatymo reikalavimus, kad visa arba didesnė dalis rizikų (statybos, tinkamumo ir paklausos) būtų perduodamos privačiam subjektui.</w:t>
            </w:r>
            <w:r w:rsidR="00CB1904">
              <w:t xml:space="preserve"> </w:t>
            </w:r>
            <w:r w:rsidR="00D70A0E">
              <w:t xml:space="preserve">Taip pat pažymėtina, kad </w:t>
            </w:r>
            <w:r w:rsidR="00D70A0E" w:rsidRPr="00D70A0E">
              <w:t>MRSA neturėtų prisiimti VPSP skaičiuoklės 6.3 darbalaukyje nurodytos demografinių veiksnių pasikeitimo rizikos (7.5 punktas), ši rizika turėtų būti perduota privačiam subjektui ar ja galėtų būti dalinamasi.</w:t>
            </w:r>
          </w:p>
          <w:p w14:paraId="7A15DF1D" w14:textId="282B9D68" w:rsidR="00C72C36" w:rsidRDefault="00C72C36" w:rsidP="00C72C36">
            <w:pPr>
              <w:pStyle w:val="ListParagraph"/>
              <w:numPr>
                <w:ilvl w:val="0"/>
                <w:numId w:val="29"/>
              </w:numPr>
              <w:jc w:val="both"/>
              <w:rPr>
                <w:szCs w:val="24"/>
                <w:lang w:eastAsia="lt-LT"/>
              </w:rPr>
            </w:pPr>
            <w:r>
              <w:rPr>
                <w:szCs w:val="24"/>
                <w:lang w:eastAsia="lt-LT"/>
              </w:rPr>
              <w:t xml:space="preserve">Yra </w:t>
            </w:r>
            <w:r w:rsidRPr="00C72C36">
              <w:rPr>
                <w:szCs w:val="24"/>
                <w:lang w:eastAsia="lt-LT"/>
              </w:rPr>
              <w:t>rizika, kad dėl netinkamų paties Baseino pastato statybos darbų, už kuriuos atsakingas MRSA rangovas, privatus subjektas negalės tinkamai atlikti Baseino įrengimo darbų arba įrengimo darbai vėluos dėl Baseino statybos defektų šalinimo ir pan.</w:t>
            </w:r>
            <w:r>
              <w:t xml:space="preserve"> </w:t>
            </w:r>
            <w:r>
              <w:rPr>
                <w:szCs w:val="24"/>
                <w:lang w:eastAsia="lt-LT"/>
              </w:rPr>
              <w:t xml:space="preserve">Koncesijos </w:t>
            </w:r>
            <w:r w:rsidRPr="00C72C36">
              <w:rPr>
                <w:szCs w:val="24"/>
                <w:lang w:eastAsia="lt-LT"/>
              </w:rPr>
              <w:t>sutarties projekte turėtų būti įtraukiama perduoto turto (Baseino pastato, teniso kortų) rizika detaliai aprašant ir paskirstant šią riziką sutarties šalims atsižvelgiant į tai, kuri šalis gali geriau ją suvaldyti.</w:t>
            </w:r>
          </w:p>
          <w:p w14:paraId="449A3185" w14:textId="5002ED16" w:rsidR="00470EA9" w:rsidRDefault="00470EA9" w:rsidP="00470EA9">
            <w:pPr>
              <w:pStyle w:val="ListParagraph"/>
              <w:numPr>
                <w:ilvl w:val="0"/>
                <w:numId w:val="29"/>
              </w:numPr>
              <w:jc w:val="both"/>
              <w:rPr>
                <w:szCs w:val="24"/>
                <w:lang w:eastAsia="lt-LT"/>
              </w:rPr>
            </w:pPr>
            <w:r>
              <w:rPr>
                <w:szCs w:val="24"/>
                <w:lang w:eastAsia="lt-LT"/>
              </w:rPr>
              <w:t>Įvertinus pateiktą informaciją pasirinktas teisingas VPSP būdas – koncesija, t</w:t>
            </w:r>
            <w:r w:rsidRPr="00470EA9">
              <w:rPr>
                <w:szCs w:val="24"/>
                <w:lang w:eastAsia="lt-LT"/>
              </w:rPr>
              <w:t xml:space="preserve">ačiau atkreiptinas dėmesys, kad nepasitvirtinus MRSA prognozėms dėl privataus subjekto galimybių investuoti ir generuoti pajamas tokia apimtimi, kaip dabar nurodyta MRSA parengtuose dokumentuose, ir gavus dalyvių pasiūlymus su žymiai mažesnėmis pajamų prognozėmis, projektas daugiau atitiks </w:t>
            </w:r>
            <w:r w:rsidR="002D40C5">
              <w:rPr>
                <w:szCs w:val="24"/>
                <w:lang w:eastAsia="lt-LT"/>
              </w:rPr>
              <w:t>VžPP požymius</w:t>
            </w:r>
            <w:r w:rsidRPr="00470EA9">
              <w:rPr>
                <w:szCs w:val="24"/>
                <w:lang w:eastAsia="lt-LT"/>
              </w:rPr>
              <w:t xml:space="preserve"> ir privatus subjektas turės būti atrenkamas pagal Viešųjų pirkimų įstatymą, o MRSA reikės padengti daugiau Baseino įrengimo ir eksploatavimo išlaidų.</w:t>
            </w:r>
          </w:p>
          <w:p w14:paraId="408AD942" w14:textId="40C95D5B" w:rsidR="00F852C0" w:rsidRDefault="00F852C0" w:rsidP="008D2671">
            <w:pPr>
              <w:rPr>
                <w:szCs w:val="24"/>
                <w:lang w:eastAsia="lt-LT"/>
              </w:rPr>
            </w:pPr>
          </w:p>
          <w:p w14:paraId="4CCF1412" w14:textId="7C09B900" w:rsidR="008D2671" w:rsidRDefault="008D2671" w:rsidP="008D2671">
            <w:pPr>
              <w:rPr>
                <w:szCs w:val="24"/>
                <w:lang w:eastAsia="lt-LT"/>
              </w:rPr>
            </w:pPr>
          </w:p>
        </w:tc>
      </w:tr>
    </w:tbl>
    <w:p w14:paraId="23C905B3" w14:textId="1B42D282" w:rsidR="008D2671" w:rsidRDefault="008D2671" w:rsidP="00954A46">
      <w:pPr>
        <w:rPr>
          <w:szCs w:val="24"/>
          <w:lang w:eastAsia="lt-LT"/>
        </w:rPr>
      </w:pPr>
    </w:p>
    <w:tbl>
      <w:tblPr>
        <w:tblStyle w:val="TableGrid"/>
        <w:tblW w:w="0" w:type="auto"/>
        <w:tblLook w:val="04A0" w:firstRow="1" w:lastRow="0" w:firstColumn="1" w:lastColumn="0" w:noHBand="0" w:noVBand="1"/>
      </w:tblPr>
      <w:tblGrid>
        <w:gridCol w:w="13718"/>
      </w:tblGrid>
      <w:tr w:rsidR="008D2671" w14:paraId="471AFFE8" w14:textId="77777777" w:rsidTr="008D2671">
        <w:tc>
          <w:tcPr>
            <w:tcW w:w="13718" w:type="dxa"/>
          </w:tcPr>
          <w:p w14:paraId="40D731F2" w14:textId="77777777" w:rsidR="008D2671" w:rsidRDefault="007760F8" w:rsidP="008D2671">
            <w:pPr>
              <w:rPr>
                <w:szCs w:val="24"/>
                <w:lang w:eastAsia="lt-LT"/>
              </w:rPr>
            </w:pPr>
            <w:r>
              <w:rPr>
                <w:szCs w:val="24"/>
                <w:lang w:eastAsia="lt-LT"/>
              </w:rPr>
              <w:t>Vertinimą atlikusių ekspertų vardas, pavardė, ir parašas</w:t>
            </w:r>
          </w:p>
          <w:p w14:paraId="0A53E502" w14:textId="77777777" w:rsidR="007760F8" w:rsidRDefault="007760F8" w:rsidP="008D2671">
            <w:pPr>
              <w:rPr>
                <w:szCs w:val="24"/>
                <w:lang w:eastAsia="lt-LT"/>
              </w:rPr>
            </w:pPr>
          </w:p>
          <w:p w14:paraId="036F126F" w14:textId="77777777" w:rsidR="000744B3" w:rsidRDefault="000744B3" w:rsidP="000744B3">
            <w:pPr>
              <w:pStyle w:val="ListParagraph"/>
              <w:numPr>
                <w:ilvl w:val="0"/>
                <w:numId w:val="24"/>
              </w:numPr>
              <w:rPr>
                <w:szCs w:val="24"/>
                <w:lang w:eastAsia="lt-LT"/>
              </w:rPr>
            </w:pPr>
            <w:r>
              <w:rPr>
                <w:szCs w:val="24"/>
                <w:lang w:eastAsia="lt-LT"/>
              </w:rPr>
              <w:t>Loreta Juškaitė-Pečul</w:t>
            </w:r>
          </w:p>
          <w:p w14:paraId="5722D921" w14:textId="77777777" w:rsidR="000744B3" w:rsidRPr="009F543E" w:rsidRDefault="000744B3" w:rsidP="000744B3">
            <w:pPr>
              <w:pStyle w:val="ListParagraph"/>
              <w:rPr>
                <w:szCs w:val="24"/>
                <w:lang w:eastAsia="lt-LT"/>
              </w:rPr>
            </w:pPr>
          </w:p>
          <w:p w14:paraId="542C1AAD" w14:textId="6C92902E" w:rsidR="007760F8" w:rsidRPr="000744B3" w:rsidRDefault="000744B3" w:rsidP="000744B3">
            <w:pPr>
              <w:pStyle w:val="ListParagraph"/>
              <w:numPr>
                <w:ilvl w:val="0"/>
                <w:numId w:val="24"/>
              </w:numPr>
              <w:rPr>
                <w:szCs w:val="24"/>
                <w:lang w:eastAsia="lt-LT"/>
              </w:rPr>
            </w:pPr>
            <w:r>
              <w:rPr>
                <w:szCs w:val="24"/>
                <w:lang w:eastAsia="lt-LT"/>
              </w:rPr>
              <w:t>Sigita Vingrienė</w:t>
            </w:r>
          </w:p>
          <w:p w14:paraId="75E757AA" w14:textId="6D049E05" w:rsidR="007760F8" w:rsidRDefault="007760F8" w:rsidP="008D2671">
            <w:pPr>
              <w:rPr>
                <w:szCs w:val="24"/>
                <w:lang w:eastAsia="lt-LT"/>
              </w:rPr>
            </w:pPr>
          </w:p>
        </w:tc>
      </w:tr>
    </w:tbl>
    <w:p w14:paraId="30B8766B" w14:textId="1D0B1A41" w:rsidR="008D2671" w:rsidRDefault="008D2671" w:rsidP="00954A46">
      <w:pPr>
        <w:rPr>
          <w:szCs w:val="24"/>
          <w:lang w:eastAsia="lt-LT"/>
        </w:rPr>
      </w:pPr>
    </w:p>
    <w:p w14:paraId="6D86CCDB" w14:textId="77777777" w:rsidR="009A0866" w:rsidRPr="00BF47BA" w:rsidRDefault="009A0866" w:rsidP="009A0866">
      <w:pPr>
        <w:jc w:val="center"/>
        <w:rPr>
          <w:szCs w:val="24"/>
          <w:lang w:eastAsia="lt-LT"/>
        </w:rPr>
      </w:pPr>
      <w:r w:rsidRPr="00BF47BA">
        <w:rPr>
          <w:b/>
          <w:szCs w:val="24"/>
          <w:lang w:eastAsia="lt-LT"/>
        </w:rPr>
        <w:t>_______________</w:t>
      </w:r>
    </w:p>
    <w:p w14:paraId="040B91F7" w14:textId="77777777" w:rsidR="009A0866" w:rsidRDefault="009A0866"/>
    <w:sectPr w:rsidR="009A0866" w:rsidSect="00954A46">
      <w:headerReference w:type="default" r:id="rId13"/>
      <w:pgSz w:w="15840" w:h="12240" w:orient="landscape"/>
      <w:pgMar w:top="1440" w:right="67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EB44" w14:textId="77777777" w:rsidR="00E53FC3" w:rsidRDefault="00E53FC3" w:rsidP="009A0866">
      <w:r>
        <w:separator/>
      </w:r>
    </w:p>
  </w:endnote>
  <w:endnote w:type="continuationSeparator" w:id="0">
    <w:p w14:paraId="66AA073B" w14:textId="77777777" w:rsidR="00E53FC3" w:rsidRDefault="00E53FC3" w:rsidP="009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A3AE" w14:textId="77777777" w:rsidR="00E53FC3" w:rsidRDefault="00E53FC3" w:rsidP="009A0866">
      <w:r>
        <w:separator/>
      </w:r>
    </w:p>
  </w:footnote>
  <w:footnote w:type="continuationSeparator" w:id="0">
    <w:p w14:paraId="090E8AA2" w14:textId="77777777" w:rsidR="00E53FC3" w:rsidRDefault="00E53FC3" w:rsidP="009A0866">
      <w:r>
        <w:continuationSeparator/>
      </w:r>
    </w:p>
  </w:footnote>
  <w:footnote w:id="1">
    <w:p w14:paraId="3D3A9B0B" w14:textId="77777777" w:rsidR="00B35690" w:rsidRDefault="00B35690" w:rsidP="00AB3672">
      <w:pPr>
        <w:rPr>
          <w:sz w:val="20"/>
          <w:szCs w:val="25"/>
          <w:lang w:bidi="bn-BD"/>
        </w:rPr>
      </w:pPr>
      <w:r>
        <w:rPr>
          <w:sz w:val="20"/>
          <w:szCs w:val="25"/>
          <w:vertAlign w:val="superscript"/>
          <w:lang w:val="en-US" w:bidi="bn-BD"/>
        </w:rPr>
        <w:footnoteRef/>
      </w:r>
      <w:r>
        <w:rPr>
          <w:sz w:val="20"/>
          <w:szCs w:val="25"/>
          <w:lang w:val="en-US" w:bidi="bn-BD"/>
        </w:rPr>
        <w:t xml:space="preserve"> </w:t>
      </w:r>
      <w:r>
        <w:rPr>
          <w:sz w:val="20"/>
          <w:szCs w:val="25"/>
          <w:lang w:bidi="bn-BD"/>
        </w:rPr>
        <w:t>Skaičiuojami, naudojant nominalius pinigų srautus, t. y. įvertinant infliacijos įtaką.</w:t>
      </w:r>
    </w:p>
  </w:footnote>
  <w:footnote w:id="2">
    <w:p w14:paraId="0C5AC194" w14:textId="77777777" w:rsidR="00B35690" w:rsidRDefault="00B35690" w:rsidP="00AB3672">
      <w:pPr>
        <w:rPr>
          <w:sz w:val="20"/>
          <w:szCs w:val="25"/>
          <w:lang w:bidi="bn-BD"/>
        </w:rPr>
      </w:pPr>
      <w:r>
        <w:rPr>
          <w:sz w:val="20"/>
          <w:szCs w:val="25"/>
          <w:vertAlign w:val="superscript"/>
          <w:lang w:bidi="bn-BD"/>
        </w:rPr>
        <w:footnoteRef/>
      </w:r>
      <w:r>
        <w:rPr>
          <w:sz w:val="20"/>
          <w:szCs w:val="25"/>
          <w:lang w:bidi="bn-BD"/>
        </w:rPr>
        <w:t xml:space="preserve"> Finansinė </w:t>
      </w:r>
      <w:r>
        <w:rPr>
          <w:sz w:val="20"/>
          <w:szCs w:val="25"/>
          <w:lang w:bidi="bn-BD"/>
        </w:rPr>
        <w:t>grynoji dabartinė vertė (FGDV) –  būsimų projekto pajamų ir (investicijų ir veiklos) išlaidų skirtumo dabartinė vertė.</w:t>
      </w:r>
    </w:p>
  </w:footnote>
  <w:footnote w:id="3">
    <w:p w14:paraId="10C0F04F" w14:textId="77777777" w:rsidR="00B35690" w:rsidRDefault="00B35690" w:rsidP="00AB3672">
      <w:pPr>
        <w:rPr>
          <w:sz w:val="20"/>
          <w:szCs w:val="25"/>
          <w:lang w:bidi="bn-BD"/>
        </w:rPr>
      </w:pPr>
      <w:r>
        <w:rPr>
          <w:sz w:val="20"/>
          <w:szCs w:val="25"/>
          <w:vertAlign w:val="superscript"/>
          <w:lang w:bidi="bn-BD"/>
        </w:rPr>
        <w:footnoteRef/>
      </w:r>
      <w:r>
        <w:rPr>
          <w:sz w:val="20"/>
          <w:szCs w:val="25"/>
          <w:lang w:bidi="bn-BD"/>
        </w:rPr>
        <w:t xml:space="preserve"> Finansinė </w:t>
      </w:r>
      <w:r>
        <w:rPr>
          <w:sz w:val="20"/>
          <w:szCs w:val="25"/>
          <w:lang w:bidi="bn-BD"/>
        </w:rPr>
        <w:t>vidinė grąžos norma (FVGN) – tai tokia projekto grąžos norma, kuriai esant FGDV lygi nuliui.</w:t>
      </w:r>
    </w:p>
  </w:footnote>
  <w:footnote w:id="4">
    <w:p w14:paraId="54CFBA40" w14:textId="77777777" w:rsidR="00B35690" w:rsidRDefault="00B35690" w:rsidP="00AB3672">
      <w:pPr>
        <w:rPr>
          <w:sz w:val="20"/>
          <w:szCs w:val="25"/>
          <w:lang w:bidi="bn-BD"/>
        </w:rPr>
      </w:pPr>
      <w:r>
        <w:rPr>
          <w:sz w:val="20"/>
          <w:szCs w:val="25"/>
          <w:vertAlign w:val="superscript"/>
          <w:lang w:bidi="bn-BD"/>
        </w:rPr>
        <w:footnoteRef/>
      </w:r>
      <w:r>
        <w:rPr>
          <w:sz w:val="20"/>
          <w:szCs w:val="25"/>
          <w:lang w:bidi="bn-BD"/>
        </w:rPr>
        <w:t xml:space="preserve"> Finansinės </w:t>
      </w:r>
      <w:r>
        <w:rPr>
          <w:sz w:val="20"/>
          <w:szCs w:val="25"/>
          <w:lang w:bidi="bn-BD"/>
        </w:rPr>
        <w:t>naudos ir išlaidų santykis (FNIS) – būsimų projekto pajamų ir veiklos išlaidų dabartinių verčių santykis.</w:t>
      </w:r>
    </w:p>
  </w:footnote>
  <w:footnote w:id="5">
    <w:p w14:paraId="402901E4" w14:textId="77777777" w:rsidR="00B35690" w:rsidRDefault="00B35690" w:rsidP="00AB3672">
      <w:pPr>
        <w:rPr>
          <w:sz w:val="20"/>
          <w:szCs w:val="25"/>
          <w:lang w:bidi="bn-BD"/>
        </w:rPr>
      </w:pPr>
      <w:r>
        <w:rPr>
          <w:sz w:val="20"/>
          <w:szCs w:val="25"/>
          <w:vertAlign w:val="superscript"/>
          <w:lang w:bidi="bn-BD"/>
        </w:rPr>
        <w:footnoteRef/>
      </w:r>
      <w:r>
        <w:rPr>
          <w:sz w:val="20"/>
          <w:szCs w:val="25"/>
          <w:lang w:bidi="bn-BD"/>
        </w:rPr>
        <w:t xml:space="preserve"> Ekonominė </w:t>
      </w:r>
      <w:r>
        <w:rPr>
          <w:sz w:val="20"/>
          <w:szCs w:val="25"/>
          <w:lang w:bidi="bn-BD"/>
        </w:rPr>
        <w:t>grynoji dabartinė vertė (EGDV) – būsimų projekto socialinės ekonominės naudos ir patiriamų išlaidų dabartinė vertė.</w:t>
      </w:r>
    </w:p>
  </w:footnote>
  <w:footnote w:id="6">
    <w:p w14:paraId="003A5D1A" w14:textId="77777777" w:rsidR="00B35690" w:rsidRDefault="00B35690" w:rsidP="00AB3672">
      <w:pPr>
        <w:rPr>
          <w:sz w:val="20"/>
          <w:szCs w:val="25"/>
          <w:lang w:bidi="bn-BD"/>
        </w:rPr>
      </w:pPr>
      <w:r>
        <w:rPr>
          <w:sz w:val="20"/>
          <w:szCs w:val="25"/>
          <w:vertAlign w:val="superscript"/>
          <w:lang w:bidi="bn-BD"/>
        </w:rPr>
        <w:footnoteRef/>
      </w:r>
      <w:r>
        <w:rPr>
          <w:sz w:val="20"/>
          <w:szCs w:val="25"/>
          <w:lang w:bidi="bn-BD"/>
        </w:rPr>
        <w:t xml:space="preserve"> Ekonominė </w:t>
      </w:r>
      <w:r>
        <w:rPr>
          <w:sz w:val="20"/>
          <w:szCs w:val="25"/>
          <w:lang w:bidi="bn-BD"/>
        </w:rPr>
        <w:t>vidinė grąžos norma (EVGN) – projekto socialinė-ekonominė grąžos norma, kuriai esant EGDV lygi nuliui.</w:t>
      </w:r>
    </w:p>
  </w:footnote>
  <w:footnote w:id="7">
    <w:p w14:paraId="5A1256AE" w14:textId="77777777" w:rsidR="00B35690" w:rsidRDefault="00B35690" w:rsidP="00AB3672">
      <w:pPr>
        <w:rPr>
          <w:sz w:val="20"/>
          <w:szCs w:val="25"/>
          <w:lang w:bidi="bn-BD"/>
        </w:rPr>
      </w:pPr>
      <w:r>
        <w:rPr>
          <w:sz w:val="20"/>
          <w:szCs w:val="25"/>
          <w:vertAlign w:val="superscript"/>
          <w:lang w:val="en-US" w:bidi="bn-BD"/>
        </w:rPr>
        <w:footnoteRef/>
      </w:r>
      <w:r>
        <w:rPr>
          <w:sz w:val="20"/>
          <w:szCs w:val="25"/>
          <w:lang w:bidi="bn-BD"/>
        </w:rPr>
        <w:t xml:space="preserve"> Ekonominės </w:t>
      </w:r>
      <w:r>
        <w:rPr>
          <w:sz w:val="20"/>
          <w:szCs w:val="25"/>
          <w:lang w:bidi="bn-BD"/>
        </w:rPr>
        <w:t>naudos ir išlaidų santykis (ENIS) – būsimos projekto socialinės ekonominės naudos išlaidų dabartinių verčių santykis.</w:t>
      </w:r>
    </w:p>
  </w:footnote>
  <w:footnote w:id="8">
    <w:p w14:paraId="35040E26" w14:textId="2C5282B5" w:rsidR="00B35690" w:rsidRDefault="00B35690" w:rsidP="009A0866">
      <w:pPr>
        <w:rPr>
          <w:sz w:val="20"/>
          <w:szCs w:val="25"/>
          <w:lang w:bidi="bn-BD"/>
        </w:rPr>
      </w:pPr>
      <w:r>
        <w:rPr>
          <w:sz w:val="20"/>
          <w:szCs w:val="25"/>
          <w:vertAlign w:val="superscript"/>
          <w:lang w:val="en-US" w:bidi="bn-BD"/>
        </w:rPr>
        <w:footnoteRef/>
      </w:r>
      <w:r>
        <w:rPr>
          <w:sz w:val="20"/>
          <w:szCs w:val="25"/>
          <w:lang w:bidi="bn-BD"/>
        </w:rPr>
        <w:t xml:space="preserve"> Nominali </w:t>
      </w:r>
      <w:r>
        <w:rPr>
          <w:sz w:val="20"/>
          <w:szCs w:val="25"/>
          <w:lang w:bidi="bn-BD"/>
        </w:rPr>
        <w:t xml:space="preserve">vertė suprantama, kaip vertė, kuri atspindi kiekvienu analizuojamu laikotarpiu esamas kainas. Indeksas naudojamas realių pinigų srautų konvertavimui į nominalius – </w:t>
      </w:r>
      <w:r w:rsidRPr="00AB3672">
        <w:rPr>
          <w:sz w:val="20"/>
          <w:szCs w:val="25"/>
          <w:lang w:bidi="bn-BD"/>
        </w:rPr>
        <w:t>3 proc.</w:t>
      </w:r>
    </w:p>
    <w:p w14:paraId="779F88FD" w14:textId="77777777" w:rsidR="00B35690" w:rsidRDefault="00B35690" w:rsidP="009A0866">
      <w:pPr>
        <w:rPr>
          <w:sz w:val="20"/>
          <w:szCs w:val="25"/>
          <w:lang w:bidi="bn-BD"/>
        </w:rPr>
      </w:pPr>
    </w:p>
  </w:footnote>
  <w:footnote w:id="9">
    <w:p w14:paraId="5980F4D9" w14:textId="77777777" w:rsidR="00B35690" w:rsidRPr="00357EDE" w:rsidRDefault="00B35690" w:rsidP="0058474C">
      <w:pPr>
        <w:pStyle w:val="FootnoteText"/>
        <w:jc w:val="both"/>
        <w:rPr>
          <w:lang w:val="lt-LT"/>
        </w:rPr>
      </w:pPr>
      <w:r w:rsidRPr="00357EDE">
        <w:rPr>
          <w:rStyle w:val="FootnoteReference"/>
          <w:lang w:val="lt-LT"/>
        </w:rPr>
        <w:footnoteRef/>
      </w:r>
      <w:r w:rsidRPr="00357EDE">
        <w:rPr>
          <w:lang w:val="lt-LT"/>
        </w:rPr>
        <w:t xml:space="preserve"> </w:t>
      </w:r>
      <w:r w:rsidRPr="00357EDE">
        <w:rPr>
          <w:rFonts w:ascii="Times New Roman" w:hAnsi="Times New Roman" w:cs="Times New Roman"/>
          <w:sz w:val="20"/>
          <w:szCs w:val="25"/>
          <w:lang w:val="lt-LT" w:bidi="bn-BD"/>
        </w:rPr>
        <w:t xml:space="preserve">Nominali </w:t>
      </w:r>
      <w:r w:rsidRPr="00357EDE">
        <w:rPr>
          <w:rFonts w:ascii="Times New Roman" w:hAnsi="Times New Roman" w:cs="Times New Roman"/>
          <w:sz w:val="20"/>
          <w:szCs w:val="25"/>
          <w:lang w:val="lt-LT" w:bidi="bn-BD"/>
        </w:rPr>
        <w:t xml:space="preserve">vertė suprantama, kaip vertė, kuri atspindi kiekvienu analizuojamu laikotarpiu esamas kainas. Indeksas naudojamas realių pinigų srautų konvertavimui į nominalius – </w:t>
      </w:r>
      <w:r>
        <w:rPr>
          <w:rFonts w:ascii="Times New Roman" w:hAnsi="Times New Roman" w:cs="Times New Roman"/>
          <w:sz w:val="20"/>
          <w:szCs w:val="25"/>
          <w:lang w:val="lt-LT" w:bidi="bn-BD"/>
        </w:rPr>
        <w:t>3</w:t>
      </w:r>
      <w:r w:rsidRPr="00357EDE">
        <w:rPr>
          <w:rFonts w:ascii="Times New Roman" w:hAnsi="Times New Roman" w:cs="Times New Roman"/>
          <w:sz w:val="20"/>
          <w:szCs w:val="25"/>
          <w:lang w:val="lt-LT" w:bidi="bn-BD"/>
        </w:rPr>
        <w:t xml:space="preserve"> proc.</w:t>
      </w:r>
    </w:p>
  </w:footnote>
  <w:footnote w:id="10">
    <w:p w14:paraId="433E175A" w14:textId="77777777" w:rsidR="00B35690" w:rsidRDefault="00B35690" w:rsidP="0058474C">
      <w:pPr>
        <w:jc w:val="both"/>
        <w:rPr>
          <w:sz w:val="20"/>
          <w:lang w:bidi="bn-BD"/>
        </w:rPr>
      </w:pPr>
      <w:r>
        <w:rPr>
          <w:sz w:val="20"/>
          <w:szCs w:val="25"/>
          <w:vertAlign w:val="superscript"/>
          <w:lang w:val="en-US" w:bidi="bn-BD"/>
        </w:rPr>
        <w:footnoteRef/>
      </w:r>
      <w:r>
        <w:rPr>
          <w:sz w:val="20"/>
          <w:szCs w:val="25"/>
          <w:lang w:bidi="bn-BD"/>
        </w:rPr>
        <w:t xml:space="preserve"> </w:t>
      </w:r>
      <w:r>
        <w:rPr>
          <w:sz w:val="20"/>
          <w:lang w:bidi="bn-BD"/>
        </w:rPr>
        <w:t xml:space="preserve">Privačiam </w:t>
      </w:r>
      <w:r>
        <w:rPr>
          <w:sz w:val="20"/>
          <w:lang w:bidi="bn-BD"/>
        </w:rPr>
        <w:t>subjektui perduodamų veiklų vykdymo išlaidos kartu su šių veiklų vykdymu susijusia rizika.</w:t>
      </w:r>
    </w:p>
  </w:footnote>
  <w:footnote w:id="11">
    <w:p w14:paraId="4012AE76" w14:textId="77777777" w:rsidR="00B35690" w:rsidRDefault="00B35690" w:rsidP="0058474C">
      <w:pPr>
        <w:rPr>
          <w:sz w:val="20"/>
          <w:lang w:bidi="bn-BD"/>
        </w:rPr>
      </w:pPr>
      <w:r>
        <w:rPr>
          <w:sz w:val="20"/>
          <w:vertAlign w:val="superscript"/>
          <w:lang w:val="en-US" w:bidi="bn-BD"/>
        </w:rPr>
        <w:footnoteRef/>
      </w:r>
      <w:r>
        <w:rPr>
          <w:sz w:val="20"/>
          <w:lang w:bidi="bn-BD"/>
        </w:rPr>
        <w:t xml:space="preserve"> Privačiam </w:t>
      </w:r>
      <w:r>
        <w:rPr>
          <w:sz w:val="20"/>
          <w:lang w:bidi="bn-BD"/>
        </w:rPr>
        <w:t>subjektui perduodamos veiklos vykdymo išlaidos kartu su perduodamomis rizikomis.</w:t>
      </w:r>
    </w:p>
  </w:footnote>
  <w:footnote w:id="12">
    <w:p w14:paraId="27BBCBBF" w14:textId="77777777" w:rsidR="00B35690" w:rsidRDefault="00B35690" w:rsidP="0058474C">
      <w:pPr>
        <w:rPr>
          <w:sz w:val="20"/>
          <w:szCs w:val="25"/>
          <w:lang w:bidi="bn-BD"/>
        </w:rPr>
      </w:pPr>
      <w:r>
        <w:rPr>
          <w:sz w:val="20"/>
          <w:szCs w:val="25"/>
          <w:vertAlign w:val="superscript"/>
          <w:lang w:bidi="bn-BD"/>
        </w:rPr>
        <w:footnoteRef/>
      </w:r>
      <w:r>
        <w:rPr>
          <w:sz w:val="20"/>
          <w:szCs w:val="25"/>
          <w:lang w:bidi="bn-BD"/>
        </w:rPr>
        <w:t xml:space="preserve"> Viešojo </w:t>
      </w:r>
      <w:r>
        <w:rPr>
          <w:sz w:val="20"/>
          <w:szCs w:val="25"/>
          <w:lang w:bidi="bn-BD"/>
        </w:rPr>
        <w:t>subjekto prisiimamų rizikų, susijusių su privačiam subjektui perduodamomis veiklomis, vertė.</w:t>
      </w:r>
    </w:p>
  </w:footnote>
  <w:footnote w:id="13">
    <w:p w14:paraId="6A8420EC" w14:textId="77777777" w:rsidR="00B35690" w:rsidRDefault="00B35690" w:rsidP="0058474C">
      <w:pPr>
        <w:rPr>
          <w:sz w:val="20"/>
          <w:szCs w:val="25"/>
          <w:lang w:bidi="bn-BD"/>
        </w:rPr>
      </w:pPr>
      <w:r>
        <w:rPr>
          <w:sz w:val="20"/>
          <w:szCs w:val="25"/>
          <w:vertAlign w:val="superscript"/>
          <w:lang w:val="en-US" w:bidi="bn-BD"/>
        </w:rPr>
        <w:footnoteRef/>
      </w:r>
      <w:r w:rsidRPr="0008112E">
        <w:rPr>
          <w:sz w:val="20"/>
          <w:szCs w:val="25"/>
          <w:lang w:val="es-ES" w:bidi="bn-BD"/>
        </w:rPr>
        <w:t xml:space="preserve"> </w:t>
      </w:r>
      <w:r>
        <w:rPr>
          <w:sz w:val="20"/>
          <w:szCs w:val="25"/>
          <w:lang w:bidi="bn-BD"/>
        </w:rPr>
        <w:t xml:space="preserve">Vertinama, </w:t>
      </w:r>
      <w:r>
        <w:rPr>
          <w:sz w:val="20"/>
          <w:szCs w:val="25"/>
          <w:lang w:bidi="bn-BD"/>
        </w:rPr>
        <w:t>atsižvelgiant į fiskalinės drausmės reikalavimus ir Europos Sąjungos statistikos tarnybos (Eurostato) reikalavimus.</w:t>
      </w:r>
    </w:p>
  </w:footnote>
  <w:footnote w:id="14">
    <w:p w14:paraId="69EFE2F6" w14:textId="77777777" w:rsidR="00B35690" w:rsidRDefault="00B35690" w:rsidP="0058474C">
      <w:pPr>
        <w:rPr>
          <w:sz w:val="20"/>
          <w:szCs w:val="25"/>
          <w:lang w:bidi="bn-BD"/>
        </w:rPr>
      </w:pPr>
      <w:r>
        <w:rPr>
          <w:sz w:val="20"/>
          <w:szCs w:val="25"/>
          <w:vertAlign w:val="superscript"/>
          <w:lang w:bidi="bn-BD"/>
        </w:rPr>
        <w:footnoteRef/>
      </w:r>
      <w:r>
        <w:rPr>
          <w:sz w:val="20"/>
          <w:szCs w:val="25"/>
          <w:lang w:bidi="bn-BD"/>
        </w:rPr>
        <w:t xml:space="preserve"> Maksimali </w:t>
      </w:r>
      <w:r>
        <w:rPr>
          <w:sz w:val="20"/>
          <w:szCs w:val="25"/>
          <w:lang w:bidi="bn-BD"/>
        </w:rPr>
        <w:t>PVM mokėtina suma, kuri tikėtina grįš į valstybės biudžetą.</w:t>
      </w:r>
    </w:p>
  </w:footnote>
  <w:footnote w:id="15">
    <w:p w14:paraId="40975DD4" w14:textId="77777777" w:rsidR="00B35690" w:rsidRDefault="00B35690" w:rsidP="0058474C">
      <w:pPr>
        <w:rPr>
          <w:sz w:val="20"/>
          <w:szCs w:val="25"/>
          <w:lang w:bidi="bn-BD"/>
        </w:rPr>
      </w:pPr>
      <w:r>
        <w:rPr>
          <w:sz w:val="20"/>
          <w:szCs w:val="25"/>
          <w:vertAlign w:val="superscript"/>
          <w:lang w:bidi="bn-BD"/>
        </w:rPr>
        <w:footnoteRef/>
      </w:r>
      <w:r>
        <w:rPr>
          <w:sz w:val="20"/>
          <w:szCs w:val="25"/>
          <w:lang w:bidi="bn-BD"/>
        </w:rPr>
        <w:t xml:space="preserve"> Angl. </w:t>
      </w:r>
      <w:r>
        <w:rPr>
          <w:sz w:val="20"/>
          <w:szCs w:val="25"/>
          <w:lang w:bidi="bn-BD"/>
        </w:rPr>
        <w:t>k. (</w:t>
      </w:r>
      <w:r w:rsidRPr="00186A14">
        <w:rPr>
          <w:sz w:val="20"/>
          <w:szCs w:val="25"/>
          <w:lang w:bidi="bn-BD"/>
        </w:rPr>
        <w:t>financial viability</w:t>
      </w:r>
      <w:r>
        <w:rPr>
          <w:sz w:val="20"/>
          <w:szCs w:val="25"/>
          <w:lang w:bidi="bn-BD"/>
        </w:rPr>
        <w:t xml:space="preserve">) – finansinių galimybių padengti projekto išlaidas, vykdyti įsipareigojimus, sugeneruoti pakankamą grąžą privačiam subjektui kompleksinis vertinimas. Vertinimas atliekamas atsižvelgiant į investicijų projekto skaičiuoklės 7.2 darbalapį. </w:t>
      </w:r>
    </w:p>
  </w:footnote>
  <w:footnote w:id="16">
    <w:p w14:paraId="09F7587F" w14:textId="77777777" w:rsidR="00B35690" w:rsidRDefault="00B35690" w:rsidP="0058474C">
      <w:pPr>
        <w:rPr>
          <w:sz w:val="20"/>
          <w:szCs w:val="25"/>
          <w:lang w:bidi="bn-BD"/>
        </w:rPr>
      </w:pPr>
      <w:r>
        <w:rPr>
          <w:sz w:val="20"/>
          <w:szCs w:val="25"/>
          <w:vertAlign w:val="superscript"/>
          <w:lang w:val="en-US" w:bidi="bn-BD"/>
        </w:rPr>
        <w:footnoteRef/>
      </w:r>
      <w:r>
        <w:rPr>
          <w:sz w:val="20"/>
          <w:szCs w:val="25"/>
          <w:lang w:bidi="bn-BD"/>
        </w:rPr>
        <w:t xml:space="preserve"> Atlygis </w:t>
      </w:r>
      <w:r>
        <w:rPr>
          <w:sz w:val="20"/>
          <w:szCs w:val="25"/>
          <w:lang w:bidi="bn-BD"/>
        </w:rPr>
        <w:t>suprantamas, kaip suteikiančiosios institucijos mokėjimas koncesininkui arba bet kurios rūšies finansinė nauda, įskaitant kompensacijas už viešųjų paslaugų teikimą ar investicijų subsidijas. Taikoma tik koncesijos atveju.</w:t>
      </w:r>
    </w:p>
  </w:footnote>
  <w:footnote w:id="17">
    <w:p w14:paraId="710AC8BD" w14:textId="77777777" w:rsidR="00B35690" w:rsidRDefault="00B35690" w:rsidP="0058474C">
      <w:pPr>
        <w:rPr>
          <w:sz w:val="20"/>
          <w:szCs w:val="25"/>
          <w:lang w:bidi="bn-BD"/>
        </w:rPr>
      </w:pPr>
      <w:r>
        <w:rPr>
          <w:sz w:val="20"/>
          <w:szCs w:val="25"/>
          <w:vertAlign w:val="superscript"/>
          <w:lang w:val="en-US" w:bidi="bn-BD"/>
        </w:rPr>
        <w:footnoteRef/>
      </w:r>
      <w:r>
        <w:rPr>
          <w:sz w:val="20"/>
          <w:szCs w:val="25"/>
          <w:lang w:bidi="bn-BD"/>
        </w:rPr>
        <w:t xml:space="preserve"> VPSP </w:t>
      </w:r>
      <w:r>
        <w:rPr>
          <w:sz w:val="20"/>
          <w:szCs w:val="25"/>
          <w:lang w:bidi="bn-BD"/>
        </w:rPr>
        <w:t>projekto veiklos pelno grąža skaičiuojama prieš nusidėvėjimą ir amortizaciją (angl. k. EBITDA)</w:t>
      </w:r>
    </w:p>
  </w:footnote>
  <w:footnote w:id="18">
    <w:p w14:paraId="45C3FB3D" w14:textId="77777777" w:rsidR="00B35690" w:rsidRDefault="00B35690" w:rsidP="0058474C">
      <w:pPr>
        <w:rPr>
          <w:sz w:val="20"/>
          <w:szCs w:val="25"/>
          <w:lang w:bidi="bn-BD"/>
        </w:rPr>
      </w:pPr>
      <w:r>
        <w:rPr>
          <w:sz w:val="20"/>
          <w:szCs w:val="25"/>
          <w:vertAlign w:val="superscript"/>
          <w:lang w:val="en-US" w:bidi="bn-BD"/>
        </w:rPr>
        <w:footnoteRef/>
      </w:r>
      <w:r>
        <w:rPr>
          <w:sz w:val="20"/>
          <w:szCs w:val="25"/>
          <w:lang w:bidi="bn-BD"/>
        </w:rPr>
        <w:t xml:space="preserve"> </w:t>
      </w:r>
      <w:r>
        <w:rPr>
          <w:sz w:val="20"/>
          <w:szCs w:val="25"/>
          <w:lang w:bidi="bn-BD"/>
        </w:rPr>
        <w:t>Viešasis subjektas turi užtikrinti pakankamą finansavimą (jei aktualu), savo finansiniams įsipareigojimams vykdyti, jog VPSP projektas galėtų būti įgyvendintas.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83066"/>
      <w:docPartObj>
        <w:docPartGallery w:val="Page Numbers (Top of Page)"/>
        <w:docPartUnique/>
      </w:docPartObj>
    </w:sdtPr>
    <w:sdtEndPr>
      <w:rPr>
        <w:noProof/>
      </w:rPr>
    </w:sdtEndPr>
    <w:sdtContent>
      <w:p w14:paraId="49C9D061" w14:textId="23F6D310" w:rsidR="00B35690" w:rsidRDefault="00B35690">
        <w:pPr>
          <w:pStyle w:val="Header"/>
          <w:jc w:val="center"/>
        </w:pPr>
        <w:r>
          <w:fldChar w:fldCharType="begin"/>
        </w:r>
        <w:r>
          <w:instrText xml:space="preserve"> PAGE   \* MERGEFORMAT </w:instrText>
        </w:r>
        <w:r>
          <w:fldChar w:fldCharType="separate"/>
        </w:r>
        <w:r w:rsidR="008D0187">
          <w:rPr>
            <w:noProof/>
          </w:rPr>
          <w:t>19</w:t>
        </w:r>
        <w:r>
          <w:rPr>
            <w:noProof/>
          </w:rPr>
          <w:fldChar w:fldCharType="end"/>
        </w:r>
      </w:p>
    </w:sdtContent>
  </w:sdt>
  <w:p w14:paraId="5E4BFE04" w14:textId="77777777" w:rsidR="00B35690" w:rsidRDefault="00B35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853997"/>
    <w:multiLevelType w:val="hybridMultilevel"/>
    <w:tmpl w:val="6BB0AB72"/>
    <w:lvl w:ilvl="0" w:tplc="ED5C9E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773FD7"/>
    <w:multiLevelType w:val="hybridMultilevel"/>
    <w:tmpl w:val="8EF6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93654"/>
    <w:multiLevelType w:val="hybridMultilevel"/>
    <w:tmpl w:val="8126199A"/>
    <w:lvl w:ilvl="0" w:tplc="C76E6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52FAE"/>
    <w:multiLevelType w:val="hybridMultilevel"/>
    <w:tmpl w:val="BCB28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8BF08BD"/>
    <w:multiLevelType w:val="hybridMultilevel"/>
    <w:tmpl w:val="A20E8BAC"/>
    <w:lvl w:ilvl="0" w:tplc="BFCEFD5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1A96886"/>
    <w:multiLevelType w:val="hybridMultilevel"/>
    <w:tmpl w:val="72A4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26DD3"/>
    <w:multiLevelType w:val="hybridMultilevel"/>
    <w:tmpl w:val="059A5548"/>
    <w:lvl w:ilvl="0" w:tplc="B05425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650EC9"/>
    <w:multiLevelType w:val="hybridMultilevel"/>
    <w:tmpl w:val="FBAE0B36"/>
    <w:lvl w:ilvl="0" w:tplc="6D36303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1EE7D0F"/>
    <w:multiLevelType w:val="hybridMultilevel"/>
    <w:tmpl w:val="53B487B0"/>
    <w:lvl w:ilvl="0" w:tplc="6DCCC05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C466F22"/>
    <w:multiLevelType w:val="hybridMultilevel"/>
    <w:tmpl w:val="0A56F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8"/>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5"/>
  </w:num>
  <w:num w:numId="21">
    <w:abstractNumId w:val="20"/>
  </w:num>
  <w:num w:numId="22">
    <w:abstractNumId w:val="11"/>
  </w:num>
  <w:num w:numId="23">
    <w:abstractNumId w:val="32"/>
  </w:num>
  <w:num w:numId="24">
    <w:abstractNumId w:val="15"/>
  </w:num>
  <w:num w:numId="25">
    <w:abstractNumId w:val="31"/>
  </w:num>
  <w:num w:numId="26">
    <w:abstractNumId w:val="21"/>
  </w:num>
  <w:num w:numId="27">
    <w:abstractNumId w:val="16"/>
  </w:num>
  <w:num w:numId="28">
    <w:abstractNumId w:val="30"/>
  </w:num>
  <w:num w:numId="29">
    <w:abstractNumId w:val="26"/>
  </w:num>
  <w:num w:numId="30">
    <w:abstractNumId w:val="23"/>
  </w:num>
  <w:num w:numId="31">
    <w:abstractNumId w:val="13"/>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66"/>
    <w:rsid w:val="000111A3"/>
    <w:rsid w:val="000263A8"/>
    <w:rsid w:val="00037E84"/>
    <w:rsid w:val="00055BF2"/>
    <w:rsid w:val="00055D3A"/>
    <w:rsid w:val="00056DB2"/>
    <w:rsid w:val="000744B3"/>
    <w:rsid w:val="00085F8E"/>
    <w:rsid w:val="000A4A36"/>
    <w:rsid w:val="000B3FEA"/>
    <w:rsid w:val="000C2CCC"/>
    <w:rsid w:val="000D3DEE"/>
    <w:rsid w:val="000D5DA8"/>
    <w:rsid w:val="000E009E"/>
    <w:rsid w:val="000E3F36"/>
    <w:rsid w:val="000F0355"/>
    <w:rsid w:val="001016A7"/>
    <w:rsid w:val="00101A2E"/>
    <w:rsid w:val="001063CB"/>
    <w:rsid w:val="0011582D"/>
    <w:rsid w:val="00121350"/>
    <w:rsid w:val="00137041"/>
    <w:rsid w:val="0015458E"/>
    <w:rsid w:val="00165307"/>
    <w:rsid w:val="001C3315"/>
    <w:rsid w:val="001D17C5"/>
    <w:rsid w:val="001D4BC1"/>
    <w:rsid w:val="001D4E26"/>
    <w:rsid w:val="001D654A"/>
    <w:rsid w:val="001E5ECD"/>
    <w:rsid w:val="001F0E46"/>
    <w:rsid w:val="001F2298"/>
    <w:rsid w:val="001F564B"/>
    <w:rsid w:val="001F65CE"/>
    <w:rsid w:val="00200FD0"/>
    <w:rsid w:val="00222E01"/>
    <w:rsid w:val="0022306C"/>
    <w:rsid w:val="00226B5E"/>
    <w:rsid w:val="0024632E"/>
    <w:rsid w:val="002465C9"/>
    <w:rsid w:val="00260DE4"/>
    <w:rsid w:val="0028583B"/>
    <w:rsid w:val="00292A71"/>
    <w:rsid w:val="00293A86"/>
    <w:rsid w:val="00294349"/>
    <w:rsid w:val="00296A76"/>
    <w:rsid w:val="002B00D0"/>
    <w:rsid w:val="002C4437"/>
    <w:rsid w:val="002C7220"/>
    <w:rsid w:val="002C7500"/>
    <w:rsid w:val="002D07FD"/>
    <w:rsid w:val="002D2F35"/>
    <w:rsid w:val="002D3CAE"/>
    <w:rsid w:val="002D40C5"/>
    <w:rsid w:val="002D54B5"/>
    <w:rsid w:val="002E7F3B"/>
    <w:rsid w:val="002F4E34"/>
    <w:rsid w:val="00334EA4"/>
    <w:rsid w:val="00340D58"/>
    <w:rsid w:val="00343438"/>
    <w:rsid w:val="0035224A"/>
    <w:rsid w:val="00356E6B"/>
    <w:rsid w:val="003573C1"/>
    <w:rsid w:val="0038128E"/>
    <w:rsid w:val="00396EE4"/>
    <w:rsid w:val="003A12BD"/>
    <w:rsid w:val="003A452A"/>
    <w:rsid w:val="003C3092"/>
    <w:rsid w:val="003C3683"/>
    <w:rsid w:val="003C4D19"/>
    <w:rsid w:val="003D6134"/>
    <w:rsid w:val="003F351D"/>
    <w:rsid w:val="003F7540"/>
    <w:rsid w:val="00406F2F"/>
    <w:rsid w:val="00414A75"/>
    <w:rsid w:val="0041530F"/>
    <w:rsid w:val="00420232"/>
    <w:rsid w:val="0043033B"/>
    <w:rsid w:val="00440230"/>
    <w:rsid w:val="00442F32"/>
    <w:rsid w:val="00456178"/>
    <w:rsid w:val="00470EA9"/>
    <w:rsid w:val="004D4233"/>
    <w:rsid w:val="004E0789"/>
    <w:rsid w:val="00500FAD"/>
    <w:rsid w:val="0050654F"/>
    <w:rsid w:val="00535678"/>
    <w:rsid w:val="00537BF3"/>
    <w:rsid w:val="0054453A"/>
    <w:rsid w:val="00554FDD"/>
    <w:rsid w:val="00560CDC"/>
    <w:rsid w:val="0056198C"/>
    <w:rsid w:val="005829D3"/>
    <w:rsid w:val="0058474C"/>
    <w:rsid w:val="00587CD2"/>
    <w:rsid w:val="00590881"/>
    <w:rsid w:val="00592E16"/>
    <w:rsid w:val="00593DA8"/>
    <w:rsid w:val="005A4134"/>
    <w:rsid w:val="005C27E3"/>
    <w:rsid w:val="005C3DA1"/>
    <w:rsid w:val="005C59CC"/>
    <w:rsid w:val="005C7426"/>
    <w:rsid w:val="005D6109"/>
    <w:rsid w:val="005D6193"/>
    <w:rsid w:val="005E175A"/>
    <w:rsid w:val="005E2C5C"/>
    <w:rsid w:val="0061026B"/>
    <w:rsid w:val="00612C47"/>
    <w:rsid w:val="00615E1C"/>
    <w:rsid w:val="006255D6"/>
    <w:rsid w:val="00637756"/>
    <w:rsid w:val="00645252"/>
    <w:rsid w:val="00661BF1"/>
    <w:rsid w:val="00673CB2"/>
    <w:rsid w:val="00682606"/>
    <w:rsid w:val="00684272"/>
    <w:rsid w:val="00684E8A"/>
    <w:rsid w:val="006876B5"/>
    <w:rsid w:val="00692D55"/>
    <w:rsid w:val="006A2172"/>
    <w:rsid w:val="006D0052"/>
    <w:rsid w:val="006D06BA"/>
    <w:rsid w:val="006D092D"/>
    <w:rsid w:val="006D13E9"/>
    <w:rsid w:val="006D354F"/>
    <w:rsid w:val="006D3D74"/>
    <w:rsid w:val="006D6F69"/>
    <w:rsid w:val="006E4DC2"/>
    <w:rsid w:val="006F02FE"/>
    <w:rsid w:val="0071020A"/>
    <w:rsid w:val="0072720C"/>
    <w:rsid w:val="0072728B"/>
    <w:rsid w:val="00730A3E"/>
    <w:rsid w:val="007760F8"/>
    <w:rsid w:val="00786D37"/>
    <w:rsid w:val="0079048C"/>
    <w:rsid w:val="00794071"/>
    <w:rsid w:val="007947BF"/>
    <w:rsid w:val="00795944"/>
    <w:rsid w:val="007961FC"/>
    <w:rsid w:val="007977DA"/>
    <w:rsid w:val="007A1DBD"/>
    <w:rsid w:val="007A5091"/>
    <w:rsid w:val="007A55B7"/>
    <w:rsid w:val="007A7A22"/>
    <w:rsid w:val="007B4244"/>
    <w:rsid w:val="007C503D"/>
    <w:rsid w:val="007D0110"/>
    <w:rsid w:val="007D0574"/>
    <w:rsid w:val="007D1745"/>
    <w:rsid w:val="007E78B6"/>
    <w:rsid w:val="008022C2"/>
    <w:rsid w:val="0081449C"/>
    <w:rsid w:val="00821FE5"/>
    <w:rsid w:val="00844BAA"/>
    <w:rsid w:val="00844DC1"/>
    <w:rsid w:val="00883B7E"/>
    <w:rsid w:val="00895BC0"/>
    <w:rsid w:val="008A5752"/>
    <w:rsid w:val="008B1551"/>
    <w:rsid w:val="008B2805"/>
    <w:rsid w:val="008B594F"/>
    <w:rsid w:val="008B602A"/>
    <w:rsid w:val="008B619D"/>
    <w:rsid w:val="008C3FE2"/>
    <w:rsid w:val="008D0187"/>
    <w:rsid w:val="008D2671"/>
    <w:rsid w:val="008D611A"/>
    <w:rsid w:val="008E23A6"/>
    <w:rsid w:val="008E3D40"/>
    <w:rsid w:val="008F028A"/>
    <w:rsid w:val="008F386C"/>
    <w:rsid w:val="00903830"/>
    <w:rsid w:val="00904497"/>
    <w:rsid w:val="0092429B"/>
    <w:rsid w:val="00954A46"/>
    <w:rsid w:val="0096270B"/>
    <w:rsid w:val="009678AC"/>
    <w:rsid w:val="00990995"/>
    <w:rsid w:val="009A0866"/>
    <w:rsid w:val="009B1297"/>
    <w:rsid w:val="009B1581"/>
    <w:rsid w:val="009D3FB7"/>
    <w:rsid w:val="009D7413"/>
    <w:rsid w:val="009E0BF9"/>
    <w:rsid w:val="009E1B28"/>
    <w:rsid w:val="009E5375"/>
    <w:rsid w:val="009F3CED"/>
    <w:rsid w:val="00A07166"/>
    <w:rsid w:val="00A35E99"/>
    <w:rsid w:val="00A4757A"/>
    <w:rsid w:val="00A53FC2"/>
    <w:rsid w:val="00A70388"/>
    <w:rsid w:val="00A80F28"/>
    <w:rsid w:val="00A9168E"/>
    <w:rsid w:val="00A9204E"/>
    <w:rsid w:val="00AB3672"/>
    <w:rsid w:val="00AD28A8"/>
    <w:rsid w:val="00AE6AA4"/>
    <w:rsid w:val="00AF03FE"/>
    <w:rsid w:val="00AF05AA"/>
    <w:rsid w:val="00AF4DF0"/>
    <w:rsid w:val="00B206D8"/>
    <w:rsid w:val="00B226AD"/>
    <w:rsid w:val="00B35690"/>
    <w:rsid w:val="00B470FF"/>
    <w:rsid w:val="00B51489"/>
    <w:rsid w:val="00B54D76"/>
    <w:rsid w:val="00B72098"/>
    <w:rsid w:val="00B73D8A"/>
    <w:rsid w:val="00B84D16"/>
    <w:rsid w:val="00B9508B"/>
    <w:rsid w:val="00BA17A8"/>
    <w:rsid w:val="00BA5678"/>
    <w:rsid w:val="00BA6A10"/>
    <w:rsid w:val="00BD0899"/>
    <w:rsid w:val="00BD649E"/>
    <w:rsid w:val="00BE08E3"/>
    <w:rsid w:val="00BE4695"/>
    <w:rsid w:val="00BE6919"/>
    <w:rsid w:val="00BF47BA"/>
    <w:rsid w:val="00BF5739"/>
    <w:rsid w:val="00BF59AA"/>
    <w:rsid w:val="00C16409"/>
    <w:rsid w:val="00C652AB"/>
    <w:rsid w:val="00C72C36"/>
    <w:rsid w:val="00C82681"/>
    <w:rsid w:val="00C84802"/>
    <w:rsid w:val="00C9726D"/>
    <w:rsid w:val="00CB1904"/>
    <w:rsid w:val="00CC708B"/>
    <w:rsid w:val="00CD4302"/>
    <w:rsid w:val="00CD75C1"/>
    <w:rsid w:val="00CF4B3B"/>
    <w:rsid w:val="00D04EA6"/>
    <w:rsid w:val="00D05402"/>
    <w:rsid w:val="00D124DE"/>
    <w:rsid w:val="00D1497B"/>
    <w:rsid w:val="00D16AF7"/>
    <w:rsid w:val="00D455F3"/>
    <w:rsid w:val="00D505B6"/>
    <w:rsid w:val="00D56E5B"/>
    <w:rsid w:val="00D65A85"/>
    <w:rsid w:val="00D70A0E"/>
    <w:rsid w:val="00D93F44"/>
    <w:rsid w:val="00D97B0E"/>
    <w:rsid w:val="00DA2E11"/>
    <w:rsid w:val="00DA6B56"/>
    <w:rsid w:val="00DB555A"/>
    <w:rsid w:val="00DC1B30"/>
    <w:rsid w:val="00DC58BA"/>
    <w:rsid w:val="00DD2D60"/>
    <w:rsid w:val="00DD4580"/>
    <w:rsid w:val="00DD4F0F"/>
    <w:rsid w:val="00DE467B"/>
    <w:rsid w:val="00E03194"/>
    <w:rsid w:val="00E04B63"/>
    <w:rsid w:val="00E04DBA"/>
    <w:rsid w:val="00E0682D"/>
    <w:rsid w:val="00E102C4"/>
    <w:rsid w:val="00E15977"/>
    <w:rsid w:val="00E16864"/>
    <w:rsid w:val="00E27E58"/>
    <w:rsid w:val="00E43574"/>
    <w:rsid w:val="00E459B2"/>
    <w:rsid w:val="00E516A6"/>
    <w:rsid w:val="00E53FC3"/>
    <w:rsid w:val="00E65013"/>
    <w:rsid w:val="00E66C79"/>
    <w:rsid w:val="00E67429"/>
    <w:rsid w:val="00E72F36"/>
    <w:rsid w:val="00E766E5"/>
    <w:rsid w:val="00E80958"/>
    <w:rsid w:val="00E8316C"/>
    <w:rsid w:val="00EB2663"/>
    <w:rsid w:val="00EB2C2B"/>
    <w:rsid w:val="00EC4AAE"/>
    <w:rsid w:val="00EC5BB9"/>
    <w:rsid w:val="00ED62C9"/>
    <w:rsid w:val="00F15927"/>
    <w:rsid w:val="00F21EDB"/>
    <w:rsid w:val="00F327A4"/>
    <w:rsid w:val="00F3466B"/>
    <w:rsid w:val="00F403C0"/>
    <w:rsid w:val="00F64A95"/>
    <w:rsid w:val="00F70794"/>
    <w:rsid w:val="00F71867"/>
    <w:rsid w:val="00F75276"/>
    <w:rsid w:val="00F824C8"/>
    <w:rsid w:val="00F852C0"/>
    <w:rsid w:val="00F85E43"/>
    <w:rsid w:val="00F866F4"/>
    <w:rsid w:val="00FB3466"/>
    <w:rsid w:val="00FB3E41"/>
    <w:rsid w:val="00FB68B0"/>
    <w:rsid w:val="00FC712A"/>
    <w:rsid w:val="00FD35CD"/>
    <w:rsid w:val="00FD4B58"/>
    <w:rsid w:val="00FD5F45"/>
    <w:rsid w:val="00FE2054"/>
    <w:rsid w:val="00FE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F9F7"/>
  <w15:chartTrackingRefBased/>
  <w15:docId w15:val="{64F4FF64-5986-41FD-BCB9-FAFD9C42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66"/>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D3D74"/>
  </w:style>
  <w:style w:type="paragraph" w:styleId="ListParagraph">
    <w:name w:val="List Paragraph"/>
    <w:aliases w:val="Buletai,List Paragr1,List Paragraph1,ERP-List Paragraph,List Paragraph11,Bullet EY,Sąrašo pastraipa1,Table of contents numbered,List Paragraph21,Numbering,List Paragraph2,Paragraph,lp1,Use Case List Paragraph,List Paragraph111"/>
    <w:basedOn w:val="Normal"/>
    <w:link w:val="ListParagraphChar"/>
    <w:uiPriority w:val="34"/>
    <w:unhideWhenUsed/>
    <w:qFormat/>
    <w:rsid w:val="007D1745"/>
    <w:pPr>
      <w:ind w:left="720"/>
      <w:contextualSpacing/>
    </w:pPr>
  </w:style>
  <w:style w:type="character" w:styleId="FootnoteReference">
    <w:name w:val="footnote reference"/>
    <w:basedOn w:val="DefaultParagraphFont"/>
    <w:uiPriority w:val="99"/>
    <w:semiHidden/>
    <w:unhideWhenUsed/>
    <w:rsid w:val="00E04DBA"/>
    <w:rPr>
      <w:vertAlign w:val="superscript"/>
    </w:rPr>
  </w:style>
  <w:style w:type="table" w:styleId="TableGrid">
    <w:name w:val="Table Grid"/>
    <w:basedOn w:val="TableNormal"/>
    <w:uiPriority w:val="39"/>
    <w:rsid w:val="008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etai Char,List Paragr1 Char,List Paragraph1 Char,ERP-List Paragraph Char,List Paragraph11 Char,Bullet EY Char,Sąrašo pastraipa1 Char,Table of contents numbered Char,List Paragraph21 Char,Numbering Char,List Paragraph2 Char"/>
    <w:link w:val="ListParagraph"/>
    <w:uiPriority w:val="34"/>
    <w:locked/>
    <w:rsid w:val="00085F8E"/>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nga-pa\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DFE4C65014478BD7E9EAE44085222"/>
        <w:category>
          <w:name w:val="General"/>
          <w:gallery w:val="placeholder"/>
        </w:category>
        <w:types>
          <w:type w:val="bbPlcHdr"/>
        </w:types>
        <w:behaviors>
          <w:behavior w:val="content"/>
        </w:behaviors>
        <w:guid w:val="{D3209EAF-F3B5-4C99-9157-960588DC3576}"/>
      </w:docPartPr>
      <w:docPartBody>
        <w:p w:rsidR="0049075F" w:rsidRDefault="00420128" w:rsidP="00420128">
          <w:pPr>
            <w:pStyle w:val="B7FDFE4C65014478BD7E9EAE44085222"/>
          </w:pPr>
          <w:r w:rsidRPr="00504366">
            <w:rPr>
              <w:rStyle w:val="PlaceholderText"/>
            </w:rPr>
            <w:t>Click or tap here to enter text.</w:t>
          </w:r>
        </w:p>
      </w:docPartBody>
    </w:docPart>
    <w:docPart>
      <w:docPartPr>
        <w:name w:val="38ADD830CC9E4338A1A322CF0998346E"/>
        <w:category>
          <w:name w:val="General"/>
          <w:gallery w:val="placeholder"/>
        </w:category>
        <w:types>
          <w:type w:val="bbPlcHdr"/>
        </w:types>
        <w:behaviors>
          <w:behavior w:val="content"/>
        </w:behaviors>
        <w:guid w:val="{DF1E5F19-3987-4667-AADE-8CEBC1853DB8}"/>
      </w:docPartPr>
      <w:docPartBody>
        <w:p w:rsidR="0049075F" w:rsidRDefault="00420128" w:rsidP="00420128">
          <w:pPr>
            <w:pStyle w:val="38ADD830CC9E4338A1A322CF0998346E"/>
          </w:pPr>
          <w:r w:rsidRPr="005043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77"/>
    <w:rsid w:val="00122B24"/>
    <w:rsid w:val="001E3981"/>
    <w:rsid w:val="00225816"/>
    <w:rsid w:val="00337477"/>
    <w:rsid w:val="00420128"/>
    <w:rsid w:val="0049075F"/>
    <w:rsid w:val="00997A1E"/>
    <w:rsid w:val="009E5F81"/>
    <w:rsid w:val="00A117B5"/>
    <w:rsid w:val="00AC304C"/>
    <w:rsid w:val="00CD1013"/>
    <w:rsid w:val="00DC451A"/>
    <w:rsid w:val="00FA1A06"/>
    <w:rsid w:val="00FD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128"/>
    <w:rPr>
      <w:color w:val="3B3838" w:themeColor="background2" w:themeShade="40"/>
    </w:rPr>
  </w:style>
  <w:style w:type="paragraph" w:customStyle="1" w:styleId="B7FDFE4C65014478BD7E9EAE44085222">
    <w:name w:val="B7FDFE4C65014478BD7E9EAE44085222"/>
    <w:rsid w:val="00420128"/>
    <w:rPr>
      <w:lang w:val="lt-LT" w:eastAsia="lt-LT"/>
    </w:rPr>
  </w:style>
  <w:style w:type="paragraph" w:customStyle="1" w:styleId="38ADD830CC9E4338A1A322CF0998346E">
    <w:name w:val="38ADD830CC9E4338A1A322CF0998346E"/>
    <w:rsid w:val="00420128"/>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ExportDate xmlns="a843bbba-5665-4b5f-aacc-cdcb1c804839" xsi:nil="true"/>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Loreta Juškaitė-Pečul</DisplayName>
        <AccountId>830</AccountId>
        <AccountType/>
      </UserInfo>
      <UserInfo>
        <DisplayName>Sigita Vingrienė</DisplayName>
        <AccountId>646</AccountId>
        <AccountType/>
      </UserInfo>
      <UserInfo>
        <DisplayName>Jekaterina Šarmavičienė</DisplayName>
        <AccountId>219</AccountId>
        <AccountType/>
      </UserInfo>
    </DmsPermissionsUsers>
    <DmsCommChanPerm xmlns="028236e2-f653-4d19-ab67-4d06a9145e0c" xsi:nil="true"/>
    <DmsPermissionsConfid xmlns="f5ebda27-b626-448f-a7d1-d1cf5ad133f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4c9bf40351b236492682a2d3473eac02">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69b6eb721e51d17af17b6113f417a729"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AA09E-1551-4936-A798-50EC157A0F62}"/>
</file>

<file path=customXml/itemProps2.xml><?xml version="1.0" encoding="utf-8"?>
<ds:datastoreItem xmlns:ds="http://schemas.openxmlformats.org/officeDocument/2006/customXml" ds:itemID="{7FBDB1CC-CEFB-4E46-8174-1F0AA0D30B24}"/>
</file>

<file path=customXml/itemProps3.xml><?xml version="1.0" encoding="utf-8"?>
<ds:datastoreItem xmlns:ds="http://schemas.openxmlformats.org/officeDocument/2006/customXml" ds:itemID="{41430B19-0080-43DB-97BA-82BE2A274A7D}"/>
</file>

<file path=customXml/itemProps4.xml><?xml version="1.0" encoding="utf-8"?>
<ds:datastoreItem xmlns:ds="http://schemas.openxmlformats.org/officeDocument/2006/customXml" ds:itemID="{611F196F-1CAF-4AE1-8632-411ED83ABBB1}"/>
</file>

<file path=docProps/app.xml><?xml version="1.0" encoding="utf-8"?>
<Properties xmlns="http://schemas.openxmlformats.org/officeDocument/2006/extended-properties" xmlns:vt="http://schemas.openxmlformats.org/officeDocument/2006/docPropsVTypes">
  <Template>Single spaced (blank).dotx</Template>
  <TotalTime>6</TotalTime>
  <Pages>19</Pages>
  <Words>27661</Words>
  <Characters>15768</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Išvada Moletai 2022-03-23</dc:title>
  <dc:subject/>
  <dc:creator>Windows User</dc:creator>
  <cp:keywords/>
  <dc:description/>
  <cp:lastModifiedBy>Sigita Vingrienė</cp:lastModifiedBy>
  <cp:revision>3</cp:revision>
  <cp:lastPrinted>2021-07-26T03:34:00Z</cp:lastPrinted>
  <dcterms:created xsi:type="dcterms:W3CDTF">2022-03-23T05:46:00Z</dcterms:created>
  <dcterms:modified xsi:type="dcterms:W3CDTF">2022-03-23T05:52:00Z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0x01010085772C3215B6614FB6DE0E33B8FFBAB8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DmsPermissionsFlags">
    <vt:lpwstr>,SECTRUE,</vt:lpwstr>
  </property>
  <property fmtid="{D5CDD505-2E9C-101B-9397-08002B2CF9AE}" pid="10" name="DmsPermissionsUsers">
    <vt:lpwstr>830;#Loreta Juškaitė-Pečul;#646;#Sigita Vingrienė;#219;#Jekaterina Šarmavičienė</vt:lpwstr>
  </property>
  <property fmtid="{D5CDD505-2E9C-101B-9397-08002B2CF9AE}" pid="11" name="DmsPermissionsDivisions">
    <vt:lpwstr>61;#Viešosios ir privačios partnerystės skyrius|867ae142-fdb5-49bb-a29d-0bd74dc3e11a</vt:lpwstr>
  </property>
  <property fmtid="{D5CDD505-2E9C-101B-9397-08002B2CF9AE}" pid="12" name="TaxCatchAll">
    <vt:lpwstr/>
  </property>
  <property fmtid="{D5CDD505-2E9C-101B-9397-08002B2CF9AE}" pid="13" name="DmsWaitingForSign">
    <vt:bool>true</vt:bool>
  </property>
</Properties>
</file>