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2383EE0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135071">
        <w:rPr>
          <w:b/>
          <w:caps/>
          <w:noProof/>
        </w:rPr>
        <w:t xml:space="preserve">uždarajai akcinei bendrovei </w:t>
      </w:r>
      <w:r w:rsidR="00135071" w:rsidRPr="00135071">
        <w:rPr>
          <w:b/>
          <w:caps/>
          <w:noProof/>
        </w:rPr>
        <w:t>„</w:t>
      </w:r>
      <w:r w:rsidR="00135071">
        <w:rPr>
          <w:b/>
          <w:caps/>
          <w:noProof/>
        </w:rPr>
        <w:t>molėtų vanduo</w:t>
      </w:r>
      <w:r w:rsidR="00135071" w:rsidRPr="00135071">
        <w:rPr>
          <w:b/>
          <w:caps/>
          <w:noProof/>
        </w:rPr>
        <w:t>“</w:t>
      </w:r>
      <w:r w:rsidR="00135071">
        <w:rPr>
          <w:b/>
          <w:caps/>
          <w:noProof/>
        </w:rPr>
        <w:t xml:space="preserve"> </w:t>
      </w:r>
      <w:r w:rsidR="00706050" w:rsidRPr="00706050">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02534B1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627E4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5071">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C1BDE">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11219">
        <w:rPr>
          <w:noProof/>
        </w:rPr>
        <w:t>B1-</w:t>
      </w:r>
      <w:r w:rsidR="00BC1BDE">
        <w:rPr>
          <w:noProof/>
        </w:rPr>
        <w:t>151</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34B2245" w14:textId="346E995E" w:rsidR="00B35016" w:rsidRDefault="00B35016" w:rsidP="00CC2035">
      <w:pPr>
        <w:tabs>
          <w:tab w:val="left" w:pos="709"/>
        </w:tabs>
        <w:spacing w:after="160" w:line="360" w:lineRule="auto"/>
        <w:jc w:val="both"/>
      </w:pPr>
    </w:p>
    <w:p w14:paraId="0906114F" w14:textId="5DE154A2" w:rsidR="00B35016" w:rsidRDefault="00B35016" w:rsidP="00B35016">
      <w:pPr>
        <w:spacing w:line="360" w:lineRule="auto"/>
        <w:ind w:firstLine="709"/>
        <w:jc w:val="both"/>
        <w:rPr>
          <w:rFonts w:eastAsia="Calibri"/>
        </w:rPr>
      </w:pPr>
      <w:r>
        <w:t>Vadovaudamasi Lietuvos Respublikos vietos savivaldos įstatymo 6 straipsnio 3, 30 punktais, 16 straipsnio 2 dalies 26 punktu, Lietuvos Respublikos valstybės ir savivaldybių turto valdymo, naudojimo ir disponavimo juo įstatymo 12 straipsnio 1, 3 dalimis, 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 25 punktais, 5.2 papunkčiu, atsižvelgdama į Molėtų rajono savivaldybės administracijos direktoriaus 2022 m</w:t>
      </w:r>
      <w:r w:rsidRPr="00287058">
        <w:t xml:space="preserve">. </w:t>
      </w:r>
      <w:r w:rsidR="00962101" w:rsidRPr="00287058">
        <w:t xml:space="preserve">birželio </w:t>
      </w:r>
      <w:r w:rsidR="00287058" w:rsidRPr="00287058">
        <w:t>21</w:t>
      </w:r>
      <w:r w:rsidRPr="00287058">
        <w:t xml:space="preserve"> d. įsakymą Nr. B6-</w:t>
      </w:r>
      <w:r w:rsidR="00287058" w:rsidRPr="00287058">
        <w:t>742</w:t>
      </w:r>
      <w:r w:rsidRPr="00287058">
        <w:t xml:space="preserve"> „Dėl Molėtų rajono savivaldybės turto pripažinimo nereikalingu“,</w:t>
      </w:r>
      <w:r>
        <w:t xml:space="preserve">  </w:t>
      </w:r>
    </w:p>
    <w:p w14:paraId="48D2BE4B" w14:textId="5055968C" w:rsidR="00B35016" w:rsidRDefault="00B35016" w:rsidP="00B35016">
      <w:pPr>
        <w:spacing w:line="360" w:lineRule="auto"/>
        <w:ind w:firstLine="709"/>
        <w:jc w:val="both"/>
      </w:pPr>
      <w:r>
        <w:t>Molėtų rajono savivaldybės taryba  n u s p r e n d ž i a:</w:t>
      </w:r>
    </w:p>
    <w:p w14:paraId="408EB536" w14:textId="49FD1D91" w:rsidR="008A50C8" w:rsidRDefault="0014454F" w:rsidP="008A50C8">
      <w:pPr>
        <w:pStyle w:val="Pagrindinistekstas"/>
        <w:numPr>
          <w:ilvl w:val="0"/>
          <w:numId w:val="3"/>
        </w:numPr>
        <w:tabs>
          <w:tab w:val="num" w:pos="0"/>
          <w:tab w:val="num" w:pos="568"/>
        </w:tabs>
        <w:spacing w:line="360" w:lineRule="auto"/>
        <w:ind w:left="0" w:firstLine="709"/>
      </w:pPr>
      <w:r>
        <w:t>Perduoti</w:t>
      </w:r>
      <w:r w:rsidR="008A50C8" w:rsidRPr="008A50C8">
        <w:t xml:space="preserve"> </w:t>
      </w:r>
      <w:r w:rsidR="008A50C8">
        <w:t>uždarajai akcinei bendrovei „Molėtų vanduo“ (kodas 167524751) patikėjimo teise pagal turto patikėjimo sutartį</w:t>
      </w:r>
      <w:r w:rsidR="008A50C8" w:rsidRPr="008A50C8">
        <w:t xml:space="preserve"> </w:t>
      </w:r>
      <w:r w:rsidR="008A50C8">
        <w:t>savarankiškosioms funkcijoms – geriamojo vandens tiekimo ir nuotekų tvarkymo organizavimo – įgyvendinimui 20 (dvidešimčiai) metų</w:t>
      </w:r>
      <w:r w:rsidR="008A50C8" w:rsidRPr="008A50C8">
        <w:t xml:space="preserve"> </w:t>
      </w:r>
      <w:r w:rsidR="008A50C8">
        <w:t>Savivaldybei nuosavybės teise priklausantį turtą:</w:t>
      </w: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2552"/>
        <w:gridCol w:w="1417"/>
        <w:gridCol w:w="1276"/>
        <w:gridCol w:w="1416"/>
        <w:gridCol w:w="1560"/>
      </w:tblGrid>
      <w:tr w:rsidR="00732953" w:rsidRPr="00360021" w14:paraId="3E220149" w14:textId="77777777" w:rsidTr="00E81089">
        <w:trPr>
          <w:cantSplit/>
          <w:trHeight w:val="924"/>
        </w:trPr>
        <w:tc>
          <w:tcPr>
            <w:tcW w:w="567" w:type="dxa"/>
            <w:tcBorders>
              <w:top w:val="single" w:sz="4" w:space="0" w:color="auto"/>
              <w:left w:val="single" w:sz="4" w:space="0" w:color="auto"/>
              <w:bottom w:val="single" w:sz="4" w:space="0" w:color="auto"/>
              <w:right w:val="single" w:sz="4" w:space="0" w:color="auto"/>
            </w:tcBorders>
            <w:hideMark/>
          </w:tcPr>
          <w:p w14:paraId="2F5902B2" w14:textId="77777777" w:rsidR="00732953" w:rsidRPr="00360021" w:rsidRDefault="00732953" w:rsidP="002040C8">
            <w:pPr>
              <w:ind w:right="-102"/>
            </w:pPr>
            <w:r w:rsidRPr="00360021">
              <w:t>Eil. Nr.</w:t>
            </w:r>
          </w:p>
        </w:tc>
        <w:tc>
          <w:tcPr>
            <w:tcW w:w="1134" w:type="dxa"/>
            <w:tcBorders>
              <w:top w:val="single" w:sz="4" w:space="0" w:color="auto"/>
              <w:left w:val="single" w:sz="4" w:space="0" w:color="auto"/>
              <w:bottom w:val="single" w:sz="4" w:space="0" w:color="auto"/>
              <w:right w:val="single" w:sz="4" w:space="0" w:color="auto"/>
            </w:tcBorders>
            <w:hideMark/>
          </w:tcPr>
          <w:p w14:paraId="04C942D4" w14:textId="77777777" w:rsidR="00732953" w:rsidRPr="00360021" w:rsidRDefault="00732953" w:rsidP="002040C8">
            <w:r w:rsidRPr="00360021">
              <w:t>Inventorinis Nr.</w:t>
            </w:r>
          </w:p>
        </w:tc>
        <w:tc>
          <w:tcPr>
            <w:tcW w:w="2552" w:type="dxa"/>
            <w:tcBorders>
              <w:top w:val="single" w:sz="4" w:space="0" w:color="auto"/>
              <w:left w:val="single" w:sz="4" w:space="0" w:color="auto"/>
              <w:bottom w:val="single" w:sz="4" w:space="0" w:color="auto"/>
              <w:right w:val="single" w:sz="4" w:space="0" w:color="auto"/>
            </w:tcBorders>
            <w:hideMark/>
          </w:tcPr>
          <w:p w14:paraId="38158287" w14:textId="77777777" w:rsidR="00732953" w:rsidRPr="00360021" w:rsidRDefault="00732953" w:rsidP="002040C8">
            <w:pPr>
              <w:ind w:right="-114"/>
            </w:pPr>
            <w:r w:rsidRPr="00360021">
              <w:t>Turto pavadinimas</w:t>
            </w:r>
          </w:p>
        </w:tc>
        <w:tc>
          <w:tcPr>
            <w:tcW w:w="1417" w:type="dxa"/>
            <w:tcBorders>
              <w:top w:val="single" w:sz="4" w:space="0" w:color="auto"/>
              <w:left w:val="single" w:sz="4" w:space="0" w:color="auto"/>
              <w:bottom w:val="single" w:sz="4" w:space="0" w:color="auto"/>
              <w:right w:val="single" w:sz="4" w:space="0" w:color="auto"/>
            </w:tcBorders>
            <w:hideMark/>
          </w:tcPr>
          <w:p w14:paraId="2C3D41C5" w14:textId="77777777" w:rsidR="00732953" w:rsidRPr="00360021" w:rsidRDefault="00732953" w:rsidP="002040C8">
            <w:r w:rsidRPr="00360021">
              <w:t>Kiti parametrai</w:t>
            </w:r>
          </w:p>
        </w:tc>
        <w:tc>
          <w:tcPr>
            <w:tcW w:w="1276" w:type="dxa"/>
            <w:tcBorders>
              <w:top w:val="single" w:sz="4" w:space="0" w:color="auto"/>
              <w:left w:val="single" w:sz="4" w:space="0" w:color="auto"/>
              <w:bottom w:val="single" w:sz="4" w:space="0" w:color="auto"/>
              <w:right w:val="single" w:sz="4" w:space="0" w:color="auto"/>
            </w:tcBorders>
            <w:hideMark/>
          </w:tcPr>
          <w:p w14:paraId="4510FC68" w14:textId="77777777" w:rsidR="00732953" w:rsidRPr="00360021" w:rsidRDefault="00732953" w:rsidP="002040C8">
            <w:r w:rsidRPr="00360021">
              <w:t>Įsigijimo savikaina,</w:t>
            </w:r>
          </w:p>
          <w:p w14:paraId="37AFF374" w14:textId="77777777" w:rsidR="00732953" w:rsidRPr="00360021" w:rsidRDefault="00732953" w:rsidP="002040C8">
            <w:r w:rsidRPr="00360021">
              <w:t>Eur</w:t>
            </w:r>
          </w:p>
        </w:tc>
        <w:tc>
          <w:tcPr>
            <w:tcW w:w="1416" w:type="dxa"/>
            <w:tcBorders>
              <w:top w:val="single" w:sz="4" w:space="0" w:color="auto"/>
              <w:left w:val="single" w:sz="4" w:space="0" w:color="auto"/>
              <w:bottom w:val="single" w:sz="4" w:space="0" w:color="auto"/>
              <w:right w:val="single" w:sz="4" w:space="0" w:color="auto"/>
            </w:tcBorders>
            <w:hideMark/>
          </w:tcPr>
          <w:p w14:paraId="741B8287" w14:textId="77777777" w:rsidR="00732953" w:rsidRPr="00360021" w:rsidRDefault="00732953" w:rsidP="002040C8">
            <w:r w:rsidRPr="00360021">
              <w:t xml:space="preserve">Likutinė vertė </w:t>
            </w:r>
          </w:p>
          <w:p w14:paraId="5E6B69A1" w14:textId="742F313F" w:rsidR="00732953" w:rsidRPr="00360021" w:rsidRDefault="00732953" w:rsidP="002040C8">
            <w:pPr>
              <w:ind w:right="-111"/>
            </w:pPr>
            <w:r w:rsidRPr="00360021">
              <w:t>202</w:t>
            </w:r>
            <w:r>
              <w:t>2</w:t>
            </w:r>
            <w:r w:rsidRPr="00360021">
              <w:t>-</w:t>
            </w:r>
            <w:r>
              <w:t>06</w:t>
            </w:r>
            <w:r w:rsidRPr="00360021">
              <w:t>-01, Eur</w:t>
            </w:r>
          </w:p>
        </w:tc>
        <w:tc>
          <w:tcPr>
            <w:tcW w:w="1560" w:type="dxa"/>
            <w:tcBorders>
              <w:top w:val="single" w:sz="4" w:space="0" w:color="auto"/>
              <w:left w:val="single" w:sz="4" w:space="0" w:color="auto"/>
              <w:bottom w:val="single" w:sz="4" w:space="0" w:color="auto"/>
              <w:right w:val="single" w:sz="4" w:space="0" w:color="auto"/>
            </w:tcBorders>
            <w:hideMark/>
          </w:tcPr>
          <w:p w14:paraId="59C0379A" w14:textId="77777777" w:rsidR="00732953" w:rsidRPr="00360021" w:rsidRDefault="00732953" w:rsidP="002040C8">
            <w:r w:rsidRPr="00360021">
              <w:t>Finansavimo šaltinis</w:t>
            </w:r>
          </w:p>
        </w:tc>
      </w:tr>
      <w:tr w:rsidR="00732953" w:rsidRPr="00360021" w14:paraId="01524ABB" w14:textId="77777777" w:rsidTr="00E81089">
        <w:trPr>
          <w:trHeight w:val="227"/>
        </w:trPr>
        <w:tc>
          <w:tcPr>
            <w:tcW w:w="567" w:type="dxa"/>
            <w:tcBorders>
              <w:top w:val="single" w:sz="4" w:space="0" w:color="auto"/>
              <w:left w:val="single" w:sz="4" w:space="0" w:color="auto"/>
              <w:bottom w:val="single" w:sz="4" w:space="0" w:color="auto"/>
              <w:right w:val="single" w:sz="4" w:space="0" w:color="auto"/>
            </w:tcBorders>
          </w:tcPr>
          <w:p w14:paraId="39982E67" w14:textId="77777777" w:rsidR="00732953" w:rsidRPr="00360021" w:rsidRDefault="00732953" w:rsidP="002040C8">
            <w:pPr>
              <w:ind w:right="-102"/>
              <w:jc w:val="center"/>
            </w:pPr>
            <w:r>
              <w:t>1</w:t>
            </w:r>
          </w:p>
        </w:tc>
        <w:tc>
          <w:tcPr>
            <w:tcW w:w="1134" w:type="dxa"/>
            <w:tcBorders>
              <w:top w:val="single" w:sz="4" w:space="0" w:color="auto"/>
              <w:left w:val="single" w:sz="4" w:space="0" w:color="auto"/>
              <w:bottom w:val="single" w:sz="4" w:space="0" w:color="auto"/>
              <w:right w:val="single" w:sz="4" w:space="0" w:color="auto"/>
            </w:tcBorders>
          </w:tcPr>
          <w:p w14:paraId="1E38F9F1" w14:textId="77777777" w:rsidR="00732953" w:rsidRPr="00360021" w:rsidRDefault="00732953" w:rsidP="002040C8">
            <w:pPr>
              <w:jc w:val="center"/>
            </w:pPr>
            <w:r>
              <w:t>2</w:t>
            </w:r>
          </w:p>
        </w:tc>
        <w:tc>
          <w:tcPr>
            <w:tcW w:w="2552" w:type="dxa"/>
            <w:tcBorders>
              <w:top w:val="single" w:sz="4" w:space="0" w:color="auto"/>
              <w:left w:val="single" w:sz="4" w:space="0" w:color="auto"/>
              <w:bottom w:val="single" w:sz="4" w:space="0" w:color="auto"/>
              <w:right w:val="single" w:sz="4" w:space="0" w:color="auto"/>
            </w:tcBorders>
          </w:tcPr>
          <w:p w14:paraId="0AD941D6" w14:textId="77777777" w:rsidR="00732953" w:rsidRPr="00360021" w:rsidRDefault="00732953" w:rsidP="002040C8">
            <w:pPr>
              <w:ind w:right="-114"/>
              <w:jc w:val="center"/>
            </w:pPr>
            <w:r>
              <w:t>3</w:t>
            </w:r>
          </w:p>
        </w:tc>
        <w:tc>
          <w:tcPr>
            <w:tcW w:w="1417" w:type="dxa"/>
            <w:tcBorders>
              <w:top w:val="single" w:sz="4" w:space="0" w:color="auto"/>
              <w:left w:val="single" w:sz="4" w:space="0" w:color="auto"/>
              <w:bottom w:val="single" w:sz="4" w:space="0" w:color="auto"/>
              <w:right w:val="single" w:sz="4" w:space="0" w:color="auto"/>
            </w:tcBorders>
          </w:tcPr>
          <w:p w14:paraId="4BBF5375" w14:textId="77777777" w:rsidR="00732953" w:rsidRPr="00360021" w:rsidRDefault="00732953" w:rsidP="002040C8">
            <w:pPr>
              <w:jc w:val="center"/>
            </w:pPr>
            <w:r>
              <w:t>4</w:t>
            </w:r>
          </w:p>
        </w:tc>
        <w:tc>
          <w:tcPr>
            <w:tcW w:w="1276" w:type="dxa"/>
            <w:tcBorders>
              <w:top w:val="single" w:sz="4" w:space="0" w:color="auto"/>
              <w:left w:val="single" w:sz="4" w:space="0" w:color="auto"/>
              <w:bottom w:val="single" w:sz="4" w:space="0" w:color="auto"/>
              <w:right w:val="single" w:sz="4" w:space="0" w:color="auto"/>
            </w:tcBorders>
          </w:tcPr>
          <w:p w14:paraId="05F1897F" w14:textId="77777777" w:rsidR="00732953" w:rsidRPr="00360021" w:rsidRDefault="00732953" w:rsidP="002040C8">
            <w:pPr>
              <w:jc w:val="center"/>
            </w:pPr>
            <w:r>
              <w:t>5</w:t>
            </w:r>
          </w:p>
        </w:tc>
        <w:tc>
          <w:tcPr>
            <w:tcW w:w="1416" w:type="dxa"/>
            <w:tcBorders>
              <w:top w:val="single" w:sz="4" w:space="0" w:color="auto"/>
              <w:left w:val="single" w:sz="4" w:space="0" w:color="auto"/>
              <w:bottom w:val="single" w:sz="4" w:space="0" w:color="auto"/>
              <w:right w:val="single" w:sz="4" w:space="0" w:color="auto"/>
            </w:tcBorders>
          </w:tcPr>
          <w:p w14:paraId="1E348662" w14:textId="77777777" w:rsidR="00732953" w:rsidRPr="00360021" w:rsidRDefault="00732953" w:rsidP="002040C8">
            <w:pPr>
              <w:jc w:val="center"/>
            </w:pPr>
            <w:r>
              <w:t>6</w:t>
            </w:r>
          </w:p>
        </w:tc>
        <w:tc>
          <w:tcPr>
            <w:tcW w:w="1560" w:type="dxa"/>
            <w:tcBorders>
              <w:top w:val="single" w:sz="4" w:space="0" w:color="auto"/>
              <w:left w:val="single" w:sz="4" w:space="0" w:color="auto"/>
              <w:bottom w:val="single" w:sz="4" w:space="0" w:color="auto"/>
              <w:right w:val="single" w:sz="4" w:space="0" w:color="auto"/>
            </w:tcBorders>
          </w:tcPr>
          <w:p w14:paraId="60142EBF" w14:textId="77777777" w:rsidR="00732953" w:rsidRPr="00360021" w:rsidRDefault="00732953" w:rsidP="002040C8">
            <w:pPr>
              <w:jc w:val="center"/>
            </w:pPr>
            <w:r>
              <w:t>7</w:t>
            </w:r>
          </w:p>
        </w:tc>
      </w:tr>
      <w:tr w:rsidR="00732953" w:rsidRPr="001644CB" w14:paraId="772B344C" w14:textId="77777777" w:rsidTr="00E81089">
        <w:trPr>
          <w:trHeight w:val="2194"/>
        </w:trPr>
        <w:tc>
          <w:tcPr>
            <w:tcW w:w="567" w:type="dxa"/>
            <w:tcBorders>
              <w:top w:val="single" w:sz="4" w:space="0" w:color="auto"/>
              <w:left w:val="single" w:sz="4" w:space="0" w:color="auto"/>
              <w:bottom w:val="single" w:sz="4" w:space="0" w:color="auto"/>
              <w:right w:val="single" w:sz="4" w:space="0" w:color="auto"/>
            </w:tcBorders>
          </w:tcPr>
          <w:p w14:paraId="4D098647" w14:textId="0AF67325" w:rsidR="00732953" w:rsidRPr="00360021" w:rsidRDefault="00732953" w:rsidP="002040C8">
            <w:pPr>
              <w:ind w:right="-102"/>
            </w:pPr>
            <w:r w:rsidRPr="00E81089">
              <w:t>1.</w:t>
            </w:r>
            <w:r w:rsidR="00E81089" w:rsidRPr="00E81089">
              <w:t>1.</w:t>
            </w:r>
          </w:p>
        </w:tc>
        <w:tc>
          <w:tcPr>
            <w:tcW w:w="1134" w:type="dxa"/>
            <w:tcBorders>
              <w:top w:val="single" w:sz="4" w:space="0" w:color="auto"/>
              <w:left w:val="single" w:sz="4" w:space="0" w:color="auto"/>
              <w:bottom w:val="single" w:sz="4" w:space="0" w:color="auto"/>
              <w:right w:val="single" w:sz="4" w:space="0" w:color="auto"/>
            </w:tcBorders>
          </w:tcPr>
          <w:p w14:paraId="0171414B" w14:textId="77777777" w:rsidR="00732953" w:rsidRPr="00360021" w:rsidRDefault="00732953" w:rsidP="002040C8">
            <w:r>
              <w:t>163043</w:t>
            </w:r>
          </w:p>
        </w:tc>
        <w:tc>
          <w:tcPr>
            <w:tcW w:w="2552" w:type="dxa"/>
            <w:tcBorders>
              <w:top w:val="single" w:sz="4" w:space="0" w:color="auto"/>
              <w:left w:val="single" w:sz="4" w:space="0" w:color="auto"/>
              <w:bottom w:val="single" w:sz="4" w:space="0" w:color="auto"/>
              <w:right w:val="single" w:sz="4" w:space="0" w:color="auto"/>
            </w:tcBorders>
          </w:tcPr>
          <w:p w14:paraId="70E27D9C" w14:textId="77777777" w:rsidR="00732953" w:rsidRPr="00360021" w:rsidRDefault="00732953" w:rsidP="002040C8">
            <w:pPr>
              <w:ind w:right="-114"/>
            </w:pPr>
            <w:r>
              <w:t xml:space="preserve">Vandentiekio tinklai (registro Nr. 44/2647386; unikalus Nr. 4400-5697-3325), Molėtų r. sav., Giedraičių sen., </w:t>
            </w:r>
            <w:proofErr w:type="spellStart"/>
            <w:r>
              <w:t>Bekupės</w:t>
            </w:r>
            <w:proofErr w:type="spellEnd"/>
            <w:r>
              <w:t xml:space="preserve"> k.</w:t>
            </w:r>
          </w:p>
        </w:tc>
        <w:tc>
          <w:tcPr>
            <w:tcW w:w="1417" w:type="dxa"/>
            <w:tcBorders>
              <w:top w:val="single" w:sz="4" w:space="0" w:color="auto"/>
              <w:left w:val="single" w:sz="4" w:space="0" w:color="auto"/>
              <w:bottom w:val="single" w:sz="4" w:space="0" w:color="auto"/>
              <w:right w:val="single" w:sz="4" w:space="0" w:color="auto"/>
            </w:tcBorders>
          </w:tcPr>
          <w:p w14:paraId="3BF9BFB0" w14:textId="77777777" w:rsidR="00732953" w:rsidRPr="00360021" w:rsidRDefault="00732953" w:rsidP="002040C8">
            <w:pPr>
              <w:jc w:val="both"/>
            </w:pPr>
            <w:r>
              <w:t>3234,40 m.</w:t>
            </w:r>
          </w:p>
        </w:tc>
        <w:tc>
          <w:tcPr>
            <w:tcW w:w="1276" w:type="dxa"/>
            <w:tcBorders>
              <w:top w:val="single" w:sz="4" w:space="0" w:color="auto"/>
              <w:left w:val="single" w:sz="4" w:space="0" w:color="auto"/>
              <w:bottom w:val="single" w:sz="4" w:space="0" w:color="auto"/>
              <w:right w:val="single" w:sz="4" w:space="0" w:color="auto"/>
            </w:tcBorders>
          </w:tcPr>
          <w:p w14:paraId="773B853F" w14:textId="77777777" w:rsidR="00732953" w:rsidRPr="001644CB" w:rsidRDefault="00732953" w:rsidP="002040C8">
            <w:pPr>
              <w:jc w:val="right"/>
            </w:pPr>
            <w:r>
              <w:t>34900,00</w:t>
            </w:r>
          </w:p>
        </w:tc>
        <w:tc>
          <w:tcPr>
            <w:tcW w:w="1416" w:type="dxa"/>
            <w:tcBorders>
              <w:top w:val="single" w:sz="4" w:space="0" w:color="auto"/>
              <w:left w:val="single" w:sz="4" w:space="0" w:color="auto"/>
              <w:bottom w:val="single" w:sz="4" w:space="0" w:color="auto"/>
              <w:right w:val="single" w:sz="4" w:space="0" w:color="auto"/>
            </w:tcBorders>
          </w:tcPr>
          <w:p w14:paraId="4173B893" w14:textId="77777777" w:rsidR="00732953" w:rsidRPr="001644CB" w:rsidRDefault="00732953" w:rsidP="002040C8">
            <w:pPr>
              <w:jc w:val="right"/>
            </w:pPr>
            <w:r>
              <w:t>0,00</w:t>
            </w:r>
          </w:p>
        </w:tc>
        <w:tc>
          <w:tcPr>
            <w:tcW w:w="1560" w:type="dxa"/>
            <w:tcBorders>
              <w:top w:val="single" w:sz="4" w:space="0" w:color="auto"/>
              <w:left w:val="single" w:sz="4" w:space="0" w:color="auto"/>
              <w:bottom w:val="nil"/>
              <w:right w:val="single" w:sz="4" w:space="0" w:color="auto"/>
            </w:tcBorders>
          </w:tcPr>
          <w:p w14:paraId="0F7CAE74" w14:textId="77777777" w:rsidR="00732953" w:rsidRDefault="00732953" w:rsidP="002040C8">
            <w:pPr>
              <w:spacing w:line="252" w:lineRule="auto"/>
              <w:jc w:val="both"/>
            </w:pPr>
            <w:r>
              <w:t>Savivaldybės biudžeto lėšos</w:t>
            </w:r>
          </w:p>
          <w:p w14:paraId="3D3D63D2" w14:textId="77777777" w:rsidR="00732953" w:rsidRPr="001644CB" w:rsidRDefault="00732953" w:rsidP="002040C8">
            <w:r>
              <w:t>Balansinė sąsk.1203101</w:t>
            </w:r>
          </w:p>
        </w:tc>
      </w:tr>
      <w:tr w:rsidR="00732953" w:rsidRPr="001644CB" w14:paraId="48C48347" w14:textId="77777777" w:rsidTr="00E81089">
        <w:trPr>
          <w:cantSplit/>
          <w:trHeight w:val="227"/>
        </w:trPr>
        <w:tc>
          <w:tcPr>
            <w:tcW w:w="567" w:type="dxa"/>
            <w:tcBorders>
              <w:top w:val="single" w:sz="4" w:space="0" w:color="auto"/>
              <w:left w:val="single" w:sz="4" w:space="0" w:color="auto"/>
              <w:bottom w:val="single" w:sz="4" w:space="0" w:color="auto"/>
              <w:right w:val="single" w:sz="4" w:space="0" w:color="auto"/>
            </w:tcBorders>
          </w:tcPr>
          <w:p w14:paraId="691BF965" w14:textId="3372E102" w:rsidR="00732953" w:rsidRPr="00360021" w:rsidRDefault="00732953" w:rsidP="00732953">
            <w:pPr>
              <w:ind w:right="-102"/>
              <w:jc w:val="center"/>
            </w:pPr>
            <w:r>
              <w:lastRenderedPageBreak/>
              <w:t>1</w:t>
            </w:r>
          </w:p>
        </w:tc>
        <w:tc>
          <w:tcPr>
            <w:tcW w:w="1134" w:type="dxa"/>
            <w:tcBorders>
              <w:top w:val="single" w:sz="4" w:space="0" w:color="auto"/>
              <w:left w:val="nil"/>
              <w:bottom w:val="single" w:sz="4" w:space="0" w:color="auto"/>
              <w:right w:val="single" w:sz="4" w:space="0" w:color="auto"/>
            </w:tcBorders>
          </w:tcPr>
          <w:p w14:paraId="713B9711" w14:textId="592EE1B1" w:rsidR="00732953" w:rsidRDefault="00732953" w:rsidP="00732953">
            <w:pPr>
              <w:jc w:val="center"/>
            </w:pPr>
            <w:r>
              <w:t>2</w:t>
            </w:r>
          </w:p>
        </w:tc>
        <w:tc>
          <w:tcPr>
            <w:tcW w:w="2552" w:type="dxa"/>
            <w:tcBorders>
              <w:top w:val="single" w:sz="4" w:space="0" w:color="auto"/>
              <w:left w:val="single" w:sz="4" w:space="0" w:color="auto"/>
              <w:bottom w:val="single" w:sz="4" w:space="0" w:color="auto"/>
              <w:right w:val="single" w:sz="4" w:space="0" w:color="auto"/>
            </w:tcBorders>
          </w:tcPr>
          <w:p w14:paraId="35630991" w14:textId="76952694" w:rsidR="00732953" w:rsidRDefault="00732953" w:rsidP="00732953">
            <w:pPr>
              <w:ind w:right="-114"/>
              <w:jc w:val="center"/>
            </w:pPr>
            <w:r>
              <w:t>3</w:t>
            </w:r>
          </w:p>
          <w:p w14:paraId="161F5F4A" w14:textId="4FFD9418" w:rsidR="00732953" w:rsidRDefault="00732953" w:rsidP="00732953">
            <w:pPr>
              <w:ind w:right="-114"/>
              <w:jc w:val="center"/>
            </w:pPr>
          </w:p>
        </w:tc>
        <w:tc>
          <w:tcPr>
            <w:tcW w:w="1417" w:type="dxa"/>
            <w:tcBorders>
              <w:top w:val="single" w:sz="4" w:space="0" w:color="auto"/>
              <w:left w:val="single" w:sz="4" w:space="0" w:color="auto"/>
              <w:bottom w:val="single" w:sz="4" w:space="0" w:color="auto"/>
              <w:right w:val="single" w:sz="4" w:space="0" w:color="auto"/>
            </w:tcBorders>
          </w:tcPr>
          <w:p w14:paraId="4C9753F4" w14:textId="50F1E2CB" w:rsidR="00732953" w:rsidRDefault="00732953" w:rsidP="00732953">
            <w:pPr>
              <w:jc w:val="center"/>
            </w:pPr>
            <w:r>
              <w:t>4</w:t>
            </w:r>
          </w:p>
        </w:tc>
        <w:tc>
          <w:tcPr>
            <w:tcW w:w="1276" w:type="dxa"/>
            <w:tcBorders>
              <w:top w:val="single" w:sz="4" w:space="0" w:color="auto"/>
              <w:left w:val="single" w:sz="4" w:space="0" w:color="auto"/>
              <w:bottom w:val="single" w:sz="4" w:space="0" w:color="auto"/>
              <w:right w:val="single" w:sz="4" w:space="0" w:color="auto"/>
            </w:tcBorders>
          </w:tcPr>
          <w:p w14:paraId="647C88B6" w14:textId="27817C49" w:rsidR="00732953" w:rsidRDefault="00732953" w:rsidP="00732953">
            <w:pPr>
              <w:jc w:val="center"/>
            </w:pPr>
            <w:r>
              <w:t>5</w:t>
            </w:r>
          </w:p>
        </w:tc>
        <w:tc>
          <w:tcPr>
            <w:tcW w:w="1416" w:type="dxa"/>
            <w:tcBorders>
              <w:top w:val="single" w:sz="4" w:space="0" w:color="auto"/>
              <w:left w:val="single" w:sz="4" w:space="0" w:color="auto"/>
              <w:bottom w:val="single" w:sz="4" w:space="0" w:color="auto"/>
              <w:right w:val="single" w:sz="4" w:space="0" w:color="auto"/>
            </w:tcBorders>
          </w:tcPr>
          <w:p w14:paraId="18959C7D" w14:textId="17F20723" w:rsidR="00732953" w:rsidRDefault="00732953" w:rsidP="00732953">
            <w:pPr>
              <w:jc w:val="center"/>
            </w:pPr>
            <w:r>
              <w:t>6</w:t>
            </w:r>
          </w:p>
        </w:tc>
        <w:tc>
          <w:tcPr>
            <w:tcW w:w="1560" w:type="dxa"/>
            <w:tcBorders>
              <w:top w:val="nil"/>
              <w:left w:val="single" w:sz="4" w:space="0" w:color="auto"/>
              <w:bottom w:val="nil"/>
              <w:right w:val="single" w:sz="4" w:space="0" w:color="auto"/>
            </w:tcBorders>
          </w:tcPr>
          <w:p w14:paraId="3EA1303E" w14:textId="510AC336" w:rsidR="00732953" w:rsidRPr="001644CB" w:rsidRDefault="00732953" w:rsidP="00732953">
            <w:pPr>
              <w:jc w:val="center"/>
            </w:pPr>
            <w:r>
              <w:t>7</w:t>
            </w:r>
          </w:p>
        </w:tc>
      </w:tr>
      <w:tr w:rsidR="00732953" w:rsidRPr="001644CB" w14:paraId="5C91EE40" w14:textId="77777777" w:rsidTr="00E81089">
        <w:trPr>
          <w:cantSplit/>
          <w:trHeight w:val="227"/>
        </w:trPr>
        <w:tc>
          <w:tcPr>
            <w:tcW w:w="567" w:type="dxa"/>
            <w:tcBorders>
              <w:top w:val="single" w:sz="4" w:space="0" w:color="auto"/>
              <w:left w:val="single" w:sz="4" w:space="0" w:color="auto"/>
              <w:bottom w:val="single" w:sz="4" w:space="0" w:color="auto"/>
              <w:right w:val="single" w:sz="4" w:space="0" w:color="auto"/>
            </w:tcBorders>
          </w:tcPr>
          <w:p w14:paraId="4F822C9D" w14:textId="7A8BD840" w:rsidR="00732953" w:rsidRPr="00360021" w:rsidRDefault="00E81089" w:rsidP="002040C8">
            <w:pPr>
              <w:ind w:right="-102"/>
            </w:pPr>
            <w:r>
              <w:t>1.</w:t>
            </w:r>
            <w:r w:rsidR="00732953" w:rsidRPr="00360021">
              <w:t>2.</w:t>
            </w:r>
          </w:p>
        </w:tc>
        <w:tc>
          <w:tcPr>
            <w:tcW w:w="1134" w:type="dxa"/>
            <w:tcBorders>
              <w:top w:val="single" w:sz="4" w:space="0" w:color="auto"/>
              <w:left w:val="nil"/>
              <w:bottom w:val="single" w:sz="4" w:space="0" w:color="auto"/>
              <w:right w:val="single" w:sz="4" w:space="0" w:color="auto"/>
            </w:tcBorders>
          </w:tcPr>
          <w:p w14:paraId="4FF6572E" w14:textId="77777777" w:rsidR="00732953" w:rsidRPr="00287058" w:rsidRDefault="00732953" w:rsidP="002040C8">
            <w:r w:rsidRPr="00287058">
              <w:t>163044</w:t>
            </w:r>
          </w:p>
        </w:tc>
        <w:tc>
          <w:tcPr>
            <w:tcW w:w="2552" w:type="dxa"/>
            <w:tcBorders>
              <w:top w:val="single" w:sz="4" w:space="0" w:color="auto"/>
              <w:left w:val="single" w:sz="4" w:space="0" w:color="auto"/>
              <w:bottom w:val="single" w:sz="4" w:space="0" w:color="auto"/>
              <w:right w:val="single" w:sz="4" w:space="0" w:color="auto"/>
            </w:tcBorders>
          </w:tcPr>
          <w:p w14:paraId="387B58E0" w14:textId="74D0FE34" w:rsidR="00732953" w:rsidRPr="00287058" w:rsidRDefault="00732953" w:rsidP="002040C8">
            <w:pPr>
              <w:ind w:right="-114"/>
            </w:pPr>
            <w:r w:rsidRPr="00287058">
              <w:t xml:space="preserve">Nuotekų šalinimo tinklai – </w:t>
            </w:r>
            <w:r w:rsidR="00E81089" w:rsidRPr="00287058">
              <w:t>b</w:t>
            </w:r>
            <w:r w:rsidRPr="00287058">
              <w:t xml:space="preserve">uitinių nuotekų tinklai (registro Nr. 44/2647386; unikalus Nr. 4400-5697-3314), Molėtų r. sav., Giedraičių sen., </w:t>
            </w:r>
            <w:proofErr w:type="spellStart"/>
            <w:r w:rsidRPr="00287058">
              <w:t>Bekupės</w:t>
            </w:r>
            <w:proofErr w:type="spellEnd"/>
            <w:r w:rsidRPr="00287058">
              <w:t xml:space="preserve"> k.</w:t>
            </w:r>
          </w:p>
        </w:tc>
        <w:tc>
          <w:tcPr>
            <w:tcW w:w="1417" w:type="dxa"/>
            <w:tcBorders>
              <w:top w:val="single" w:sz="4" w:space="0" w:color="auto"/>
              <w:left w:val="single" w:sz="4" w:space="0" w:color="auto"/>
              <w:bottom w:val="single" w:sz="4" w:space="0" w:color="auto"/>
              <w:right w:val="single" w:sz="4" w:space="0" w:color="auto"/>
            </w:tcBorders>
          </w:tcPr>
          <w:p w14:paraId="6F0D690E" w14:textId="77777777" w:rsidR="00732953" w:rsidRPr="00360021" w:rsidRDefault="00732953" w:rsidP="002040C8">
            <w:pPr>
              <w:jc w:val="right"/>
            </w:pPr>
            <w:r>
              <w:t>2049,08 m.</w:t>
            </w:r>
          </w:p>
        </w:tc>
        <w:tc>
          <w:tcPr>
            <w:tcW w:w="1276" w:type="dxa"/>
            <w:tcBorders>
              <w:top w:val="single" w:sz="4" w:space="0" w:color="auto"/>
              <w:left w:val="single" w:sz="4" w:space="0" w:color="auto"/>
              <w:bottom w:val="single" w:sz="4" w:space="0" w:color="auto"/>
              <w:right w:val="single" w:sz="4" w:space="0" w:color="auto"/>
            </w:tcBorders>
          </w:tcPr>
          <w:p w14:paraId="70843C90" w14:textId="77777777" w:rsidR="00732953" w:rsidRPr="001644CB" w:rsidRDefault="00732953" w:rsidP="002040C8">
            <w:pPr>
              <w:jc w:val="right"/>
            </w:pPr>
            <w:r>
              <w:t>34900,00</w:t>
            </w:r>
          </w:p>
        </w:tc>
        <w:tc>
          <w:tcPr>
            <w:tcW w:w="1416" w:type="dxa"/>
            <w:tcBorders>
              <w:top w:val="single" w:sz="4" w:space="0" w:color="auto"/>
              <w:left w:val="single" w:sz="4" w:space="0" w:color="auto"/>
              <w:bottom w:val="single" w:sz="4" w:space="0" w:color="auto"/>
              <w:right w:val="single" w:sz="4" w:space="0" w:color="auto"/>
            </w:tcBorders>
          </w:tcPr>
          <w:p w14:paraId="1C145188" w14:textId="77777777" w:rsidR="00732953" w:rsidRPr="001644CB" w:rsidRDefault="00732953" w:rsidP="002040C8">
            <w:pPr>
              <w:jc w:val="right"/>
            </w:pPr>
            <w:r>
              <w:t>0,00</w:t>
            </w:r>
          </w:p>
        </w:tc>
        <w:tc>
          <w:tcPr>
            <w:tcW w:w="1560" w:type="dxa"/>
            <w:tcBorders>
              <w:top w:val="nil"/>
              <w:left w:val="single" w:sz="4" w:space="0" w:color="auto"/>
              <w:bottom w:val="nil"/>
              <w:right w:val="single" w:sz="4" w:space="0" w:color="auto"/>
            </w:tcBorders>
          </w:tcPr>
          <w:p w14:paraId="52889390" w14:textId="77777777" w:rsidR="00732953" w:rsidRPr="001644CB" w:rsidRDefault="00732953" w:rsidP="002040C8">
            <w:pPr>
              <w:jc w:val="right"/>
            </w:pPr>
          </w:p>
        </w:tc>
      </w:tr>
      <w:tr w:rsidR="00732953" w:rsidRPr="001644CB" w14:paraId="5500DA1D" w14:textId="77777777" w:rsidTr="00E81089">
        <w:trPr>
          <w:cantSplit/>
          <w:trHeight w:val="567"/>
        </w:trPr>
        <w:tc>
          <w:tcPr>
            <w:tcW w:w="567" w:type="dxa"/>
            <w:tcBorders>
              <w:top w:val="single" w:sz="4" w:space="0" w:color="auto"/>
              <w:left w:val="single" w:sz="4" w:space="0" w:color="auto"/>
              <w:bottom w:val="single" w:sz="4" w:space="0" w:color="auto"/>
              <w:right w:val="single" w:sz="4" w:space="0" w:color="auto"/>
            </w:tcBorders>
          </w:tcPr>
          <w:p w14:paraId="656DFF84" w14:textId="6CB3B36F" w:rsidR="00732953" w:rsidRPr="00360021" w:rsidRDefault="00E81089" w:rsidP="002040C8">
            <w:pPr>
              <w:ind w:right="-102"/>
            </w:pPr>
            <w:r>
              <w:t>1.</w:t>
            </w:r>
            <w:r w:rsidR="00732953" w:rsidRPr="00360021">
              <w:t>3.</w:t>
            </w:r>
          </w:p>
        </w:tc>
        <w:tc>
          <w:tcPr>
            <w:tcW w:w="1134" w:type="dxa"/>
            <w:tcBorders>
              <w:top w:val="single" w:sz="4" w:space="0" w:color="auto"/>
              <w:left w:val="nil"/>
              <w:bottom w:val="single" w:sz="4" w:space="0" w:color="auto"/>
              <w:right w:val="single" w:sz="4" w:space="0" w:color="auto"/>
            </w:tcBorders>
          </w:tcPr>
          <w:p w14:paraId="47F044DE" w14:textId="77777777" w:rsidR="00732953" w:rsidRPr="00287058" w:rsidRDefault="00732953" w:rsidP="002040C8">
            <w:r w:rsidRPr="00287058">
              <w:t>163045</w:t>
            </w:r>
          </w:p>
        </w:tc>
        <w:tc>
          <w:tcPr>
            <w:tcW w:w="2552" w:type="dxa"/>
            <w:tcBorders>
              <w:top w:val="single" w:sz="4" w:space="0" w:color="auto"/>
              <w:left w:val="single" w:sz="4" w:space="0" w:color="auto"/>
              <w:bottom w:val="single" w:sz="4" w:space="0" w:color="auto"/>
              <w:right w:val="single" w:sz="4" w:space="0" w:color="auto"/>
            </w:tcBorders>
          </w:tcPr>
          <w:p w14:paraId="678ED149" w14:textId="0254AF92" w:rsidR="00732953" w:rsidRPr="00287058" w:rsidRDefault="00732953" w:rsidP="002040C8">
            <w:pPr>
              <w:ind w:right="-114"/>
            </w:pPr>
            <w:r w:rsidRPr="00287058">
              <w:t xml:space="preserve">Nuotekų šalinimo tinklai – </w:t>
            </w:r>
            <w:r w:rsidR="00E81089" w:rsidRPr="00287058">
              <w:t>b</w:t>
            </w:r>
            <w:r w:rsidRPr="00287058">
              <w:t xml:space="preserve">uitinių nuotekų tinklai (registro Nr. 44/2647386; unikalus Nr. 4400-5697-3290), Molėtų r. sav., Giedraičių sen., </w:t>
            </w:r>
            <w:proofErr w:type="spellStart"/>
            <w:r w:rsidRPr="00287058">
              <w:t>Bekupės</w:t>
            </w:r>
            <w:proofErr w:type="spellEnd"/>
            <w:r w:rsidRPr="00287058">
              <w:t xml:space="preserve"> k.</w:t>
            </w:r>
          </w:p>
        </w:tc>
        <w:tc>
          <w:tcPr>
            <w:tcW w:w="1417" w:type="dxa"/>
            <w:tcBorders>
              <w:top w:val="single" w:sz="4" w:space="0" w:color="auto"/>
              <w:left w:val="single" w:sz="4" w:space="0" w:color="auto"/>
              <w:bottom w:val="single" w:sz="4" w:space="0" w:color="auto"/>
              <w:right w:val="single" w:sz="4" w:space="0" w:color="auto"/>
            </w:tcBorders>
          </w:tcPr>
          <w:p w14:paraId="6CFFD926" w14:textId="77777777" w:rsidR="00732953" w:rsidRPr="00360021" w:rsidRDefault="00732953" w:rsidP="002040C8">
            <w:pPr>
              <w:jc w:val="right"/>
            </w:pPr>
            <w:r>
              <w:t>281,50 m.</w:t>
            </w:r>
          </w:p>
        </w:tc>
        <w:tc>
          <w:tcPr>
            <w:tcW w:w="1276" w:type="dxa"/>
            <w:tcBorders>
              <w:top w:val="single" w:sz="4" w:space="0" w:color="auto"/>
              <w:left w:val="single" w:sz="4" w:space="0" w:color="auto"/>
              <w:bottom w:val="single" w:sz="4" w:space="0" w:color="auto"/>
              <w:right w:val="single" w:sz="4" w:space="0" w:color="auto"/>
            </w:tcBorders>
          </w:tcPr>
          <w:p w14:paraId="2E3A7BC5" w14:textId="77777777" w:rsidR="00732953" w:rsidRPr="001644CB" w:rsidRDefault="00732953" w:rsidP="002040C8">
            <w:pPr>
              <w:jc w:val="right"/>
            </w:pPr>
            <w:r>
              <w:t>4885,00</w:t>
            </w:r>
          </w:p>
        </w:tc>
        <w:tc>
          <w:tcPr>
            <w:tcW w:w="1416" w:type="dxa"/>
            <w:tcBorders>
              <w:top w:val="single" w:sz="4" w:space="0" w:color="auto"/>
              <w:left w:val="single" w:sz="4" w:space="0" w:color="auto"/>
              <w:bottom w:val="single" w:sz="4" w:space="0" w:color="auto"/>
              <w:right w:val="single" w:sz="4" w:space="0" w:color="auto"/>
            </w:tcBorders>
          </w:tcPr>
          <w:p w14:paraId="14AAFCE0" w14:textId="77777777" w:rsidR="00732953" w:rsidRPr="001644CB" w:rsidRDefault="00732953" w:rsidP="002040C8">
            <w:pPr>
              <w:jc w:val="right"/>
            </w:pPr>
            <w:r>
              <w:t>0.00</w:t>
            </w:r>
          </w:p>
        </w:tc>
        <w:tc>
          <w:tcPr>
            <w:tcW w:w="1560" w:type="dxa"/>
            <w:tcBorders>
              <w:top w:val="nil"/>
              <w:left w:val="single" w:sz="4" w:space="0" w:color="auto"/>
              <w:bottom w:val="nil"/>
              <w:right w:val="single" w:sz="4" w:space="0" w:color="auto"/>
            </w:tcBorders>
          </w:tcPr>
          <w:p w14:paraId="7EB3DBB6" w14:textId="77777777" w:rsidR="00732953" w:rsidRPr="001644CB" w:rsidRDefault="00732953" w:rsidP="002040C8">
            <w:pPr>
              <w:jc w:val="right"/>
            </w:pPr>
          </w:p>
        </w:tc>
      </w:tr>
      <w:tr w:rsidR="00732953" w:rsidRPr="00360021" w14:paraId="11593CFB" w14:textId="77777777" w:rsidTr="00E81089">
        <w:trPr>
          <w:cantSplit/>
          <w:trHeight w:val="274"/>
        </w:trPr>
        <w:tc>
          <w:tcPr>
            <w:tcW w:w="567" w:type="dxa"/>
            <w:tcBorders>
              <w:top w:val="single" w:sz="4" w:space="0" w:color="auto"/>
              <w:left w:val="single" w:sz="4" w:space="0" w:color="auto"/>
              <w:bottom w:val="single" w:sz="4" w:space="0" w:color="auto"/>
              <w:right w:val="single" w:sz="4" w:space="0" w:color="auto"/>
            </w:tcBorders>
          </w:tcPr>
          <w:p w14:paraId="1CBC7443" w14:textId="67304B6A" w:rsidR="00732953" w:rsidRPr="00360021" w:rsidRDefault="00E81089" w:rsidP="002040C8">
            <w:pPr>
              <w:ind w:right="-102"/>
            </w:pPr>
            <w:r>
              <w:t>1.</w:t>
            </w:r>
            <w:r w:rsidR="00732953">
              <w:t>4.</w:t>
            </w:r>
          </w:p>
        </w:tc>
        <w:tc>
          <w:tcPr>
            <w:tcW w:w="1134" w:type="dxa"/>
            <w:tcBorders>
              <w:top w:val="single" w:sz="4" w:space="0" w:color="auto"/>
              <w:left w:val="single" w:sz="4" w:space="0" w:color="auto"/>
              <w:bottom w:val="single" w:sz="4" w:space="0" w:color="auto"/>
              <w:right w:val="single" w:sz="4" w:space="0" w:color="auto"/>
            </w:tcBorders>
          </w:tcPr>
          <w:p w14:paraId="04C4ED22" w14:textId="77777777" w:rsidR="00732953" w:rsidRPr="00360021" w:rsidRDefault="00732953" w:rsidP="002040C8"/>
        </w:tc>
        <w:tc>
          <w:tcPr>
            <w:tcW w:w="2552" w:type="dxa"/>
            <w:tcBorders>
              <w:top w:val="single" w:sz="4" w:space="0" w:color="auto"/>
              <w:left w:val="single" w:sz="4" w:space="0" w:color="auto"/>
              <w:bottom w:val="single" w:sz="4" w:space="0" w:color="auto"/>
              <w:right w:val="single" w:sz="4" w:space="0" w:color="auto"/>
            </w:tcBorders>
          </w:tcPr>
          <w:p w14:paraId="11C9ED13" w14:textId="77777777" w:rsidR="00732953" w:rsidRPr="00360021" w:rsidRDefault="00732953" w:rsidP="002040C8">
            <w:pPr>
              <w:ind w:right="-114"/>
              <w:jc w:val="right"/>
            </w:pPr>
            <w:r>
              <w:t>Iš viso</w:t>
            </w:r>
          </w:p>
        </w:tc>
        <w:tc>
          <w:tcPr>
            <w:tcW w:w="1417" w:type="dxa"/>
            <w:tcBorders>
              <w:top w:val="single" w:sz="4" w:space="0" w:color="auto"/>
              <w:left w:val="single" w:sz="4" w:space="0" w:color="auto"/>
              <w:bottom w:val="single" w:sz="4" w:space="0" w:color="auto"/>
              <w:right w:val="single" w:sz="4" w:space="0" w:color="auto"/>
            </w:tcBorders>
          </w:tcPr>
          <w:p w14:paraId="0A989C77" w14:textId="77777777" w:rsidR="00732953" w:rsidRPr="00360021" w:rsidRDefault="00732953" w:rsidP="002040C8">
            <w:pPr>
              <w:jc w:val="right"/>
            </w:pPr>
          </w:p>
        </w:tc>
        <w:tc>
          <w:tcPr>
            <w:tcW w:w="1276" w:type="dxa"/>
            <w:tcBorders>
              <w:top w:val="single" w:sz="4" w:space="0" w:color="auto"/>
              <w:left w:val="single" w:sz="4" w:space="0" w:color="auto"/>
              <w:bottom w:val="single" w:sz="4" w:space="0" w:color="auto"/>
              <w:right w:val="single" w:sz="4" w:space="0" w:color="auto"/>
            </w:tcBorders>
          </w:tcPr>
          <w:p w14:paraId="1BB73B4D" w14:textId="77777777" w:rsidR="00732953" w:rsidRPr="00360021" w:rsidRDefault="00732953" w:rsidP="002040C8">
            <w:pPr>
              <w:jc w:val="right"/>
            </w:pPr>
            <w:r>
              <w:fldChar w:fldCharType="begin"/>
            </w:r>
            <w:r>
              <w:instrText xml:space="preserve"> =SUM(ABOVE) \# "# ##0,00" </w:instrText>
            </w:r>
            <w:r>
              <w:fldChar w:fldCharType="separate"/>
            </w:r>
            <w:r>
              <w:rPr>
                <w:noProof/>
              </w:rPr>
              <w:t>74 690,00</w:t>
            </w:r>
            <w:r>
              <w:fldChar w:fldCharType="end"/>
            </w:r>
          </w:p>
        </w:tc>
        <w:tc>
          <w:tcPr>
            <w:tcW w:w="1416" w:type="dxa"/>
            <w:tcBorders>
              <w:top w:val="single" w:sz="4" w:space="0" w:color="auto"/>
              <w:left w:val="single" w:sz="4" w:space="0" w:color="auto"/>
              <w:bottom w:val="single" w:sz="4" w:space="0" w:color="auto"/>
              <w:right w:val="single" w:sz="4" w:space="0" w:color="auto"/>
            </w:tcBorders>
          </w:tcPr>
          <w:p w14:paraId="5F6ACA0B" w14:textId="77777777" w:rsidR="00732953" w:rsidRPr="00360021" w:rsidRDefault="00732953" w:rsidP="002040C8">
            <w:pPr>
              <w:jc w:val="center"/>
            </w:pPr>
          </w:p>
        </w:tc>
        <w:tc>
          <w:tcPr>
            <w:tcW w:w="1560" w:type="dxa"/>
            <w:tcBorders>
              <w:top w:val="nil"/>
              <w:left w:val="single" w:sz="4" w:space="0" w:color="auto"/>
              <w:bottom w:val="single" w:sz="4" w:space="0" w:color="auto"/>
              <w:right w:val="single" w:sz="4" w:space="0" w:color="auto"/>
            </w:tcBorders>
          </w:tcPr>
          <w:p w14:paraId="1ED5F65E" w14:textId="77777777" w:rsidR="00732953" w:rsidRPr="00360021" w:rsidRDefault="00732953" w:rsidP="002040C8">
            <w:pPr>
              <w:jc w:val="right"/>
            </w:pPr>
          </w:p>
        </w:tc>
      </w:tr>
    </w:tbl>
    <w:p w14:paraId="5A45D3A0" w14:textId="51813698" w:rsidR="0014454F" w:rsidRDefault="0014454F" w:rsidP="008A50C8">
      <w:pPr>
        <w:pStyle w:val="Pagrindinistekstas"/>
        <w:tabs>
          <w:tab w:val="num" w:pos="568"/>
          <w:tab w:val="num" w:pos="1813"/>
        </w:tabs>
        <w:spacing w:line="360" w:lineRule="auto"/>
      </w:pPr>
      <w:r>
        <w:t>Šiuo metu turtas apskaitytas Molėtų rajono savivaldybės administracijos balanse.</w:t>
      </w:r>
    </w:p>
    <w:p w14:paraId="0C36E3D3" w14:textId="7886D9F1" w:rsidR="00B35016" w:rsidRDefault="00B35016" w:rsidP="00C500A3">
      <w:pPr>
        <w:pStyle w:val="Pagrindinistekstas"/>
        <w:numPr>
          <w:ilvl w:val="0"/>
          <w:numId w:val="3"/>
        </w:numPr>
        <w:tabs>
          <w:tab w:val="clear" w:pos="1813"/>
          <w:tab w:val="num" w:pos="851"/>
        </w:tabs>
        <w:spacing w:line="360" w:lineRule="auto"/>
        <w:ind w:left="0" w:firstLine="709"/>
      </w:pPr>
      <w:r>
        <w:t>Įgalioti Molėtų rajono savivaldybės administracijos direktorių, jo nesant - administracijos direktoriaus pavaduotoją pasirašyti 1 punkte nurodyto turto patikėjimo sutartį, turto perdavimo ir priėmimo aktą.</w:t>
      </w:r>
    </w:p>
    <w:p w14:paraId="30CEBABE" w14:textId="1AB50015" w:rsidR="00B35016" w:rsidRDefault="00B35016" w:rsidP="00C500A3">
      <w:pPr>
        <w:pStyle w:val="Pagrindinistekstas"/>
        <w:numPr>
          <w:ilvl w:val="0"/>
          <w:numId w:val="3"/>
        </w:numPr>
        <w:tabs>
          <w:tab w:val="clear" w:pos="1813"/>
          <w:tab w:val="num" w:pos="1276"/>
        </w:tabs>
        <w:spacing w:line="360" w:lineRule="auto"/>
        <w:ind w:left="0" w:firstLine="709"/>
      </w:pPr>
      <w:r>
        <w:t>Įpareigoti uždarosios akcinės bendrovės „Molėtų vanduo“ direktorių įregistruoti 1 punkte nurodyto turto daiktines teises valstybės įmonėje Registrų centre.</w:t>
      </w:r>
    </w:p>
    <w:p w14:paraId="05DEE17F" w14:textId="77777777" w:rsidR="00B35016" w:rsidRDefault="00B35016" w:rsidP="00B35016">
      <w:pPr>
        <w:tabs>
          <w:tab w:val="left" w:pos="709"/>
        </w:tabs>
        <w:spacing w:after="160" w:line="360" w:lineRule="auto"/>
        <w:jc w:val="both"/>
      </w:pPr>
      <w:r>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1FE7EFF" w14:textId="6B5AB9ED" w:rsidR="00B35016" w:rsidRDefault="00B35016" w:rsidP="00CC2035">
      <w:pPr>
        <w:tabs>
          <w:tab w:val="left" w:pos="709"/>
        </w:tabs>
        <w:spacing w:after="160" w:line="360" w:lineRule="auto"/>
        <w:jc w:val="both"/>
      </w:pPr>
    </w:p>
    <w:p w14:paraId="129BA945" w14:textId="77777777" w:rsidR="00B35016" w:rsidRDefault="00B35016" w:rsidP="00CC2035">
      <w:pPr>
        <w:tabs>
          <w:tab w:val="left" w:pos="709"/>
        </w:tabs>
        <w:spacing w:after="160" w:line="360" w:lineRule="auto"/>
        <w:jc w:val="both"/>
      </w:pP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079AB71D"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BC1BDE">
            <w:t>Saulius Jauneika</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05D3A18D" w14:textId="5741671F" w:rsidR="008A50C8" w:rsidRDefault="008A50C8" w:rsidP="008A50C8">
      <w:pPr>
        <w:spacing w:line="360" w:lineRule="auto"/>
        <w:ind w:firstLine="851"/>
        <w:jc w:val="both"/>
        <w:rPr>
          <w:spacing w:val="30"/>
        </w:rPr>
      </w:pPr>
    </w:p>
    <w:p w14:paraId="68A86869" w14:textId="1FBA75F7" w:rsidR="00A3447C" w:rsidRDefault="00A3447C" w:rsidP="00A3447C"/>
    <w:p w14:paraId="4F4C34D5" w14:textId="3993C0BF" w:rsidR="00A3447C" w:rsidRDefault="00A3447C" w:rsidP="00A3447C"/>
    <w:sectPr w:rsidR="00A3447C"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6422" w14:textId="77777777" w:rsidR="00C9163B" w:rsidRDefault="00C9163B">
      <w:r>
        <w:separator/>
      </w:r>
    </w:p>
  </w:endnote>
  <w:endnote w:type="continuationSeparator" w:id="0">
    <w:p w14:paraId="5CB161BF" w14:textId="77777777" w:rsidR="00C9163B" w:rsidRDefault="00C9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9E0E" w14:textId="77777777" w:rsidR="00C9163B" w:rsidRDefault="00C9163B">
      <w:r>
        <w:separator/>
      </w:r>
    </w:p>
  </w:footnote>
  <w:footnote w:type="continuationSeparator" w:id="0">
    <w:p w14:paraId="60E81CEA" w14:textId="77777777" w:rsidR="00C9163B" w:rsidRDefault="00C9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1D63"/>
    <w:rsid w:val="00023A53"/>
    <w:rsid w:val="00024640"/>
    <w:rsid w:val="0004227C"/>
    <w:rsid w:val="000434DF"/>
    <w:rsid w:val="000532FA"/>
    <w:rsid w:val="00080D7D"/>
    <w:rsid w:val="00092B60"/>
    <w:rsid w:val="000A0D6A"/>
    <w:rsid w:val="000A2B54"/>
    <w:rsid w:val="000B1057"/>
    <w:rsid w:val="000D1E2E"/>
    <w:rsid w:val="000E70F9"/>
    <w:rsid w:val="000F41C9"/>
    <w:rsid w:val="000F77AA"/>
    <w:rsid w:val="00100A12"/>
    <w:rsid w:val="001156B7"/>
    <w:rsid w:val="0012091C"/>
    <w:rsid w:val="00120AB8"/>
    <w:rsid w:val="00132437"/>
    <w:rsid w:val="00135071"/>
    <w:rsid w:val="00137E2E"/>
    <w:rsid w:val="0014454F"/>
    <w:rsid w:val="00146DBF"/>
    <w:rsid w:val="00153C7B"/>
    <w:rsid w:val="00161DBC"/>
    <w:rsid w:val="00163E7C"/>
    <w:rsid w:val="001644CB"/>
    <w:rsid w:val="0017340C"/>
    <w:rsid w:val="00176F01"/>
    <w:rsid w:val="00184D9A"/>
    <w:rsid w:val="001907E8"/>
    <w:rsid w:val="0019154D"/>
    <w:rsid w:val="00192AD7"/>
    <w:rsid w:val="001B095A"/>
    <w:rsid w:val="001C7161"/>
    <w:rsid w:val="001E2AB7"/>
    <w:rsid w:val="001F405E"/>
    <w:rsid w:val="00211F14"/>
    <w:rsid w:val="002378D6"/>
    <w:rsid w:val="0024001A"/>
    <w:rsid w:val="00246F97"/>
    <w:rsid w:val="00251C95"/>
    <w:rsid w:val="0025376D"/>
    <w:rsid w:val="002555E6"/>
    <w:rsid w:val="002607A7"/>
    <w:rsid w:val="0027107C"/>
    <w:rsid w:val="0028586B"/>
    <w:rsid w:val="00286592"/>
    <w:rsid w:val="00287058"/>
    <w:rsid w:val="00287BBE"/>
    <w:rsid w:val="002B00A3"/>
    <w:rsid w:val="002B169D"/>
    <w:rsid w:val="002C43C6"/>
    <w:rsid w:val="002D58FF"/>
    <w:rsid w:val="002E22A4"/>
    <w:rsid w:val="002E25E8"/>
    <w:rsid w:val="002E54AF"/>
    <w:rsid w:val="002E55D0"/>
    <w:rsid w:val="00303564"/>
    <w:rsid w:val="00304C18"/>
    <w:rsid w:val="00305758"/>
    <w:rsid w:val="00310CD2"/>
    <w:rsid w:val="00323A99"/>
    <w:rsid w:val="00341D56"/>
    <w:rsid w:val="00343AF4"/>
    <w:rsid w:val="003523D3"/>
    <w:rsid w:val="00360021"/>
    <w:rsid w:val="0036071D"/>
    <w:rsid w:val="00383C8C"/>
    <w:rsid w:val="00384B4D"/>
    <w:rsid w:val="00391012"/>
    <w:rsid w:val="0039251C"/>
    <w:rsid w:val="003943DA"/>
    <w:rsid w:val="00395071"/>
    <w:rsid w:val="003975CE"/>
    <w:rsid w:val="003A742A"/>
    <w:rsid w:val="003A762C"/>
    <w:rsid w:val="003B41C3"/>
    <w:rsid w:val="003B4812"/>
    <w:rsid w:val="00420AC8"/>
    <w:rsid w:val="0044533C"/>
    <w:rsid w:val="00446B89"/>
    <w:rsid w:val="004475DC"/>
    <w:rsid w:val="00452100"/>
    <w:rsid w:val="0045787A"/>
    <w:rsid w:val="0046022C"/>
    <w:rsid w:val="004678FF"/>
    <w:rsid w:val="004968FC"/>
    <w:rsid w:val="004A312D"/>
    <w:rsid w:val="004B244A"/>
    <w:rsid w:val="004C3EEF"/>
    <w:rsid w:val="004C6B4D"/>
    <w:rsid w:val="004D19A6"/>
    <w:rsid w:val="004F285B"/>
    <w:rsid w:val="004F77F7"/>
    <w:rsid w:val="00503B36"/>
    <w:rsid w:val="00504780"/>
    <w:rsid w:val="00511219"/>
    <w:rsid w:val="00511862"/>
    <w:rsid w:val="00543FCB"/>
    <w:rsid w:val="00561916"/>
    <w:rsid w:val="0057458F"/>
    <w:rsid w:val="0059137E"/>
    <w:rsid w:val="005A0CAE"/>
    <w:rsid w:val="005A4424"/>
    <w:rsid w:val="005A664F"/>
    <w:rsid w:val="005C7641"/>
    <w:rsid w:val="005D2C44"/>
    <w:rsid w:val="005D41D8"/>
    <w:rsid w:val="005E28A6"/>
    <w:rsid w:val="005F38B6"/>
    <w:rsid w:val="00601069"/>
    <w:rsid w:val="00613930"/>
    <w:rsid w:val="006213AE"/>
    <w:rsid w:val="00627E4C"/>
    <w:rsid w:val="0063033A"/>
    <w:rsid w:val="006314A4"/>
    <w:rsid w:val="00646E0F"/>
    <w:rsid w:val="00650F0E"/>
    <w:rsid w:val="00663227"/>
    <w:rsid w:val="00665080"/>
    <w:rsid w:val="0067521B"/>
    <w:rsid w:val="00686EED"/>
    <w:rsid w:val="006906AF"/>
    <w:rsid w:val="006C28D6"/>
    <w:rsid w:val="006C45C2"/>
    <w:rsid w:val="007037D3"/>
    <w:rsid w:val="00705420"/>
    <w:rsid w:val="00706050"/>
    <w:rsid w:val="00724775"/>
    <w:rsid w:val="00732953"/>
    <w:rsid w:val="0073490E"/>
    <w:rsid w:val="00735A9A"/>
    <w:rsid w:val="00742241"/>
    <w:rsid w:val="00742D22"/>
    <w:rsid w:val="007559C6"/>
    <w:rsid w:val="0077543B"/>
    <w:rsid w:val="00776F64"/>
    <w:rsid w:val="00794407"/>
    <w:rsid w:val="00794C2F"/>
    <w:rsid w:val="007951EA"/>
    <w:rsid w:val="00796C66"/>
    <w:rsid w:val="007A345A"/>
    <w:rsid w:val="007A3F5C"/>
    <w:rsid w:val="007A569F"/>
    <w:rsid w:val="007A740B"/>
    <w:rsid w:val="007B654C"/>
    <w:rsid w:val="007E4516"/>
    <w:rsid w:val="007F5DBD"/>
    <w:rsid w:val="00803E68"/>
    <w:rsid w:val="008313A6"/>
    <w:rsid w:val="008556EF"/>
    <w:rsid w:val="00860649"/>
    <w:rsid w:val="00861271"/>
    <w:rsid w:val="00872337"/>
    <w:rsid w:val="00872EBD"/>
    <w:rsid w:val="008760B7"/>
    <w:rsid w:val="0088309C"/>
    <w:rsid w:val="008A401C"/>
    <w:rsid w:val="008A50C8"/>
    <w:rsid w:val="008A54ED"/>
    <w:rsid w:val="008A7E58"/>
    <w:rsid w:val="008C4E09"/>
    <w:rsid w:val="008D6BB5"/>
    <w:rsid w:val="008F143B"/>
    <w:rsid w:val="008F6B72"/>
    <w:rsid w:val="008F6F4D"/>
    <w:rsid w:val="00925B18"/>
    <w:rsid w:val="00930596"/>
    <w:rsid w:val="0093412A"/>
    <w:rsid w:val="00962101"/>
    <w:rsid w:val="00971B03"/>
    <w:rsid w:val="00981CD6"/>
    <w:rsid w:val="0099491C"/>
    <w:rsid w:val="00996203"/>
    <w:rsid w:val="00997A4B"/>
    <w:rsid w:val="009B4614"/>
    <w:rsid w:val="009E70D9"/>
    <w:rsid w:val="009F6D09"/>
    <w:rsid w:val="009F7BBA"/>
    <w:rsid w:val="00A01953"/>
    <w:rsid w:val="00A01B13"/>
    <w:rsid w:val="00A10D6E"/>
    <w:rsid w:val="00A3447C"/>
    <w:rsid w:val="00A34C09"/>
    <w:rsid w:val="00A368D0"/>
    <w:rsid w:val="00A872C5"/>
    <w:rsid w:val="00AA3D03"/>
    <w:rsid w:val="00AC7854"/>
    <w:rsid w:val="00AE325A"/>
    <w:rsid w:val="00B025B5"/>
    <w:rsid w:val="00B32431"/>
    <w:rsid w:val="00B35016"/>
    <w:rsid w:val="00B4352E"/>
    <w:rsid w:val="00B475A2"/>
    <w:rsid w:val="00B5785A"/>
    <w:rsid w:val="00B66E60"/>
    <w:rsid w:val="00B7446F"/>
    <w:rsid w:val="00BA65BB"/>
    <w:rsid w:val="00BA6C37"/>
    <w:rsid w:val="00BB1DDF"/>
    <w:rsid w:val="00BB70B1"/>
    <w:rsid w:val="00BC1BDE"/>
    <w:rsid w:val="00BF6B3D"/>
    <w:rsid w:val="00C01782"/>
    <w:rsid w:val="00C04A48"/>
    <w:rsid w:val="00C16EA1"/>
    <w:rsid w:val="00C23F06"/>
    <w:rsid w:val="00C47153"/>
    <w:rsid w:val="00C500A3"/>
    <w:rsid w:val="00C61701"/>
    <w:rsid w:val="00C767CA"/>
    <w:rsid w:val="00C87D8A"/>
    <w:rsid w:val="00C9163B"/>
    <w:rsid w:val="00C92A00"/>
    <w:rsid w:val="00CA6E7F"/>
    <w:rsid w:val="00CB4D3A"/>
    <w:rsid w:val="00CC1DF9"/>
    <w:rsid w:val="00CC2035"/>
    <w:rsid w:val="00CC2863"/>
    <w:rsid w:val="00CD0B6D"/>
    <w:rsid w:val="00D03D5A"/>
    <w:rsid w:val="00D06AA5"/>
    <w:rsid w:val="00D310BD"/>
    <w:rsid w:val="00D62261"/>
    <w:rsid w:val="00D629DF"/>
    <w:rsid w:val="00D723EF"/>
    <w:rsid w:val="00D72C7A"/>
    <w:rsid w:val="00D74773"/>
    <w:rsid w:val="00D75712"/>
    <w:rsid w:val="00D8136A"/>
    <w:rsid w:val="00D814D8"/>
    <w:rsid w:val="00D940BE"/>
    <w:rsid w:val="00D95713"/>
    <w:rsid w:val="00DA3FB1"/>
    <w:rsid w:val="00DB6C4D"/>
    <w:rsid w:val="00DB7660"/>
    <w:rsid w:val="00DC6469"/>
    <w:rsid w:val="00DE58DE"/>
    <w:rsid w:val="00E032E8"/>
    <w:rsid w:val="00E069C9"/>
    <w:rsid w:val="00E12F5C"/>
    <w:rsid w:val="00E16AF1"/>
    <w:rsid w:val="00E252B9"/>
    <w:rsid w:val="00E3710F"/>
    <w:rsid w:val="00E40D04"/>
    <w:rsid w:val="00E42ED7"/>
    <w:rsid w:val="00E47E0A"/>
    <w:rsid w:val="00E6637B"/>
    <w:rsid w:val="00E7648A"/>
    <w:rsid w:val="00E81089"/>
    <w:rsid w:val="00E924F5"/>
    <w:rsid w:val="00EE5CB2"/>
    <w:rsid w:val="00EE645F"/>
    <w:rsid w:val="00EF65DC"/>
    <w:rsid w:val="00EF6A79"/>
    <w:rsid w:val="00F01312"/>
    <w:rsid w:val="00F04E4B"/>
    <w:rsid w:val="00F16317"/>
    <w:rsid w:val="00F17AAB"/>
    <w:rsid w:val="00F219BA"/>
    <w:rsid w:val="00F306A6"/>
    <w:rsid w:val="00F32FC1"/>
    <w:rsid w:val="00F339CB"/>
    <w:rsid w:val="00F54307"/>
    <w:rsid w:val="00F608F3"/>
    <w:rsid w:val="00F60D57"/>
    <w:rsid w:val="00F66108"/>
    <w:rsid w:val="00F756AE"/>
    <w:rsid w:val="00F84EDA"/>
    <w:rsid w:val="00F97AAB"/>
    <w:rsid w:val="00FA2669"/>
    <w:rsid w:val="00FB77DF"/>
    <w:rsid w:val="00FD3DEB"/>
    <w:rsid w:val="00FE0D95"/>
    <w:rsid w:val="00FE4789"/>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073703875">
      <w:bodyDiv w:val="1"/>
      <w:marLeft w:val="0"/>
      <w:marRight w:val="0"/>
      <w:marTop w:val="0"/>
      <w:marBottom w:val="0"/>
      <w:divBdr>
        <w:top w:val="none" w:sz="0" w:space="0" w:color="auto"/>
        <w:left w:val="none" w:sz="0" w:space="0" w:color="auto"/>
        <w:bottom w:val="none" w:sz="0" w:space="0" w:color="auto"/>
        <w:right w:val="none" w:sz="0" w:space="0" w:color="auto"/>
      </w:divBdr>
    </w:div>
    <w:div w:id="1092507939">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6962194">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 w:id="21095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4E38"/>
    <w:rsid w:val="00032E13"/>
    <w:rsid w:val="000953E3"/>
    <w:rsid w:val="000979B4"/>
    <w:rsid w:val="000E7D20"/>
    <w:rsid w:val="0011780D"/>
    <w:rsid w:val="00144C6E"/>
    <w:rsid w:val="00146430"/>
    <w:rsid w:val="001535D6"/>
    <w:rsid w:val="00160A63"/>
    <w:rsid w:val="0018442C"/>
    <w:rsid w:val="001F1DE6"/>
    <w:rsid w:val="0026726B"/>
    <w:rsid w:val="00294324"/>
    <w:rsid w:val="002C2CE0"/>
    <w:rsid w:val="002E0D71"/>
    <w:rsid w:val="00327784"/>
    <w:rsid w:val="00331B84"/>
    <w:rsid w:val="003405D0"/>
    <w:rsid w:val="00342CDF"/>
    <w:rsid w:val="00346EB6"/>
    <w:rsid w:val="003509B2"/>
    <w:rsid w:val="003836AA"/>
    <w:rsid w:val="003C187C"/>
    <w:rsid w:val="003F0090"/>
    <w:rsid w:val="0040183B"/>
    <w:rsid w:val="00461BFF"/>
    <w:rsid w:val="0046718B"/>
    <w:rsid w:val="004B3BDA"/>
    <w:rsid w:val="004B4287"/>
    <w:rsid w:val="00525816"/>
    <w:rsid w:val="00556BF1"/>
    <w:rsid w:val="005B1175"/>
    <w:rsid w:val="005D41E9"/>
    <w:rsid w:val="005F6265"/>
    <w:rsid w:val="0061587A"/>
    <w:rsid w:val="00651E21"/>
    <w:rsid w:val="006B09BF"/>
    <w:rsid w:val="006D0ED9"/>
    <w:rsid w:val="006F42E3"/>
    <w:rsid w:val="00707CA2"/>
    <w:rsid w:val="00716546"/>
    <w:rsid w:val="00747391"/>
    <w:rsid w:val="00771E88"/>
    <w:rsid w:val="007C4F8E"/>
    <w:rsid w:val="007D2E2C"/>
    <w:rsid w:val="00817E55"/>
    <w:rsid w:val="0084371A"/>
    <w:rsid w:val="008D4655"/>
    <w:rsid w:val="00906120"/>
    <w:rsid w:val="00913B3E"/>
    <w:rsid w:val="009228CD"/>
    <w:rsid w:val="00925307"/>
    <w:rsid w:val="0092730F"/>
    <w:rsid w:val="009825EF"/>
    <w:rsid w:val="009F03F7"/>
    <w:rsid w:val="00A15671"/>
    <w:rsid w:val="00A179C8"/>
    <w:rsid w:val="00A20D24"/>
    <w:rsid w:val="00A948A0"/>
    <w:rsid w:val="00AF5F8E"/>
    <w:rsid w:val="00AF60C8"/>
    <w:rsid w:val="00B00465"/>
    <w:rsid w:val="00BC4C63"/>
    <w:rsid w:val="00BE6858"/>
    <w:rsid w:val="00BF7890"/>
    <w:rsid w:val="00C06E4F"/>
    <w:rsid w:val="00C31210"/>
    <w:rsid w:val="00C64B75"/>
    <w:rsid w:val="00C716D6"/>
    <w:rsid w:val="00C83F22"/>
    <w:rsid w:val="00CA35EB"/>
    <w:rsid w:val="00CF52AA"/>
    <w:rsid w:val="00D04F0E"/>
    <w:rsid w:val="00D24D7E"/>
    <w:rsid w:val="00D57C9B"/>
    <w:rsid w:val="00D654A0"/>
    <w:rsid w:val="00D71187"/>
    <w:rsid w:val="00DE39FF"/>
    <w:rsid w:val="00E43E6E"/>
    <w:rsid w:val="00E463CA"/>
    <w:rsid w:val="00F07ECC"/>
    <w:rsid w:val="00F21FA2"/>
    <w:rsid w:val="00F70C60"/>
    <w:rsid w:val="00FF167D"/>
    <w:rsid w:val="00FF3E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428</Words>
  <Characters>3047</Characters>
  <Application>Microsoft Office Word</Application>
  <DocSecurity>0</DocSecurity>
  <Lines>25</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5</cp:revision>
  <cp:lastPrinted>2001-06-05T13:05:00Z</cp:lastPrinted>
  <dcterms:created xsi:type="dcterms:W3CDTF">2022-06-21T10:57:00Z</dcterms:created>
  <dcterms:modified xsi:type="dcterms:W3CDTF">2022-06-30T10:38:00Z</dcterms:modified>
</cp:coreProperties>
</file>