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1A2ACF8A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11223F">
        <w:t>r. švietimo pagalbos tarnybos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4EA7DDF5" w14:textId="58662B8A" w:rsidR="00EB7A6F" w:rsidRPr="00F11DD8" w:rsidRDefault="004F16A5" w:rsidP="00CF5D5B">
      <w:pPr>
        <w:tabs>
          <w:tab w:val="left" w:pos="-142"/>
          <w:tab w:val="left" w:pos="142"/>
        </w:tabs>
        <w:spacing w:line="360" w:lineRule="auto"/>
        <w:jc w:val="both"/>
      </w:pPr>
      <w:r>
        <w:t xml:space="preserve">           </w:t>
      </w:r>
      <w:r w:rsidR="0099271E">
        <w:t xml:space="preserve">Tarybos sprendimo projektas teikiamas  </w:t>
      </w:r>
      <w:r w:rsidR="00EB7A6F">
        <w:t xml:space="preserve">laikinai einančios </w:t>
      </w:r>
      <w:r w:rsidR="0099271E">
        <w:t xml:space="preserve">Molėtų </w:t>
      </w:r>
      <w:r w:rsidR="00EB7A6F">
        <w:t xml:space="preserve">r. švietimo pagalbos tarnybos </w:t>
      </w:r>
      <w:r w:rsidR="00601C05">
        <w:t xml:space="preserve"> direktor</w:t>
      </w:r>
      <w:r w:rsidR="00F240D8">
        <w:t>ės</w:t>
      </w:r>
      <w:r w:rsidR="00601C05">
        <w:t xml:space="preserve"> </w:t>
      </w:r>
      <w:r w:rsidR="00EB7A6F">
        <w:t>pareigas Almos Vidžiūnienės prašymu.</w:t>
      </w:r>
      <w:r w:rsidR="0099271E">
        <w:t xml:space="preserve"> </w:t>
      </w:r>
      <w:r w:rsidR="00EB7A6F" w:rsidRPr="00F11DD8">
        <w:t xml:space="preserve">Naujoje nuostatų redakcijoje papildomos tarnybos direktoriaus funkcijos, remiantis Lietuvos Respublikos švietimo įstatymo 59 str., Lietuvos Respublikos biudžetinių įstaigų įstatymo 9 str. </w:t>
      </w:r>
      <w:r>
        <w:t>Nuostatai</w:t>
      </w:r>
      <w:r w:rsidRPr="00F11DD8">
        <w:rPr>
          <w:color w:val="000000"/>
        </w:rPr>
        <w:t xml:space="preserve"> papildom</w:t>
      </w:r>
      <w:r>
        <w:rPr>
          <w:color w:val="000000"/>
        </w:rPr>
        <w:t>i</w:t>
      </w:r>
      <w:r w:rsidRPr="00F11DD8">
        <w:rPr>
          <w:color w:val="000000"/>
        </w:rPr>
        <w:t xml:space="preserve"> V skyriumi ,,Tarnybos savivalda ir darbuotojų atstovavimas“</w:t>
      </w:r>
      <w:r w:rsidRPr="00567CFE">
        <w:rPr>
          <w:color w:val="000000"/>
        </w:rPr>
        <w:t xml:space="preserve"> </w:t>
      </w:r>
      <w:r>
        <w:rPr>
          <w:color w:val="000000"/>
        </w:rPr>
        <w:t>remiantis Lietuvos Respublikos biudžetinių įstaigų įstatymo I skyriaus 6 str. ,,Biudžetinės įstaigos nuostatai“.</w:t>
      </w:r>
    </w:p>
    <w:p w14:paraId="18FAF26C" w14:textId="28640A6E" w:rsidR="00EB7A6F" w:rsidRPr="00B160DD" w:rsidRDefault="004F16A5" w:rsidP="00CF5D5B">
      <w:pPr>
        <w:spacing w:line="360" w:lineRule="auto"/>
        <w:jc w:val="both"/>
        <w:rPr>
          <w:color w:val="000000"/>
        </w:rPr>
      </w:pPr>
      <w:r>
        <w:t xml:space="preserve">           </w:t>
      </w:r>
      <w:r w:rsidR="00EB7A6F" w:rsidRPr="00F11DD8">
        <w:t>Įrašomas punktas apie pedagoginės psichologinės pagalbos  padalinio steigimą</w:t>
      </w:r>
      <w:r>
        <w:t>.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71E1C0B9" w:rsidR="003D3DBE" w:rsidRPr="003D3DB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4510A">
        <w:rPr>
          <w:bCs/>
        </w:rPr>
        <w:t>Priėmus</w:t>
      </w:r>
      <w:r w:rsidR="003D3DBE" w:rsidRPr="003D3DBE">
        <w:rPr>
          <w:bCs/>
        </w:rPr>
        <w:t xml:space="preserve"> sprendim</w:t>
      </w:r>
      <w:r w:rsidR="0094510A">
        <w:rPr>
          <w:bCs/>
        </w:rPr>
        <w:t>ą</w:t>
      </w:r>
      <w:r w:rsidR="003D3DBE" w:rsidRPr="003D3DBE">
        <w:rPr>
          <w:bCs/>
        </w:rPr>
        <w:t xml:space="preserve"> </w:t>
      </w:r>
      <w:r w:rsidR="0094510A">
        <w:rPr>
          <w:bCs/>
        </w:rPr>
        <w:t>bus</w:t>
      </w:r>
      <w:r w:rsidR="003D3DBE">
        <w:rPr>
          <w:bCs/>
        </w:rPr>
        <w:t xml:space="preserve"> patvirtint</w:t>
      </w:r>
      <w:r w:rsidR="0094510A">
        <w:rPr>
          <w:bCs/>
        </w:rPr>
        <w:t>a</w:t>
      </w:r>
      <w:r w:rsidR="003D3DBE">
        <w:rPr>
          <w:bCs/>
        </w:rPr>
        <w:t xml:space="preserve"> nauj</w:t>
      </w:r>
      <w:r w:rsidR="0094510A">
        <w:rPr>
          <w:bCs/>
        </w:rPr>
        <w:t>a</w:t>
      </w:r>
      <w:r w:rsidR="003D3DBE">
        <w:rPr>
          <w:bCs/>
        </w:rPr>
        <w:t xml:space="preserve"> Molėtų </w:t>
      </w:r>
      <w:r w:rsidR="004F16A5">
        <w:rPr>
          <w:bCs/>
        </w:rPr>
        <w:t xml:space="preserve">r. švietimo pagalbos tarnybos </w:t>
      </w:r>
      <w:r w:rsidR="003D3DBE">
        <w:rPr>
          <w:bCs/>
        </w:rPr>
        <w:t>nuostatų redakcij</w:t>
      </w:r>
      <w:r w:rsidR="0094510A">
        <w:rPr>
          <w:bCs/>
        </w:rPr>
        <w:t>a</w:t>
      </w:r>
      <w:r w:rsidR="003D3DBE">
        <w:rPr>
          <w:bCs/>
        </w:rPr>
        <w:t>, kuri atitik</w:t>
      </w:r>
      <w:r w:rsidR="0094510A">
        <w:rPr>
          <w:bCs/>
        </w:rPr>
        <w:t>s</w:t>
      </w:r>
      <w:r w:rsidR="003D3DBE">
        <w:rPr>
          <w:bCs/>
        </w:rPr>
        <w:t xml:space="preserve"> galiojančių teisės aktų reikalavimus ir </w:t>
      </w:r>
      <w:r w:rsidR="0094510A">
        <w:rPr>
          <w:bCs/>
        </w:rPr>
        <w:t>sudarys galimybę įsteigti tarnyboje pedagoginės psichologinės pagalbos padalinį.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26C9226C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94510A">
        <w:t>Tarnybos</w:t>
      </w:r>
      <w:r>
        <w:t xml:space="preserve"> nuostatai atitiks galiojančių teisės aktų reikalavimus.  </w:t>
      </w:r>
      <w:r w:rsidR="000A14F5">
        <w:t xml:space="preserve">Molėtų r. švietimo pagalbos tarnyba turės pedagoginės psichologinės pagalbos padalinį </w:t>
      </w:r>
      <w:r w:rsidR="00CF5D5B">
        <w:t xml:space="preserve">, todėl </w:t>
      </w:r>
      <w:r w:rsidR="000A14F5">
        <w:t>padidės tarnybos veiklos efektyvumas.</w:t>
      </w:r>
    </w:p>
    <w:p w14:paraId="37308A7B" w14:textId="2631A101" w:rsidR="00BC7FC0" w:rsidRDefault="00BC7FC0" w:rsidP="00CF5D5B">
      <w:pPr>
        <w:pStyle w:val="Sraopastraipa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/>
        </w:rPr>
      </w:pPr>
      <w:r w:rsidRPr="00BC7FC0">
        <w:rPr>
          <w:b/>
        </w:rPr>
        <w:t>Lėšų poreikis ir jų šaltiniai</w:t>
      </w:r>
      <w:r>
        <w:rPr>
          <w:b/>
        </w:rPr>
        <w:t>.</w:t>
      </w:r>
    </w:p>
    <w:p w14:paraId="58FA77BB" w14:textId="41B5114F" w:rsidR="00BC7FC0" w:rsidRPr="00CF5D5B" w:rsidRDefault="00E90886" w:rsidP="0029087D">
      <w:pPr>
        <w:spacing w:line="360" w:lineRule="auto"/>
        <w:ind w:firstLine="720"/>
        <w:jc w:val="both"/>
        <w:rPr>
          <w:b/>
        </w:rPr>
      </w:pPr>
      <w:r w:rsidRPr="00CF5D5B">
        <w:rPr>
          <w:bCs/>
        </w:rPr>
        <w:t>Priedas už  padalinio veiklos koordinavimą</w:t>
      </w:r>
      <w:r w:rsidRPr="00CF5D5B">
        <w:rPr>
          <w:b/>
        </w:rPr>
        <w:t xml:space="preserve"> iš </w:t>
      </w:r>
      <w:r>
        <w:t>Molėtų r. švietimo pagalbos tarnyba</w:t>
      </w:r>
      <w:r>
        <w:t>i skirtų asignavimo lėšų.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CF5D5B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sectPr w:rsid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2"/>
  </w:num>
  <w:num w:numId="2" w16cid:durableId="1050350219">
    <w:abstractNumId w:val="4"/>
  </w:num>
  <w:num w:numId="3" w16cid:durableId="1066952539">
    <w:abstractNumId w:val="3"/>
  </w:num>
  <w:num w:numId="4" w16cid:durableId="516192817">
    <w:abstractNumId w:val="0"/>
  </w:num>
  <w:num w:numId="5" w16cid:durableId="3942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1492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3</cp:revision>
  <cp:lastPrinted>2019-10-14T07:51:00Z</cp:lastPrinted>
  <dcterms:created xsi:type="dcterms:W3CDTF">2022-04-19T05:17:00Z</dcterms:created>
  <dcterms:modified xsi:type="dcterms:W3CDTF">2022-04-19T09:02:00Z</dcterms:modified>
</cp:coreProperties>
</file>