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20B8" w14:textId="493A7900" w:rsidR="005471CE" w:rsidRPr="005471CE" w:rsidRDefault="005471CE" w:rsidP="005471CE">
      <w:pPr>
        <w:spacing w:line="240" w:lineRule="auto"/>
        <w:ind w:left="2592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                          </w:t>
      </w:r>
      <w:r w:rsidRPr="005471C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PRITARTA</w:t>
      </w:r>
    </w:p>
    <w:p w14:paraId="79EF1E36" w14:textId="1A58BD53" w:rsidR="005471CE" w:rsidRPr="005471CE" w:rsidRDefault="005471CE" w:rsidP="005471C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471C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</w:r>
      <w:r w:rsidRPr="005471C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</w:r>
      <w:r w:rsidRPr="005471C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                                                       </w:t>
      </w:r>
      <w:r w:rsidRPr="005471C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Molėtų rajono savivaldybės tarybos </w:t>
      </w:r>
    </w:p>
    <w:p w14:paraId="656708FB" w14:textId="747A01EC" w:rsidR="005471CE" w:rsidRPr="005471CE" w:rsidRDefault="005471CE" w:rsidP="005471CE">
      <w:pPr>
        <w:spacing w:line="240" w:lineRule="auto"/>
        <w:ind w:left="3888" w:firstLine="1296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5471C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                    </w:t>
      </w:r>
      <w:r w:rsidRPr="005471C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2022 m. kovo   d. sprendimu Nr. B1-</w:t>
      </w:r>
    </w:p>
    <w:p w14:paraId="3CD07FB1" w14:textId="77777777" w:rsidR="005471CE" w:rsidRPr="005471CE" w:rsidRDefault="005471CE" w:rsidP="005471CE">
      <w:pPr>
        <w:spacing w:line="240" w:lineRule="auto"/>
        <w:ind w:left="259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5471C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    </w:t>
      </w:r>
    </w:p>
    <w:p w14:paraId="25BF8278" w14:textId="77777777" w:rsidR="005471CE" w:rsidRPr="005471CE" w:rsidRDefault="005471CE" w:rsidP="005471CE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3EFCEEEA" w14:textId="7B7CF675" w:rsidR="005471CE" w:rsidRPr="005471CE" w:rsidRDefault="005471CE" w:rsidP="005471C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471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MOLĖTŲ R.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MOLĖTŲ</w:t>
      </w:r>
      <w:r w:rsidRPr="005471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</w:t>
      </w:r>
      <w:r w:rsidRPr="005471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GIMNAZIJOS 2021 METŲ VEIKLOS ATASKAITA</w:t>
      </w:r>
    </w:p>
    <w:p w14:paraId="3B747193" w14:textId="77777777" w:rsidR="007E14DF" w:rsidRPr="00E9455E" w:rsidRDefault="007E14DF" w:rsidP="007E14DF">
      <w:pPr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379" w:type="dxa"/>
        <w:tblLook w:val="04A0" w:firstRow="1" w:lastRow="0" w:firstColumn="1" w:lastColumn="0" w:noHBand="0" w:noVBand="1"/>
      </w:tblPr>
      <w:tblGrid>
        <w:gridCol w:w="9775"/>
      </w:tblGrid>
      <w:tr w:rsidR="007E14DF" w:rsidRPr="005471CE" w14:paraId="2538A6A1" w14:textId="77777777" w:rsidTr="007E14DF">
        <w:tc>
          <w:tcPr>
            <w:tcW w:w="9775" w:type="dxa"/>
          </w:tcPr>
          <w:p w14:paraId="7D35DBE1" w14:textId="77777777" w:rsidR="007E14DF" w:rsidRPr="005471CE" w:rsidRDefault="007E14DF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51E2" w14:textId="77777777" w:rsidR="006A1846" w:rsidRPr="005471CE" w:rsidRDefault="00725B64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1846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metais buvo įgyvendinami šie pagrindiniai </w:t>
            </w:r>
            <w:r w:rsidR="00B845AE" w:rsidRPr="005471CE">
              <w:rPr>
                <w:rFonts w:ascii="Times New Roman" w:hAnsi="Times New Roman" w:cs="Times New Roman"/>
                <w:sz w:val="24"/>
                <w:szCs w:val="24"/>
              </w:rPr>
              <w:t>mokyklos strateginiame plane numatyti tikslai ir uždaviniai</w:t>
            </w:r>
            <w:r w:rsidR="006A1846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2EF0A6A" w14:textId="77777777" w:rsidR="006F5D07" w:rsidRPr="005471CE" w:rsidRDefault="006F5D07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F7102" w14:textId="77777777" w:rsidR="003A6CA9" w:rsidRPr="005471CE" w:rsidRDefault="003A6CA9" w:rsidP="00462B47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Šiuolaikinės ugdymo aplinkos kūrimas. Per 2021 metus vykdant mokyklos strateginia</w:t>
            </w:r>
            <w:r w:rsidR="00F55F08" w:rsidRPr="005471CE">
              <w:rPr>
                <w:rFonts w:ascii="Times New Roman" w:hAnsi="Times New Roman" w:cs="Times New Roman"/>
                <w:sz w:val="24"/>
                <w:szCs w:val="24"/>
              </w:rPr>
              <w:t>me 2021-2023 metų plane numatytu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F55F08" w:rsidRPr="005471CE"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buvo:</w:t>
            </w:r>
          </w:p>
          <w:p w14:paraId="594F0DCD" w14:textId="77777777" w:rsidR="003A6CA9" w:rsidRPr="005471CE" w:rsidRDefault="003A6CA9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techniškai atnaujintos visos mokytojų darbo vietos, nuperkant naujus nešiojamus kompiuterius</w:t>
            </w:r>
            <w:r w:rsidR="00B845AE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="00B845AE" w:rsidRPr="005471CE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="00B845AE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10 pro operacine sistema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. Atnaujinta techninė įranga atitinka BDAR ir </w:t>
            </w:r>
            <w:r w:rsidR="00F55F08" w:rsidRPr="005471CE">
              <w:rPr>
                <w:rFonts w:ascii="Times New Roman" w:hAnsi="Times New Roman" w:cs="Times New Roman"/>
                <w:sz w:val="24"/>
                <w:szCs w:val="24"/>
              </w:rPr>
              <w:t>kibernetinio saugumo kriterijus;</w:t>
            </w:r>
          </w:p>
          <w:p w14:paraId="48D15487" w14:textId="77777777" w:rsidR="003A6CA9" w:rsidRPr="005471CE" w:rsidRDefault="00F55F08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3A6CA9" w:rsidRPr="005471CE">
              <w:rPr>
                <w:rFonts w:ascii="Times New Roman" w:hAnsi="Times New Roman" w:cs="Times New Roman"/>
                <w:sz w:val="24"/>
                <w:szCs w:val="24"/>
              </w:rPr>
              <w:t>sigyta ir įdiegta 3 komplektai įrangos hibridiniam ir nuotoliniam mokinių ugdymui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49DD4" w14:textId="77777777" w:rsidR="00F55F08" w:rsidRPr="005471CE" w:rsidRDefault="00F55F08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įsigytas mokyklos nuosavas domenas</w:t>
            </w:r>
            <w:r w:rsidR="00B845AE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845AE" w:rsidRPr="005471CE">
              <w:rPr>
                <w:rFonts w:ascii="Times New Roman" w:hAnsi="Times New Roman" w:cs="Times New Roman"/>
                <w:sz w:val="24"/>
                <w:szCs w:val="24"/>
              </w:rPr>
              <w:t>moletuprogimnazija.lt</w:t>
            </w:r>
            <w:proofErr w:type="spellEnd"/>
            <w:r w:rsidR="00B845AE" w:rsidRPr="00547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mokyklos interneto resursui ir mokyklos elektroniniam paštui;</w:t>
            </w:r>
          </w:p>
          <w:p w14:paraId="43479F3D" w14:textId="77777777" w:rsidR="00F55F08" w:rsidRPr="005471CE" w:rsidRDefault="00F55F08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technologiniam sprendimui realizuoti pasirinkta </w:t>
            </w:r>
            <w:proofErr w:type="spellStart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GoogleForEducation</w:t>
            </w:r>
            <w:proofErr w:type="spellEnd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platforma;</w:t>
            </w:r>
          </w:p>
          <w:p w14:paraId="2DB4BD1B" w14:textId="77777777" w:rsidR="00F55F08" w:rsidRPr="005471CE" w:rsidRDefault="00F55F08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ugdymo procesui įsigytos reikalingos EDUKA ir EMA elektroninių pratybų lic</w:t>
            </w:r>
            <w:r w:rsidR="00B91EB8" w:rsidRPr="005471CE">
              <w:rPr>
                <w:rFonts w:ascii="Times New Roman" w:hAnsi="Times New Roman" w:cs="Times New Roman"/>
                <w:sz w:val="24"/>
                <w:szCs w:val="24"/>
              </w:rPr>
              <w:t>encijos mokiniams ir mokytojams;</w:t>
            </w:r>
          </w:p>
          <w:p w14:paraId="09C77567" w14:textId="77777777" w:rsidR="00B91EB8" w:rsidRPr="005471CE" w:rsidRDefault="00B91EB8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organizuota integruoto ugdymo diena visos mokyklos mokiniams;</w:t>
            </w:r>
          </w:p>
          <w:p w14:paraId="43EF938F" w14:textId="77777777" w:rsidR="00B91EB8" w:rsidRPr="005471CE" w:rsidRDefault="00B91EB8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organizuota visos progimnazijos sporto šventė.</w:t>
            </w:r>
          </w:p>
          <w:p w14:paraId="58FCB60E" w14:textId="77777777" w:rsidR="00B91EB8" w:rsidRPr="005471CE" w:rsidRDefault="00B91EB8" w:rsidP="00462B47">
            <w:pPr>
              <w:pStyle w:val="Sraopastraipa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2082" w14:textId="77777777" w:rsidR="00F55F08" w:rsidRPr="005471CE" w:rsidRDefault="0094521A" w:rsidP="00462B4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Dėl  COVID-19 pandemijos valdymui įvesto karantino puse metų mokymas vyko tik nuotoliniu būdu todėl </w:t>
            </w:r>
            <w:r w:rsidR="00F55F0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tik nuo 2021 metų rugsėjo mėnesio ugdymui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galima buvo naudoti STEAM laboratorijos bazę ir nebuvo galima pasiekti numatyto integruotų pamokų skaičiaus.</w:t>
            </w:r>
          </w:p>
          <w:p w14:paraId="64A90ADE" w14:textId="77777777" w:rsidR="0094521A" w:rsidRPr="005471CE" w:rsidRDefault="0094521A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D95D" w14:textId="77777777" w:rsidR="0094521A" w:rsidRPr="005471CE" w:rsidRDefault="0094521A" w:rsidP="00462B47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Savivaldaus mokinio ugdymas. </w:t>
            </w:r>
            <w:r w:rsidR="00356B43" w:rsidRPr="005471CE">
              <w:rPr>
                <w:rFonts w:ascii="Times New Roman" w:hAnsi="Times New Roman" w:cs="Times New Roman"/>
                <w:sz w:val="24"/>
                <w:szCs w:val="24"/>
              </w:rPr>
              <w:t>Nuo 2021 metų rugsėjo mėnesio vykdant numatytus uždavinius buvo:</w:t>
            </w:r>
          </w:p>
          <w:p w14:paraId="2229A226" w14:textId="77777777" w:rsidR="00650417" w:rsidRPr="005471CE" w:rsidRDefault="00356B43" w:rsidP="009D5A95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parengta Google platformoje ilgalaikių mokymosi tikslų fiksavimo ir stebėjimo sistema</w:t>
            </w:r>
            <w:r w:rsidR="007703D2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(IMTFSS)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visiems mokyklos mokiniams</w:t>
            </w:r>
            <w:r w:rsidR="006514F4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ir įvesti visų mokinių ilgalaikiai mokymosi tikslai</w:t>
            </w:r>
            <w:r w:rsidR="00650417" w:rsidRPr="00547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E4BB8" w14:textId="77777777" w:rsidR="00356B43" w:rsidRPr="005471CE" w:rsidRDefault="00356B43" w:rsidP="009D5A95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visi mokiniai, padedami mokytojų ir tėvų, išsikėlė 2021-2022 mokslo metams ilgalaikius mokymosi tikslus;</w:t>
            </w:r>
          </w:p>
          <w:p w14:paraId="1AEBA95D" w14:textId="77777777" w:rsidR="00A86554" w:rsidRPr="005471CE" w:rsidRDefault="00B91EB8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aukštesniuoju lygiu besimokantiems mokiniams </w:t>
            </w:r>
            <w:r w:rsidR="006E1795" w:rsidRPr="005471C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r w:rsidR="006E1795" w:rsidRPr="005471CE">
              <w:rPr>
                <w:rFonts w:ascii="Times New Roman" w:hAnsi="Times New Roman" w:cs="Times New Roman"/>
                <w:sz w:val="24"/>
                <w:szCs w:val="24"/>
              </w:rPr>
              <w:t>tos I-jojo lygio dalykinės olimpiados ir dal</w:t>
            </w:r>
            <w:r w:rsidR="005A1125" w:rsidRPr="005471CE">
              <w:rPr>
                <w:rFonts w:ascii="Times New Roman" w:hAnsi="Times New Roman" w:cs="Times New Roman"/>
                <w:sz w:val="24"/>
                <w:szCs w:val="24"/>
              </w:rPr>
              <w:t>yvauta II-</w:t>
            </w:r>
            <w:proofErr w:type="spellStart"/>
            <w:r w:rsidR="005A1125" w:rsidRPr="005471CE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="005A1125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lygio olimpiadose, kuriose </w:t>
            </w:r>
            <w:r w:rsidR="002D6734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32 mokiniai tapo prizinių vietų laimėtojais. Matematikos olimpiadoje 6, 7 ir 8 klasių mokiniai laimėjo visas prizines I-III vietas. Epistolinio rašinio konkurse laimėtos II-III vietos. Biologijos olimpiadoje </w:t>
            </w:r>
            <w:r w:rsidR="00A86554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5kl. </w:t>
            </w:r>
            <w:r w:rsidR="002D6734" w:rsidRPr="005471CE">
              <w:rPr>
                <w:rFonts w:ascii="Times New Roman" w:hAnsi="Times New Roman" w:cs="Times New Roman"/>
                <w:sz w:val="24"/>
                <w:szCs w:val="24"/>
              </w:rPr>
              <w:t>laimė</w:t>
            </w:r>
            <w:r w:rsidR="00A86554" w:rsidRPr="005471CE">
              <w:rPr>
                <w:rFonts w:ascii="Times New Roman" w:hAnsi="Times New Roman" w:cs="Times New Roman"/>
                <w:sz w:val="24"/>
                <w:szCs w:val="24"/>
              </w:rPr>
              <w:t>ta  I vieta, 6 kl. I ir III vietos, 7 kl. laimėta I vieta ir 8 kl. laimėta  I-II vietos. Geografijos olimpiadoje 6-8 klasių tarpe laimėtos visos I-III prizinės vietos. Sportinėse varžybose 9  6-8 klasių mokiniai laimėjo prizines I-III vietas atskirose rungtyse. Organizuotame solidarumo bėgime „Gelbėkit vaikus“ viso nubėgta 500 km ir suaukota 314 Eur. Dalyvaujant „Olimpinės kartos“ projekte „Aš kuriu pasaulį olimpine dvasia“ gautas 500 Eur. finansavimas.</w:t>
            </w:r>
          </w:p>
          <w:p w14:paraId="5DCD0E41" w14:textId="77777777" w:rsidR="00B91EB8" w:rsidRPr="005471CE" w:rsidRDefault="00B91EB8" w:rsidP="00462B4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B9AB" w14:textId="77777777" w:rsidR="00B91EB8" w:rsidRPr="005471CE" w:rsidRDefault="00B91EB8" w:rsidP="00462B4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Dėl pusę metų trukusio nuotolinio mokymo nebuvo galima </w:t>
            </w:r>
            <w:r w:rsidR="006E1795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padidinti dienos grupės veiklos įtakos mokinių mokymosi lygiui, </w:t>
            </w:r>
            <w:r w:rsidR="008A05C4" w:rsidRPr="005471CE">
              <w:rPr>
                <w:rFonts w:ascii="Times New Roman" w:hAnsi="Times New Roman" w:cs="Times New Roman"/>
                <w:sz w:val="24"/>
                <w:szCs w:val="24"/>
              </w:rPr>
              <w:t>išplėsti STEAM srities dalykų neformaliojo ugdymo</w:t>
            </w:r>
            <w:r w:rsidR="006E1795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pasiūlosir daugiau įtraukti mokinių į neformalias veiklas.</w:t>
            </w:r>
          </w:p>
          <w:p w14:paraId="49E797BB" w14:textId="77777777" w:rsidR="006E1795" w:rsidRPr="005471CE" w:rsidRDefault="006E1795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4CD21" w14:textId="77777777" w:rsidR="006E1795" w:rsidRPr="005471CE" w:rsidRDefault="00924410" w:rsidP="00462B47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Veiksmingos pagalbos mokiniui sistemos kūrimas. </w:t>
            </w:r>
            <w:r w:rsidR="0093423F" w:rsidRPr="005471CE">
              <w:rPr>
                <w:rFonts w:ascii="Times New Roman" w:hAnsi="Times New Roman" w:cs="Times New Roman"/>
                <w:sz w:val="24"/>
                <w:szCs w:val="24"/>
              </w:rPr>
              <w:t>Vykdant mokyklos strategin</w:t>
            </w:r>
            <w:r w:rsidR="00722C32" w:rsidRPr="005471CE">
              <w:rPr>
                <w:rFonts w:ascii="Times New Roman" w:hAnsi="Times New Roman" w:cs="Times New Roman"/>
                <w:sz w:val="24"/>
                <w:szCs w:val="24"/>
              </w:rPr>
              <w:t>iame plane numatytus uždavinius:</w:t>
            </w:r>
          </w:p>
          <w:p w14:paraId="372E4FEB" w14:textId="77777777" w:rsidR="00722C32" w:rsidRPr="005471CE" w:rsidRDefault="00722C32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mokyklos mikroklimato matavimo sistemoje įdiegtas </w:t>
            </w:r>
            <w:proofErr w:type="spellStart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Asaichi</w:t>
            </w:r>
            <w:proofErr w:type="spellEnd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metodas padeda siekti aukštesnių mikroklimato rodiklių</w:t>
            </w:r>
            <w:r w:rsidR="00444DA4" w:rsidRPr="005471CE">
              <w:rPr>
                <w:rFonts w:ascii="Times New Roman" w:hAnsi="Times New Roman" w:cs="Times New Roman"/>
                <w:sz w:val="24"/>
                <w:szCs w:val="24"/>
              </w:rPr>
              <w:t>. Nuo 2020-2021 iki 2021-2022 mokslo metų mokyklos mikroklimato rodiklis pakilo nuo 4,781 iki 4,8</w:t>
            </w:r>
            <w:r w:rsidR="00345FC8" w:rsidRPr="005471CE">
              <w:rPr>
                <w:rFonts w:ascii="Times New Roman" w:hAnsi="Times New Roman" w:cs="Times New Roman"/>
                <w:sz w:val="24"/>
                <w:szCs w:val="24"/>
              </w:rPr>
              <w:t>41 balo. Mokyklos mikroklimato DB duomenimis sumažėjo mokinių, keliančių mikroklimato problemas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BCB78D" w14:textId="77777777" w:rsidR="00722C32" w:rsidRPr="005471CE" w:rsidRDefault="007703D2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organizuotos 235</w:t>
            </w:r>
            <w:r w:rsidR="00722C32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trišalės nuotolinės sesijos su tėvais, mokytojais ir mokiniais mokymosi rezultatų aptarimui ir ilgalaikių mokymosi tikslų išsikėlimui</w:t>
            </w:r>
            <w:r w:rsidR="00345FC8" w:rsidRPr="005471CE">
              <w:rPr>
                <w:rFonts w:ascii="Times New Roman" w:hAnsi="Times New Roman" w:cs="Times New Roman"/>
                <w:sz w:val="24"/>
                <w:szCs w:val="24"/>
              </w:rPr>
              <w:t>. Tėvų įsitraukimas į jų vaikų ilgalaikių mokymosi tikslų planavimą ir siekimą padidėjo 15% palyginus su 2020 metais</w:t>
            </w:r>
            <w:r w:rsidR="00722C32" w:rsidRPr="00547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DA5326" w14:textId="77777777" w:rsidR="00722C32" w:rsidRPr="005471CE" w:rsidRDefault="00722C32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padidintas iki 3,5 et. mokytojų padėjėjų skaičius</w:t>
            </w:r>
            <w:r w:rsidR="00345FC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trečiame 2021 metų ketvirtyje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leido daugiau kaip 60% mokinių, turinčių specialiųjų poreikių,  gauti pagalbą;</w:t>
            </w:r>
          </w:p>
          <w:p w14:paraId="22B491C1" w14:textId="77777777" w:rsidR="00722C32" w:rsidRPr="005471CE" w:rsidRDefault="00722C32" w:rsidP="00462B47">
            <w:pPr>
              <w:pStyle w:val="Sraopastraipa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įrengtas mokyklos sensorinis kambarys teikti terapines priemones mokiniams dirbant psichologei ir </w:t>
            </w:r>
            <w:proofErr w:type="spellStart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soc.pedagogei</w:t>
            </w:r>
            <w:proofErr w:type="spellEnd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484E64" w14:textId="77777777" w:rsidR="00722C32" w:rsidRPr="005471CE" w:rsidRDefault="00722C32" w:rsidP="00462B4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0B6C" w14:textId="77777777" w:rsidR="00041FF0" w:rsidRPr="005471CE" w:rsidRDefault="00041FF0" w:rsidP="00462B47">
            <w:pPr>
              <w:ind w:left="75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Dėl to, kad </w:t>
            </w:r>
            <w:r w:rsidR="007703D2" w:rsidRPr="005471CE">
              <w:rPr>
                <w:rFonts w:ascii="Times New Roman" w:hAnsi="Times New Roman" w:cs="Times New Roman"/>
                <w:sz w:val="24"/>
                <w:szCs w:val="24"/>
              </w:rPr>
              <w:t>pirmą 2021 metų pusmetį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mokykla dirbo nuotolinio darbo forma pagalbos teikimas mokiniams buvo apribotas tik iki būtinosios pagalbos. Šiuo metu nebuvo galima išnaudoti kontaktinei pagalbai skirtų priemonių ir metodikų. Nuo 2021 metų rugsėjo</w:t>
            </w:r>
            <w:r w:rsidR="002D1176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iki metų pabaigos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pagalba mokiniams mokymosi spragoms kompensuoti ir specialiajai pagalbai gauti buvo padidinta beveik du kartus.</w:t>
            </w:r>
          </w:p>
          <w:p w14:paraId="016717D0" w14:textId="77777777" w:rsidR="006A1846" w:rsidRPr="005471CE" w:rsidRDefault="00BD7474" w:rsidP="00462B47">
            <w:pPr>
              <w:ind w:left="75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Per 2021</w:t>
            </w:r>
            <w:r w:rsidR="006A1846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metus buvo suorganizuota tik dalis tradicinių mokyklos renginių, o visuomenei skirti renginiai visai nebuvo organizuoti dėl pasaulinės </w:t>
            </w:r>
            <w:r w:rsidR="003764F0" w:rsidRPr="005471CE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="006A1846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pandemijos. Tik virtualiai buvo bendraujama su mokyklos partneriais. </w:t>
            </w:r>
            <w:r w:rsidR="00217CA1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Mokyklojepravesti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tradiciniai </w:t>
            </w:r>
            <w:r w:rsidR="00217CA1" w:rsidRPr="005471CE">
              <w:rPr>
                <w:rFonts w:ascii="Times New Roman" w:hAnsi="Times New Roman" w:cs="Times New Roman"/>
                <w:sz w:val="24"/>
                <w:szCs w:val="24"/>
              </w:rPr>
              <w:t>savaitės be patyčių</w:t>
            </w:r>
            <w:r w:rsidR="00BF245E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, korupcijos prevencijos, sveikatą stiprinančios mokyklos ir prevenciniai renginiai su Molėtų policijos pareigūnais. Kryptingai ir nuosekliai buvo dirbama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gerinant mokyklos mikroklimatą ir pasiektas kol kas aukščiausias rodiklis 4,781.</w:t>
            </w:r>
          </w:p>
          <w:p w14:paraId="6B09376A" w14:textId="77777777" w:rsidR="00BD7474" w:rsidRPr="005471CE" w:rsidRDefault="00BD7474" w:rsidP="00462B4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325" w:type="dxa"/>
              <w:tblLook w:val="04A0" w:firstRow="1" w:lastRow="0" w:firstColumn="1" w:lastColumn="0" w:noHBand="0" w:noVBand="1"/>
            </w:tblPr>
            <w:tblGrid>
              <w:gridCol w:w="1551"/>
              <w:gridCol w:w="1291"/>
              <w:gridCol w:w="1291"/>
              <w:gridCol w:w="1291"/>
              <w:gridCol w:w="1291"/>
              <w:gridCol w:w="1291"/>
              <w:gridCol w:w="1218"/>
            </w:tblGrid>
            <w:tr w:rsidR="00BD7474" w:rsidRPr="005471CE" w14:paraId="1F73F203" w14:textId="77777777" w:rsidTr="00BD7474">
              <w:tc>
                <w:tcPr>
                  <w:tcW w:w="1329" w:type="dxa"/>
                  <w:vAlign w:val="center"/>
                </w:tcPr>
                <w:p w14:paraId="5B9FC7D5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Metai</w:t>
                  </w:r>
                </w:p>
              </w:tc>
              <w:tc>
                <w:tcPr>
                  <w:tcW w:w="1329" w:type="dxa"/>
                  <w:vAlign w:val="center"/>
                </w:tcPr>
                <w:p w14:paraId="1BC2122B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329" w:type="dxa"/>
                  <w:vAlign w:val="center"/>
                </w:tcPr>
                <w:p w14:paraId="7F3FC2A6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329" w:type="dxa"/>
                  <w:vAlign w:val="center"/>
                </w:tcPr>
                <w:p w14:paraId="4C1B6200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329" w:type="dxa"/>
                  <w:vAlign w:val="center"/>
                </w:tcPr>
                <w:p w14:paraId="518B720A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329" w:type="dxa"/>
                  <w:vAlign w:val="center"/>
                </w:tcPr>
                <w:p w14:paraId="6DA2D3E1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250" w:type="dxa"/>
                </w:tcPr>
                <w:p w14:paraId="1AA74E4F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</w:t>
                  </w:r>
                </w:p>
              </w:tc>
            </w:tr>
            <w:tr w:rsidR="00BD7474" w:rsidRPr="005471CE" w14:paraId="75A616B3" w14:textId="77777777" w:rsidTr="00BD7474">
              <w:tc>
                <w:tcPr>
                  <w:tcW w:w="1329" w:type="dxa"/>
                  <w:vAlign w:val="center"/>
                </w:tcPr>
                <w:p w14:paraId="3E18113E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Mikroklimato rodiklis</w:t>
                  </w:r>
                </w:p>
              </w:tc>
              <w:tc>
                <w:tcPr>
                  <w:tcW w:w="1329" w:type="dxa"/>
                  <w:vAlign w:val="center"/>
                </w:tcPr>
                <w:p w14:paraId="3C5A3B2F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4,632</w:t>
                  </w:r>
                </w:p>
              </w:tc>
              <w:tc>
                <w:tcPr>
                  <w:tcW w:w="1329" w:type="dxa"/>
                  <w:vAlign w:val="center"/>
                </w:tcPr>
                <w:p w14:paraId="6C9D54BC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4,695</w:t>
                  </w:r>
                </w:p>
              </w:tc>
              <w:tc>
                <w:tcPr>
                  <w:tcW w:w="1329" w:type="dxa"/>
                  <w:vAlign w:val="center"/>
                </w:tcPr>
                <w:p w14:paraId="6AC8A841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4,725</w:t>
                  </w:r>
                </w:p>
              </w:tc>
              <w:tc>
                <w:tcPr>
                  <w:tcW w:w="1329" w:type="dxa"/>
                  <w:vAlign w:val="center"/>
                </w:tcPr>
                <w:p w14:paraId="2EEBBE79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4,735</w:t>
                  </w:r>
                </w:p>
              </w:tc>
              <w:tc>
                <w:tcPr>
                  <w:tcW w:w="1329" w:type="dxa"/>
                  <w:vAlign w:val="center"/>
                </w:tcPr>
                <w:p w14:paraId="24F70159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4,745</w:t>
                  </w:r>
                </w:p>
              </w:tc>
              <w:tc>
                <w:tcPr>
                  <w:tcW w:w="1250" w:type="dxa"/>
                  <w:vAlign w:val="center"/>
                </w:tcPr>
                <w:p w14:paraId="32FB818F" w14:textId="77777777" w:rsidR="00BD7474" w:rsidRPr="005471CE" w:rsidRDefault="00BD7474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4,781</w:t>
                  </w:r>
                </w:p>
              </w:tc>
            </w:tr>
          </w:tbl>
          <w:p w14:paraId="7FC1C35D" w14:textId="77777777" w:rsidR="00BF245E" w:rsidRPr="005471CE" w:rsidRDefault="00BF245E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CE2E" w14:textId="77777777" w:rsidR="00BD7474" w:rsidRPr="005471CE" w:rsidRDefault="00BD7474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Tarp tolerantiškiausių klasių išsiskyrė 6a, 6d ir 5c klasės. Mokinių, kurie mokykloje elgiasi netinkamai ir tyčiojasi iš kitų mokinių, per ataskaitinį laikotarpį sumažėjo nuo 29,62% iki 18,11%.  Šio rodiklio </w:t>
            </w:r>
            <w:r w:rsidR="00676BF2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11,51% sumažėjimui 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676BF2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ikšmingos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įtakos turėjo personalo </w:t>
            </w:r>
            <w:r w:rsidR="00676BF2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ir VGK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kryptingas </w:t>
            </w:r>
            <w:r w:rsidR="00676BF2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ir nuoseklus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r w:rsidR="00676BF2" w:rsidRPr="005471CE">
              <w:rPr>
                <w:rFonts w:ascii="Times New Roman" w:hAnsi="Times New Roman" w:cs="Times New Roman"/>
                <w:sz w:val="24"/>
                <w:szCs w:val="24"/>
              </w:rPr>
              <w:t>, taikant LEAN metodus.</w:t>
            </w:r>
          </w:p>
          <w:p w14:paraId="4DA29D3E" w14:textId="77777777" w:rsidR="00C066CE" w:rsidRPr="005471CE" w:rsidRDefault="00C066CE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27E4" w14:textId="77777777" w:rsidR="00676BF2" w:rsidRPr="005471CE" w:rsidRDefault="006A1846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BF2" w:rsidRPr="005471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07E16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. buvo </w:t>
            </w:r>
            <w:r w:rsidR="00676BF2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atnaujinti mokyklos nuostatai ir įteisintas nuotolinio mokymo organizavimo būdas. Naujai išrinkta visa mokyklos savivalda: mokyklos, mokytojų ir mokinių tarybos bei tėvų komitetas. </w:t>
            </w:r>
          </w:p>
          <w:p w14:paraId="604243E5" w14:textId="77777777" w:rsidR="00676BF2" w:rsidRPr="005471CE" w:rsidRDefault="00676BF2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A1F3" w14:textId="77777777" w:rsidR="002A0EB8" w:rsidRPr="005471CE" w:rsidRDefault="006A1846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Vykdant ugdymo proceso tobulinimą 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išlėsta e-turinio panaudojimas ugdymo procese. </w:t>
            </w:r>
            <w:r w:rsidR="00457168" w:rsidRPr="005471CE">
              <w:rPr>
                <w:rFonts w:ascii="Times New Roman" w:hAnsi="Times New Roman" w:cs="Times New Roman"/>
                <w:sz w:val="24"/>
                <w:szCs w:val="24"/>
              </w:rPr>
              <w:t>Eduka ir Ema  ugdymo resursais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aprūpinti visi 5-8 klasių mokiniai ir dalykų mokytojai. Per 2021</w:t>
            </w:r>
            <w:r w:rsidR="0045716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metus dėl karantino ir judėjimo riboji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mų </w:t>
            </w:r>
            <w:r w:rsidR="0045716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buvo 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>apribotos galimybės</w:t>
            </w:r>
            <w:r w:rsidR="0045716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tobulinti ugdymo procesą rengiant edukacijas kitose erdvėse ar užsakant Kultūros paso renginius. </w:t>
            </w:r>
            <w:r w:rsidR="007703D2" w:rsidRPr="005471CE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r w:rsidR="00036F85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keli kultūros paso renginiai.</w:t>
            </w:r>
            <w:r w:rsidR="003764F0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Per 2021 metų rugsėjo – gruodžio mėnesius 43,82% mokinių dalyvavo edukacinėse išvykose, o klasių vadovų renginiuose ir veiklose dalyvavo 56,18% mokinių.</w:t>
            </w:r>
          </w:p>
          <w:p w14:paraId="7CD8C77B" w14:textId="77777777" w:rsidR="002A0EB8" w:rsidRPr="005471CE" w:rsidRDefault="002A0EB8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9C294" w14:textId="77777777" w:rsidR="002A0EB8" w:rsidRPr="005471CE" w:rsidRDefault="00616BA5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Mokykla 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>pagal parengtą nuotolinio ugdymo aprašą turi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paskyrusi atsakingus asmenis už nuotolinio ugdymo techninių problemų sprendimą ir pakankamai apsirūpinusi technine įranga, kurią 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>naudojo per pirmąjį 2021 metų pusmetį nuotoliniam ugdymui organizuoti. Interneto prieigai užtikrinti iš mobilaus operatoriaus TELE2 mokiniams</w:t>
            </w:r>
            <w:r w:rsidR="00190A6D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, kurie neturėjo namuose gero interneto ryšio, 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buvo 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išnuomoti modemai interneto ryšiui palaikyti.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Daugiau nei 50% visų ugdymo plano pamokų 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>tuo metu vyko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sinchroniniu būdu. Dalis menų, technologijų ir fizinio l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>avinimo pamokų turėjo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ilgalaikes ar projektines užduotis.</w:t>
            </w:r>
          </w:p>
          <w:p w14:paraId="2B5A7C36" w14:textId="77777777" w:rsidR="002A0EB8" w:rsidRPr="005471CE" w:rsidRDefault="002A0EB8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BF24B" w14:textId="77777777" w:rsidR="004774CC" w:rsidRPr="005471CE" w:rsidRDefault="004774CC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NŠA </w:t>
            </w:r>
            <w:r w:rsidR="006A1846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NMPP </w:t>
            </w:r>
            <w:r w:rsidR="002A0EB8" w:rsidRPr="005471CE">
              <w:rPr>
                <w:rFonts w:ascii="Times New Roman" w:hAnsi="Times New Roman" w:cs="Times New Roman"/>
                <w:sz w:val="24"/>
                <w:szCs w:val="24"/>
              </w:rPr>
              <w:t>2021 buvo organizuotas tik mokyklosaštuntokams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. Nacionaliniu lygiu </w:t>
            </w:r>
            <w:r w:rsidR="006439F9" w:rsidRPr="005471CE">
              <w:rPr>
                <w:rFonts w:ascii="Times New Roman" w:hAnsi="Times New Roman" w:cs="Times New Roman"/>
                <w:sz w:val="24"/>
                <w:szCs w:val="24"/>
              </w:rPr>
              <w:t>aštuntokų pasiekimų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nebuvo </w:t>
            </w:r>
            <w:r w:rsidR="006439F9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galima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vertinti, todėl galima matyti tik jų pasiekimų vidurkį visų mokyklos </w:t>
            </w:r>
            <w:r w:rsidR="006439F9" w:rsidRPr="005471CE">
              <w:rPr>
                <w:rFonts w:ascii="Times New Roman" w:hAnsi="Times New Roman" w:cs="Times New Roman"/>
                <w:sz w:val="24"/>
                <w:szCs w:val="24"/>
              </w:rPr>
              <w:t>aštuntokų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atžvilgiu</w:t>
            </w:r>
            <w:r w:rsidR="00616BA5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6AF671" w14:textId="77777777" w:rsidR="00917061" w:rsidRPr="005471CE" w:rsidRDefault="00917061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325" w:type="dxa"/>
              <w:tblLook w:val="04A0" w:firstRow="1" w:lastRow="0" w:firstColumn="1" w:lastColumn="0" w:noHBand="0" w:noVBand="1"/>
            </w:tblPr>
            <w:tblGrid>
              <w:gridCol w:w="1363"/>
              <w:gridCol w:w="1569"/>
              <w:gridCol w:w="1571"/>
              <w:gridCol w:w="1569"/>
              <w:gridCol w:w="1569"/>
              <w:gridCol w:w="1583"/>
            </w:tblGrid>
            <w:tr w:rsidR="00917061" w:rsidRPr="005471CE" w14:paraId="495B2321" w14:textId="77777777" w:rsidTr="00E744E0">
              <w:trPr>
                <w:trHeight w:val="679"/>
              </w:trPr>
              <w:tc>
                <w:tcPr>
                  <w:tcW w:w="1265" w:type="dxa"/>
                  <w:hideMark/>
                </w:tcPr>
                <w:p w14:paraId="0D7D4D08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1B00E8AD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Mokiniai laikę testą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0CEAF43E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Mokiniai nebaigę testo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2CA89543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Surinktų taškų vidurkis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5A7301A8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Surinktų taškų vidurkis</w:t>
                  </w: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(pilnai baigusių testą)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09136D77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Maksimalus galimas taškų skaičius</w:t>
                  </w:r>
                </w:p>
              </w:tc>
            </w:tr>
            <w:tr w:rsidR="00917061" w:rsidRPr="005471CE" w14:paraId="440775B9" w14:textId="77777777" w:rsidTr="00E744E0">
              <w:trPr>
                <w:trHeight w:val="300"/>
              </w:trPr>
              <w:tc>
                <w:tcPr>
                  <w:tcW w:w="1265" w:type="dxa"/>
                  <w:vAlign w:val="center"/>
                  <w:hideMark/>
                </w:tcPr>
                <w:p w14:paraId="485F8BF8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148980EA" w14:textId="77777777" w:rsidR="00917061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7A233FFC" w14:textId="77777777" w:rsidR="00917061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355AA27B" w14:textId="77777777" w:rsidR="00917061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917061"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71180CF1" w14:textId="77777777" w:rsidR="00917061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42B56599" w14:textId="77777777" w:rsidR="00917061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917061" w:rsidRPr="005471CE" w14:paraId="3722E867" w14:textId="77777777" w:rsidTr="00E744E0">
              <w:trPr>
                <w:trHeight w:val="300"/>
              </w:trPr>
              <w:tc>
                <w:tcPr>
                  <w:tcW w:w="1265" w:type="dxa"/>
                  <w:vAlign w:val="center"/>
                  <w:hideMark/>
                </w:tcPr>
                <w:p w14:paraId="6D3C1D8F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Skaitymas</w:t>
                  </w: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3646F19C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5AAFAE7C" w14:textId="77777777" w:rsidR="00917061" w:rsidRPr="005471CE" w:rsidRDefault="00917061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20C5A975" w14:textId="77777777" w:rsidR="00917061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5A02C23F" w14:textId="77777777" w:rsidR="00917061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14:paraId="36E2D570" w14:textId="77777777" w:rsidR="00917061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</w:tbl>
          <w:p w14:paraId="513A9288" w14:textId="77777777" w:rsidR="004774CC" w:rsidRPr="005471CE" w:rsidRDefault="004774CC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4073" w14:textId="77777777" w:rsidR="006439F9" w:rsidRPr="005471CE" w:rsidRDefault="006439F9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    Matematikos vidurkis sudarė 49,6%, skaitymo – 68,4%.</w:t>
            </w:r>
          </w:p>
          <w:p w14:paraId="56F95BD6" w14:textId="77777777" w:rsidR="006439F9" w:rsidRPr="005471CE" w:rsidRDefault="006439F9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4F556" w14:textId="77777777" w:rsidR="006439F9" w:rsidRPr="005471CE" w:rsidRDefault="006439F9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C0DA" w14:textId="77777777" w:rsidR="00616BA5" w:rsidRPr="005471CE" w:rsidRDefault="002A0EB8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Per 2021</w:t>
            </w:r>
            <w:r w:rsidR="00917061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metus m</w:t>
            </w:r>
            <w:r w:rsidR="00616BA5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okyklos bendras pažangumas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išliko</w:t>
            </w:r>
            <w:r w:rsidR="00616BA5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="006439F9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palyginus su 2019-2020 </w:t>
            </w:r>
            <w:proofErr w:type="spellStart"/>
            <w:r w:rsidR="006439F9" w:rsidRPr="005471CE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6439F9" w:rsidRPr="00547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75884" w14:textId="77777777" w:rsidR="006F5D07" w:rsidRPr="005471CE" w:rsidRDefault="006F5D07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892" w:type="dxa"/>
              <w:tblLook w:val="04A0" w:firstRow="1" w:lastRow="0" w:firstColumn="1" w:lastColumn="0" w:noHBand="0" w:noVBand="1"/>
            </w:tblPr>
            <w:tblGrid>
              <w:gridCol w:w="1796"/>
              <w:gridCol w:w="1729"/>
              <w:gridCol w:w="1730"/>
              <w:gridCol w:w="1673"/>
            </w:tblGrid>
            <w:tr w:rsidR="006439F9" w:rsidRPr="005471CE" w14:paraId="30511950" w14:textId="77777777" w:rsidTr="006439F9">
              <w:tc>
                <w:tcPr>
                  <w:tcW w:w="1796" w:type="dxa"/>
                  <w:vAlign w:val="center"/>
                </w:tcPr>
                <w:p w14:paraId="6C3B9A64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Metai</w:t>
                  </w:r>
                </w:p>
              </w:tc>
              <w:tc>
                <w:tcPr>
                  <w:tcW w:w="1729" w:type="dxa"/>
                  <w:vAlign w:val="center"/>
                </w:tcPr>
                <w:p w14:paraId="459ED162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730" w:type="dxa"/>
                  <w:vAlign w:val="center"/>
                </w:tcPr>
                <w:p w14:paraId="78D37B88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673" w:type="dxa"/>
                </w:tcPr>
                <w:p w14:paraId="643715ED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</w:t>
                  </w:r>
                </w:p>
              </w:tc>
            </w:tr>
            <w:tr w:rsidR="006439F9" w:rsidRPr="005471CE" w14:paraId="574C3855" w14:textId="77777777" w:rsidTr="006439F9">
              <w:tc>
                <w:tcPr>
                  <w:tcW w:w="1796" w:type="dxa"/>
                  <w:vAlign w:val="center"/>
                </w:tcPr>
                <w:p w14:paraId="3244E156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Pažangumas</w:t>
                  </w:r>
                </w:p>
              </w:tc>
              <w:tc>
                <w:tcPr>
                  <w:tcW w:w="1729" w:type="dxa"/>
                  <w:vAlign w:val="center"/>
                </w:tcPr>
                <w:p w14:paraId="178580D4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99,74 %</w:t>
                  </w:r>
                </w:p>
              </w:tc>
              <w:tc>
                <w:tcPr>
                  <w:tcW w:w="1730" w:type="dxa"/>
                  <w:vAlign w:val="center"/>
                </w:tcPr>
                <w:p w14:paraId="77ABFDA9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673" w:type="dxa"/>
                </w:tcPr>
                <w:p w14:paraId="1C2F2286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221A03ED" w14:textId="77777777" w:rsidR="006F5D07" w:rsidRPr="005471CE" w:rsidRDefault="006F5D07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555EA" w14:textId="77777777" w:rsidR="00C10BE9" w:rsidRPr="005471CE" w:rsidRDefault="00C10BE9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Aukštesniuoju ir pagrindiniu lygiu besimoka</w:t>
            </w:r>
            <w:r w:rsidR="0054006B" w:rsidRPr="005471CE">
              <w:rPr>
                <w:rFonts w:ascii="Times New Roman" w:hAnsi="Times New Roman" w:cs="Times New Roman"/>
                <w:sz w:val="24"/>
                <w:szCs w:val="24"/>
              </w:rPr>
              <w:t>nčiųjų mokinių padidėjo</w:t>
            </w:r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3,23% palyginus su 2019-2020 </w:t>
            </w:r>
            <w:proofErr w:type="spellStart"/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8DE266" w14:textId="77777777" w:rsidR="00C10BE9" w:rsidRPr="005471CE" w:rsidRDefault="00C10BE9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7538" w:type="dxa"/>
              <w:tblInd w:w="872" w:type="dxa"/>
              <w:tblLook w:val="04A0" w:firstRow="1" w:lastRow="0" w:firstColumn="1" w:lastColumn="0" w:noHBand="0" w:noVBand="1"/>
            </w:tblPr>
            <w:tblGrid>
              <w:gridCol w:w="4252"/>
              <w:gridCol w:w="1643"/>
              <w:gridCol w:w="1643"/>
            </w:tblGrid>
            <w:tr w:rsidR="006439F9" w:rsidRPr="005471CE" w14:paraId="47D943ED" w14:textId="77777777" w:rsidTr="006439F9">
              <w:tc>
                <w:tcPr>
                  <w:tcW w:w="4252" w:type="dxa"/>
                </w:tcPr>
                <w:p w14:paraId="4A334E94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Aukštesniuoju ir pagrindiniu lygiu besimokantieji</w:t>
                  </w:r>
                </w:p>
              </w:tc>
              <w:tc>
                <w:tcPr>
                  <w:tcW w:w="1643" w:type="dxa"/>
                  <w:vAlign w:val="center"/>
                </w:tcPr>
                <w:p w14:paraId="2D5A5058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643" w:type="dxa"/>
                  <w:vAlign w:val="center"/>
                </w:tcPr>
                <w:p w14:paraId="7CC90BDE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</w:t>
                  </w:r>
                </w:p>
              </w:tc>
            </w:tr>
            <w:tr w:rsidR="006439F9" w:rsidRPr="005471CE" w14:paraId="11E800DD" w14:textId="77777777" w:rsidTr="006439F9">
              <w:tc>
                <w:tcPr>
                  <w:tcW w:w="4252" w:type="dxa"/>
                </w:tcPr>
                <w:p w14:paraId="750FB3BC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Bendras mokinių skaičius</w:t>
                  </w:r>
                </w:p>
              </w:tc>
              <w:tc>
                <w:tcPr>
                  <w:tcW w:w="1643" w:type="dxa"/>
                  <w:vAlign w:val="center"/>
                </w:tcPr>
                <w:p w14:paraId="766F2EED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1643" w:type="dxa"/>
                  <w:vAlign w:val="center"/>
                </w:tcPr>
                <w:p w14:paraId="22682F36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</w:t>
                  </w:r>
                </w:p>
              </w:tc>
            </w:tr>
            <w:tr w:rsidR="006439F9" w:rsidRPr="005471CE" w14:paraId="1B82A382" w14:textId="77777777" w:rsidTr="006439F9">
              <w:tc>
                <w:tcPr>
                  <w:tcW w:w="4252" w:type="dxa"/>
                </w:tcPr>
                <w:p w14:paraId="0C75D463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Skaičius</w:t>
                  </w:r>
                </w:p>
              </w:tc>
              <w:tc>
                <w:tcPr>
                  <w:tcW w:w="1643" w:type="dxa"/>
                  <w:vAlign w:val="center"/>
                </w:tcPr>
                <w:p w14:paraId="1F6192FD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643" w:type="dxa"/>
                  <w:vAlign w:val="center"/>
                </w:tcPr>
                <w:p w14:paraId="7D50B026" w14:textId="77777777" w:rsidR="006439F9" w:rsidRPr="005471CE" w:rsidRDefault="004F408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</w:tr>
            <w:tr w:rsidR="006439F9" w:rsidRPr="005471CE" w14:paraId="1E4C43A8" w14:textId="77777777" w:rsidTr="006439F9">
              <w:tc>
                <w:tcPr>
                  <w:tcW w:w="4252" w:type="dxa"/>
                </w:tcPr>
                <w:p w14:paraId="7DC775E2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Procentas nuo visų mokinių</w:t>
                  </w:r>
                </w:p>
              </w:tc>
              <w:tc>
                <w:tcPr>
                  <w:tcW w:w="1643" w:type="dxa"/>
                  <w:vAlign w:val="center"/>
                </w:tcPr>
                <w:p w14:paraId="68026020" w14:textId="77777777" w:rsidR="006439F9" w:rsidRPr="005471CE" w:rsidRDefault="006439F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61,4</w:t>
                  </w:r>
                  <w:r w:rsidR="004F4089"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43" w:type="dxa"/>
                  <w:vAlign w:val="center"/>
                </w:tcPr>
                <w:p w14:paraId="3E2EA3BC" w14:textId="77777777" w:rsidR="006439F9" w:rsidRPr="005471CE" w:rsidRDefault="004F4089" w:rsidP="00462B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64,64%</w:t>
                  </w:r>
                </w:p>
              </w:tc>
            </w:tr>
          </w:tbl>
          <w:p w14:paraId="6ECC4E22" w14:textId="77777777" w:rsidR="00C10BE9" w:rsidRPr="005471CE" w:rsidRDefault="00C10BE9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60D8" w14:textId="77777777" w:rsidR="00531267" w:rsidRPr="005471CE" w:rsidRDefault="00531267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Dėka puikiai dirbančių kūno kultūros mokytojų mokykla ir toliau išlieka  sp</w:t>
            </w:r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>ortiškiausių Lietuvos mokyklų sąraše,</w:t>
            </w:r>
            <w:r w:rsidR="00190A6D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kūno kultūros mokytoja ekspertė Ieva Vaicekauskienė buvo apdovanota Prezidentūroje kaip geriausia </w:t>
            </w:r>
            <w:r w:rsidR="00190A6D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metų </w:t>
            </w:r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>mokytoja.</w:t>
            </w:r>
          </w:p>
          <w:p w14:paraId="243606ED" w14:textId="77777777" w:rsidR="004F4089" w:rsidRPr="005471CE" w:rsidRDefault="004F4089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47E60" w14:textId="77777777" w:rsidR="00616BA5" w:rsidRPr="005471CE" w:rsidRDefault="00D936A9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Ugdymo procese sėkmingai integruojamos projektų „</w:t>
            </w:r>
            <w:proofErr w:type="spellStart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To Be“ ir „Savu keliu“ metodikos </w:t>
            </w:r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su mokyklos mikroklimato fiksavimo ir stebėjimo sistema</w:t>
            </w:r>
            <w:r w:rsidR="00C26727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ir naujai 5kurtu sensoriniu kambariu</w:t>
            </w:r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leido</w:t>
            </w:r>
            <w:r w:rsidR="00C26727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nežymiai 1% bet </w:t>
            </w:r>
            <w:r w:rsidR="004F4089" w:rsidRPr="005471CE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gerinti mokyklos mikroklimatą ir </w:t>
            </w:r>
            <w:r w:rsidR="00C26727" w:rsidRPr="005471CE">
              <w:rPr>
                <w:rFonts w:ascii="Times New Roman" w:hAnsi="Times New Roman" w:cs="Times New Roman"/>
                <w:sz w:val="24"/>
                <w:szCs w:val="24"/>
              </w:rPr>
              <w:t>sumažinti elgesio problemų turinčių mokinių skaičių</w:t>
            </w:r>
            <w:r w:rsidR="003B3391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iki 18,11%. Daugiausiai mikroklimato problemų 2021 metais buvo fiksuojama 7a ir 7b klasėse (šiuo metu 8a ir 8b klasės).</w:t>
            </w:r>
          </w:p>
          <w:p w14:paraId="7260FF44" w14:textId="77777777" w:rsidR="007703D2" w:rsidRPr="005471CE" w:rsidRDefault="007703D2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BE1B" w14:textId="77777777" w:rsidR="0013025E" w:rsidRPr="005471CE" w:rsidRDefault="001A068D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Mokyklos įsivertinimo grupė 2021</w:t>
            </w:r>
            <w:r w:rsidR="0013025E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metais atliko mokyklos veiklos auditą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pagal pasirinktą sritį „Ugdymas(</w:t>
            </w:r>
            <w:proofErr w:type="spellStart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) ir mokinių patirtys“ (2.2) temos „Vadovavimas mokymuisi“ rodiklis (2.2.1) „Mokymosi lūkesčiai ir mokinių skatinimas, tikėjimas mokinio galiomis, mokymosi džiaugsmas, mokymosi įprasminimas“</w:t>
            </w:r>
            <w:r w:rsidR="0013025E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. Jo metu išskirtos  </w:t>
            </w:r>
            <w:r w:rsidR="00462B47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025E" w:rsidRPr="005471CE">
              <w:rPr>
                <w:rFonts w:ascii="Times New Roman" w:hAnsi="Times New Roman" w:cs="Times New Roman"/>
                <w:sz w:val="24"/>
                <w:szCs w:val="24"/>
              </w:rPr>
              <w:t>aukščiausios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462B47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žemiausios</w:t>
            </w:r>
            <w:r w:rsidR="0013025E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vertės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bei</w:t>
            </w:r>
            <w:r w:rsidR="00462B47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3025E" w:rsidRPr="005471CE">
              <w:rPr>
                <w:rFonts w:ascii="Times New Roman" w:hAnsi="Times New Roman" w:cs="Times New Roman"/>
                <w:sz w:val="24"/>
                <w:szCs w:val="24"/>
              </w:rPr>
              <w:t xml:space="preserve"> tobulintini rodikliai. </w:t>
            </w:r>
          </w:p>
          <w:p w14:paraId="0BE2C297" w14:textId="77777777" w:rsidR="00462B47" w:rsidRPr="005471CE" w:rsidRDefault="00462B47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D7DA" w14:textId="77777777" w:rsidR="0013025E" w:rsidRPr="005471CE" w:rsidRDefault="001A068D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Aukščiausios vertės</w:t>
            </w:r>
          </w:p>
          <w:p w14:paraId="33187421" w14:textId="77777777" w:rsidR="0013025E" w:rsidRPr="005471CE" w:rsidRDefault="001A068D" w:rsidP="00462B47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Mokykloje pakanka  naudojamų priemonių (vadovėlių, pratybų, žemėlapių ir kt.) - 3,5  92%</w:t>
            </w:r>
          </w:p>
          <w:p w14:paraId="4C2BD6BA" w14:textId="77777777" w:rsidR="001A068D" w:rsidRPr="005471CE" w:rsidRDefault="001A068D" w:rsidP="00462B47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Pamokos metu mokytojai mane skatina klausti, tyrinėti, ieškoti, bandyti,   pritaikyti, analizuoti, spręsti problemas, kurti - 3,3 86%</w:t>
            </w:r>
          </w:p>
          <w:p w14:paraId="48D97503" w14:textId="77777777" w:rsidR="001A068D" w:rsidRPr="005471CE" w:rsidRDefault="001A068D" w:rsidP="00462B47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Mokiniai yra skatinami reikšti savo nuomonę - 3,4 100%</w:t>
            </w:r>
          </w:p>
          <w:p w14:paraId="596ACCF4" w14:textId="77777777" w:rsidR="001A068D" w:rsidRPr="005471CE" w:rsidRDefault="001A068D" w:rsidP="00462B47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Mokytojai moko dirbti savarankiškai, grupėje, komandoje - 3,3 97%</w:t>
            </w:r>
          </w:p>
          <w:p w14:paraId="714596D0" w14:textId="77777777" w:rsidR="001A068D" w:rsidRPr="005471CE" w:rsidRDefault="001A068D" w:rsidP="00462B47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Mokymosi metu skatinama aktyvi vaiko veikla(klausti, tyrinėti, pritaikyti, ana</w:t>
            </w:r>
            <w:r w:rsidR="00462B47" w:rsidRPr="005471CE">
              <w:rPr>
                <w:rFonts w:ascii="Times New Roman" w:hAnsi="Times New Roman" w:cs="Times New Roman"/>
                <w:sz w:val="24"/>
                <w:szCs w:val="24"/>
              </w:rPr>
              <w:t>lizuoti, spręsti problemas, kurt</w:t>
            </w: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i; mokytojai naudoja daug įvairių mokymosi metodų)-3.0 82%</w:t>
            </w:r>
          </w:p>
          <w:p w14:paraId="15B7922A" w14:textId="77777777" w:rsidR="001A068D" w:rsidRPr="005471CE" w:rsidRDefault="001A068D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1E9D" w14:textId="77777777" w:rsidR="001A068D" w:rsidRPr="005471CE" w:rsidRDefault="00462B47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Žemiausios vertės</w:t>
            </w:r>
          </w:p>
          <w:p w14:paraId="47F64035" w14:textId="77777777" w:rsidR="00462B47" w:rsidRPr="005471CE" w:rsidRDefault="00462B47" w:rsidP="00462B47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Klasėje pakanka organizuojamų edukacinių išvykų- 2,6 (58%)</w:t>
            </w:r>
          </w:p>
          <w:p w14:paraId="4D09FC8E" w14:textId="77777777" w:rsidR="00462B47" w:rsidRPr="005471CE" w:rsidRDefault="00462B47" w:rsidP="00462B47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Mokykloje pakanka netradicinių pamokų ir edukacinių išvykų- 2,8 (73%)</w:t>
            </w:r>
          </w:p>
          <w:p w14:paraId="132AC27C" w14:textId="77777777" w:rsidR="00462B47" w:rsidRPr="005471CE" w:rsidRDefault="00462B47" w:rsidP="00462B47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Siekdami geresnių rezultatų mokytojai naudoja daug įvairių mokymosi metodų-  3,2 (88%)</w:t>
            </w:r>
          </w:p>
          <w:p w14:paraId="6A73BBED" w14:textId="77777777" w:rsidR="00462B47" w:rsidRPr="005471CE" w:rsidRDefault="00462B47" w:rsidP="00462B47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Mokytojai sieja dalyko temą su žiniomis, išmoktomis per kitas pamokas- 3,2 (88%)</w:t>
            </w:r>
          </w:p>
          <w:p w14:paraId="74FD6BBB" w14:textId="77777777" w:rsidR="00462B47" w:rsidRPr="005471CE" w:rsidRDefault="00462B47" w:rsidP="00462B47">
            <w:pPr>
              <w:pStyle w:val="Sraopastrai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Ar naudingos mokykloje organizuojamos edukacinės išvykos? Ar jų pakanka?-3,0 (78%)</w:t>
            </w:r>
          </w:p>
          <w:p w14:paraId="391ACFB5" w14:textId="77777777" w:rsidR="001A068D" w:rsidRPr="005471CE" w:rsidRDefault="001A068D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2673" w14:textId="77777777" w:rsidR="00462B47" w:rsidRPr="005471CE" w:rsidRDefault="00462B47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Tobulintini rodikliai</w:t>
            </w:r>
          </w:p>
          <w:p w14:paraId="7892DF7E" w14:textId="77777777" w:rsidR="00462B47" w:rsidRPr="005471CE" w:rsidRDefault="00462B47" w:rsidP="00462B47">
            <w:pPr>
              <w:pStyle w:val="Sraopastraip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Mokykloje pakanka netradicinių pamokų ir edukacinių išvykų - 2,8 (64%)</w:t>
            </w:r>
          </w:p>
          <w:p w14:paraId="3594DD2F" w14:textId="77777777" w:rsidR="00462B47" w:rsidRPr="005471CE" w:rsidRDefault="00462B47" w:rsidP="00462B47">
            <w:pPr>
              <w:pStyle w:val="Sraopastraip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Siekdami geresnių rezultatų mokytojai naudoja daug įvairių mokymosi metodų - 2,7 (64%)</w:t>
            </w:r>
          </w:p>
          <w:p w14:paraId="2AF62A05" w14:textId="77777777" w:rsidR="00462B47" w:rsidRPr="005471CE" w:rsidRDefault="00462B47" w:rsidP="00462B47">
            <w:pPr>
              <w:pStyle w:val="Sraopastraip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CE">
              <w:rPr>
                <w:rFonts w:ascii="Times New Roman" w:hAnsi="Times New Roman" w:cs="Times New Roman"/>
                <w:sz w:val="24"/>
                <w:szCs w:val="24"/>
              </w:rPr>
              <w:t>Mokytojai moko vaikus žinias pritaikyti gyvenime – 2,5 (52%)</w:t>
            </w:r>
          </w:p>
          <w:p w14:paraId="40B6C268" w14:textId="77777777" w:rsidR="007E14DF" w:rsidRPr="005471CE" w:rsidRDefault="007E14DF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D949" w14:textId="77777777" w:rsidR="007E14DF" w:rsidRPr="005471CE" w:rsidRDefault="007E14DF" w:rsidP="0046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D318E" w14:textId="77777777" w:rsidR="007E14DF" w:rsidRPr="005471CE" w:rsidRDefault="007E14DF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2B780" w14:textId="0407E211" w:rsidR="00861207" w:rsidRDefault="00861207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826A1" w14:textId="77777777" w:rsidR="005471CE" w:rsidRDefault="005471CE" w:rsidP="005471CE">
      <w:pPr>
        <w:rPr>
          <w:rFonts w:ascii="Times New Roman" w:hAnsi="Times New Roman" w:cs="Times New Roman"/>
          <w:b/>
          <w:sz w:val="24"/>
          <w:szCs w:val="24"/>
        </w:rPr>
      </w:pPr>
    </w:p>
    <w:p w14:paraId="5B8C2274" w14:textId="1802779C" w:rsidR="005471CE" w:rsidRPr="005471CE" w:rsidRDefault="005471CE" w:rsidP="005471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Direktorius                                                                                                               Kazimieras Karalius</w:t>
      </w:r>
    </w:p>
    <w:p w14:paraId="35869C11" w14:textId="77777777" w:rsidR="00861207" w:rsidRPr="005471CE" w:rsidRDefault="00861207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E079A" w14:textId="77777777" w:rsidR="00861207" w:rsidRPr="005471CE" w:rsidRDefault="00861207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6671B" w14:textId="77777777" w:rsidR="006A04B1" w:rsidRPr="005471CE" w:rsidRDefault="006A04B1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E2737" w14:textId="77777777" w:rsidR="006A04B1" w:rsidRPr="005471CE" w:rsidRDefault="006A04B1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3297F" w14:textId="77777777" w:rsidR="00861207" w:rsidRPr="005471CE" w:rsidRDefault="00861207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BC6AD" w14:textId="77777777" w:rsidR="00C910F1" w:rsidRPr="005471CE" w:rsidRDefault="00C910F1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1B702" w14:textId="77777777" w:rsidR="00710DD7" w:rsidRPr="005471CE" w:rsidRDefault="00710DD7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6B199" w14:textId="77777777" w:rsidR="00861207" w:rsidRPr="005471CE" w:rsidRDefault="00861207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82DC0" w14:textId="77777777" w:rsidR="00861207" w:rsidRPr="005471CE" w:rsidRDefault="00861207" w:rsidP="007E1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FD931" w14:textId="77777777" w:rsidR="00861207" w:rsidRPr="00E9455E" w:rsidRDefault="00861207" w:rsidP="007E14DF">
      <w:pPr>
        <w:jc w:val="center"/>
        <w:rPr>
          <w:rFonts w:ascii="Times New Roman" w:hAnsi="Times New Roman" w:cs="Times New Roman"/>
          <w:b/>
        </w:rPr>
      </w:pPr>
    </w:p>
    <w:sectPr w:rsidR="00861207" w:rsidRPr="00E9455E" w:rsidSect="00C066CE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A89"/>
    <w:multiLevelType w:val="multilevel"/>
    <w:tmpl w:val="89587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A608F"/>
    <w:multiLevelType w:val="hybridMultilevel"/>
    <w:tmpl w:val="A3C088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1AD"/>
    <w:multiLevelType w:val="hybridMultilevel"/>
    <w:tmpl w:val="517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DDE"/>
    <w:multiLevelType w:val="multilevel"/>
    <w:tmpl w:val="89587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2A474A"/>
    <w:multiLevelType w:val="hybridMultilevel"/>
    <w:tmpl w:val="585C5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C5"/>
    <w:multiLevelType w:val="multilevel"/>
    <w:tmpl w:val="89587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3720D6"/>
    <w:multiLevelType w:val="hybridMultilevel"/>
    <w:tmpl w:val="DA12A1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133D"/>
    <w:multiLevelType w:val="hybridMultilevel"/>
    <w:tmpl w:val="93F817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05D0"/>
    <w:multiLevelType w:val="hybridMultilevel"/>
    <w:tmpl w:val="5C5E0C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70B"/>
    <w:multiLevelType w:val="hybridMultilevel"/>
    <w:tmpl w:val="525AD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45F7E"/>
    <w:multiLevelType w:val="multilevel"/>
    <w:tmpl w:val="89587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731318"/>
    <w:multiLevelType w:val="hybridMultilevel"/>
    <w:tmpl w:val="62D4FB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86875"/>
    <w:multiLevelType w:val="hybridMultilevel"/>
    <w:tmpl w:val="475CF8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1321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6B0CDE"/>
    <w:multiLevelType w:val="hybridMultilevel"/>
    <w:tmpl w:val="C7D6E684"/>
    <w:lvl w:ilvl="0" w:tplc="0427000F">
      <w:start w:val="1"/>
      <w:numFmt w:val="decimal"/>
      <w:lvlText w:val="%1."/>
      <w:lvlJc w:val="left"/>
      <w:pPr>
        <w:ind w:left="824" w:hanging="360"/>
      </w:pPr>
    </w:lvl>
    <w:lvl w:ilvl="1" w:tplc="04270019" w:tentative="1">
      <w:start w:val="1"/>
      <w:numFmt w:val="lowerLetter"/>
      <w:lvlText w:val="%2."/>
      <w:lvlJc w:val="left"/>
      <w:pPr>
        <w:ind w:left="1544" w:hanging="360"/>
      </w:pPr>
    </w:lvl>
    <w:lvl w:ilvl="2" w:tplc="0427001B" w:tentative="1">
      <w:start w:val="1"/>
      <w:numFmt w:val="lowerRoman"/>
      <w:lvlText w:val="%3."/>
      <w:lvlJc w:val="right"/>
      <w:pPr>
        <w:ind w:left="2264" w:hanging="180"/>
      </w:pPr>
    </w:lvl>
    <w:lvl w:ilvl="3" w:tplc="0427000F" w:tentative="1">
      <w:start w:val="1"/>
      <w:numFmt w:val="decimal"/>
      <w:lvlText w:val="%4."/>
      <w:lvlJc w:val="left"/>
      <w:pPr>
        <w:ind w:left="2984" w:hanging="360"/>
      </w:pPr>
    </w:lvl>
    <w:lvl w:ilvl="4" w:tplc="04270019" w:tentative="1">
      <w:start w:val="1"/>
      <w:numFmt w:val="lowerLetter"/>
      <w:lvlText w:val="%5."/>
      <w:lvlJc w:val="left"/>
      <w:pPr>
        <w:ind w:left="3704" w:hanging="360"/>
      </w:pPr>
    </w:lvl>
    <w:lvl w:ilvl="5" w:tplc="0427001B" w:tentative="1">
      <w:start w:val="1"/>
      <w:numFmt w:val="lowerRoman"/>
      <w:lvlText w:val="%6."/>
      <w:lvlJc w:val="right"/>
      <w:pPr>
        <w:ind w:left="4424" w:hanging="180"/>
      </w:pPr>
    </w:lvl>
    <w:lvl w:ilvl="6" w:tplc="0427000F" w:tentative="1">
      <w:start w:val="1"/>
      <w:numFmt w:val="decimal"/>
      <w:lvlText w:val="%7."/>
      <w:lvlJc w:val="left"/>
      <w:pPr>
        <w:ind w:left="5144" w:hanging="360"/>
      </w:pPr>
    </w:lvl>
    <w:lvl w:ilvl="7" w:tplc="04270019" w:tentative="1">
      <w:start w:val="1"/>
      <w:numFmt w:val="lowerLetter"/>
      <w:lvlText w:val="%8."/>
      <w:lvlJc w:val="left"/>
      <w:pPr>
        <w:ind w:left="5864" w:hanging="360"/>
      </w:pPr>
    </w:lvl>
    <w:lvl w:ilvl="8" w:tplc="042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6C8E47A2"/>
    <w:multiLevelType w:val="multilevel"/>
    <w:tmpl w:val="89587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AC07D4"/>
    <w:multiLevelType w:val="hybridMultilevel"/>
    <w:tmpl w:val="F048C2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54"/>
    <w:rsid w:val="00036F85"/>
    <w:rsid w:val="00041FF0"/>
    <w:rsid w:val="00062001"/>
    <w:rsid w:val="000637D6"/>
    <w:rsid w:val="000831CF"/>
    <w:rsid w:val="0009011A"/>
    <w:rsid w:val="00114BF3"/>
    <w:rsid w:val="0012708A"/>
    <w:rsid w:val="0013025E"/>
    <w:rsid w:val="00130F79"/>
    <w:rsid w:val="001531F3"/>
    <w:rsid w:val="00154404"/>
    <w:rsid w:val="00171E48"/>
    <w:rsid w:val="0017451B"/>
    <w:rsid w:val="00177CC5"/>
    <w:rsid w:val="00190A6D"/>
    <w:rsid w:val="00191B6F"/>
    <w:rsid w:val="001A068D"/>
    <w:rsid w:val="001C41A0"/>
    <w:rsid w:val="00217CA1"/>
    <w:rsid w:val="00222992"/>
    <w:rsid w:val="00233C20"/>
    <w:rsid w:val="00244079"/>
    <w:rsid w:val="0024539F"/>
    <w:rsid w:val="00251199"/>
    <w:rsid w:val="002A0EB8"/>
    <w:rsid w:val="002A4BEF"/>
    <w:rsid w:val="002B7033"/>
    <w:rsid w:val="002C151D"/>
    <w:rsid w:val="002C165C"/>
    <w:rsid w:val="002D1176"/>
    <w:rsid w:val="002D6734"/>
    <w:rsid w:val="00307E16"/>
    <w:rsid w:val="003129FF"/>
    <w:rsid w:val="00345FC8"/>
    <w:rsid w:val="00356B43"/>
    <w:rsid w:val="0037178A"/>
    <w:rsid w:val="003764F0"/>
    <w:rsid w:val="00392DD8"/>
    <w:rsid w:val="003A6CA9"/>
    <w:rsid w:val="003B3391"/>
    <w:rsid w:val="003C23AB"/>
    <w:rsid w:val="00412F0B"/>
    <w:rsid w:val="004150EC"/>
    <w:rsid w:val="004430FF"/>
    <w:rsid w:val="00444DA4"/>
    <w:rsid w:val="00445961"/>
    <w:rsid w:val="0045351B"/>
    <w:rsid w:val="0045548A"/>
    <w:rsid w:val="00457168"/>
    <w:rsid w:val="00462B47"/>
    <w:rsid w:val="004774CC"/>
    <w:rsid w:val="004B4E14"/>
    <w:rsid w:val="004C4C93"/>
    <w:rsid w:val="004D1328"/>
    <w:rsid w:val="004E60CA"/>
    <w:rsid w:val="004F4089"/>
    <w:rsid w:val="0050063F"/>
    <w:rsid w:val="005103F4"/>
    <w:rsid w:val="00531267"/>
    <w:rsid w:val="0054006B"/>
    <w:rsid w:val="005471CE"/>
    <w:rsid w:val="00553126"/>
    <w:rsid w:val="005A1125"/>
    <w:rsid w:val="005A4DB5"/>
    <w:rsid w:val="00616BA5"/>
    <w:rsid w:val="006439F9"/>
    <w:rsid w:val="00650417"/>
    <w:rsid w:val="006514F4"/>
    <w:rsid w:val="00657ABA"/>
    <w:rsid w:val="00671286"/>
    <w:rsid w:val="00676BF2"/>
    <w:rsid w:val="006A04B1"/>
    <w:rsid w:val="006A1846"/>
    <w:rsid w:val="006C38CC"/>
    <w:rsid w:val="006C5869"/>
    <w:rsid w:val="006E00A7"/>
    <w:rsid w:val="006E1795"/>
    <w:rsid w:val="006E57B8"/>
    <w:rsid w:val="006F5D07"/>
    <w:rsid w:val="00710DD7"/>
    <w:rsid w:val="00721560"/>
    <w:rsid w:val="00722C32"/>
    <w:rsid w:val="00725B64"/>
    <w:rsid w:val="007703D2"/>
    <w:rsid w:val="007842EF"/>
    <w:rsid w:val="007B0030"/>
    <w:rsid w:val="007D023B"/>
    <w:rsid w:val="007E14DF"/>
    <w:rsid w:val="0085175F"/>
    <w:rsid w:val="00861207"/>
    <w:rsid w:val="00887DCF"/>
    <w:rsid w:val="008A05C4"/>
    <w:rsid w:val="008C7797"/>
    <w:rsid w:val="008F443A"/>
    <w:rsid w:val="00907F04"/>
    <w:rsid w:val="00917061"/>
    <w:rsid w:val="00924410"/>
    <w:rsid w:val="0093423F"/>
    <w:rsid w:val="0094521A"/>
    <w:rsid w:val="00945886"/>
    <w:rsid w:val="00990BED"/>
    <w:rsid w:val="00993103"/>
    <w:rsid w:val="00993538"/>
    <w:rsid w:val="009A07E4"/>
    <w:rsid w:val="00A0031D"/>
    <w:rsid w:val="00A01E7A"/>
    <w:rsid w:val="00A45852"/>
    <w:rsid w:val="00A713BA"/>
    <w:rsid w:val="00A86554"/>
    <w:rsid w:val="00AB206F"/>
    <w:rsid w:val="00AC3533"/>
    <w:rsid w:val="00AD793B"/>
    <w:rsid w:val="00AE40A1"/>
    <w:rsid w:val="00B117D0"/>
    <w:rsid w:val="00B57EAB"/>
    <w:rsid w:val="00B845AE"/>
    <w:rsid w:val="00B91EB8"/>
    <w:rsid w:val="00BD7474"/>
    <w:rsid w:val="00BF245E"/>
    <w:rsid w:val="00C066CE"/>
    <w:rsid w:val="00C10BE9"/>
    <w:rsid w:val="00C20F54"/>
    <w:rsid w:val="00C26727"/>
    <w:rsid w:val="00C6245A"/>
    <w:rsid w:val="00C74895"/>
    <w:rsid w:val="00C910F1"/>
    <w:rsid w:val="00CC47E1"/>
    <w:rsid w:val="00D040CF"/>
    <w:rsid w:val="00D3609D"/>
    <w:rsid w:val="00D60B10"/>
    <w:rsid w:val="00D936A9"/>
    <w:rsid w:val="00DA4E5B"/>
    <w:rsid w:val="00DF0217"/>
    <w:rsid w:val="00E63BB2"/>
    <w:rsid w:val="00E744E0"/>
    <w:rsid w:val="00E9455E"/>
    <w:rsid w:val="00E97243"/>
    <w:rsid w:val="00F155D2"/>
    <w:rsid w:val="00F43FB0"/>
    <w:rsid w:val="00F51DD2"/>
    <w:rsid w:val="00F55F08"/>
    <w:rsid w:val="00F71443"/>
    <w:rsid w:val="00F82D8D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5B2E"/>
  <w15:docId w15:val="{F8E55FC7-35BB-4F2F-9F7E-25261A6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20F54"/>
    <w:pPr>
      <w:spacing w:after="0"/>
    </w:pPr>
    <w:rPr>
      <w:rFonts w:ascii="Arial" w:eastAsia="Arial" w:hAnsi="Arial" w:cs="Arial"/>
      <w:color w:val="00000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uiPriority w:val="99"/>
    <w:rsid w:val="00C20F54"/>
    <w:pPr>
      <w:spacing w:after="0"/>
    </w:pPr>
    <w:rPr>
      <w:rFonts w:ascii="Arial" w:eastAsia="Arial" w:hAnsi="Arial" w:cs="Arial"/>
      <w:color w:val="000000"/>
      <w:lang w:val="lt-LT" w:eastAsia="lt-LT"/>
    </w:rPr>
  </w:style>
  <w:style w:type="table" w:styleId="Lentelstinklelis">
    <w:name w:val="Table Grid"/>
    <w:basedOn w:val="prastojilentel"/>
    <w:uiPriority w:val="39"/>
    <w:rsid w:val="007E14D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A18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6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66CE"/>
    <w:rPr>
      <w:rFonts w:ascii="Tahoma" w:eastAsia="Arial" w:hAnsi="Tahoma" w:cs="Tahoma"/>
      <w:color w:val="000000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872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6236</Words>
  <Characters>3555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Kazimiero</dc:creator>
  <cp:lastModifiedBy>Vytautas Kralikevičius</cp:lastModifiedBy>
  <cp:revision>3</cp:revision>
  <cp:lastPrinted>2021-02-03T06:15:00Z</cp:lastPrinted>
  <dcterms:created xsi:type="dcterms:W3CDTF">2022-03-15T12:48:00Z</dcterms:created>
  <dcterms:modified xsi:type="dcterms:W3CDTF">2022-03-15T13:33:00Z</dcterms:modified>
</cp:coreProperties>
</file>