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05263788" w:rsidR="00B46492" w:rsidRPr="0046620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46620F" w:rsidRPr="0046620F">
        <w:rPr>
          <w:rFonts w:ascii="Times New Roman" w:hAnsi="Times New Roman" w:cs="Times New Roman"/>
          <w:b/>
          <w:caps/>
          <w:noProof/>
          <w:sz w:val="24"/>
          <w:szCs w:val="24"/>
        </w:rPr>
        <w:t>DĖL KIJĖLIŲ SPECIALIOJO UGDYMO CENTRO MOKINIŲ MAITINIMO LĖŠŲ, SKIRIAMŲ VIENAI DIENAI VIENAM MOKINIUI, DYDŽIŲ IR MOKESČIO UŽ MAITINIMĄ NUSTATYMO</w:t>
      </w:r>
    </w:p>
    <w:p w14:paraId="3AAB7808" w14:textId="68E86A02"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 xml:space="preserve">mo skyriaus </w:t>
      </w:r>
      <w:r w:rsidR="00CE1579">
        <w:rPr>
          <w:rFonts w:ascii="Times New Roman" w:hAnsi="Times New Roman" w:cs="Times New Roman"/>
          <w:b/>
          <w:sz w:val="24"/>
          <w:szCs w:val="24"/>
        </w:rPr>
        <w:t>vyriausioji specialistė Natalija Ališauskienė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64BDDE4D" w:rsidR="00FB06F2" w:rsidRPr="00125A09" w:rsidRDefault="00867D2F" w:rsidP="00C0217C">
            <w:pPr>
              <w:tabs>
                <w:tab w:val="left" w:pos="0"/>
                <w:tab w:val="left" w:pos="851"/>
              </w:tabs>
              <w:ind w:firstLine="238"/>
              <w:rPr>
                <w:rFonts w:ascii="Times New Roman" w:hAnsi="Times New Roman" w:cs="Times New Roman"/>
              </w:rPr>
            </w:pPr>
            <w:r>
              <w:rPr>
                <w:rFonts w:ascii="Times New Roman" w:hAnsi="Times New Roman" w:cs="Times New Roman"/>
              </w:rPr>
              <w:t>Molė</w:t>
            </w:r>
            <w:r w:rsidR="0046620F">
              <w:rPr>
                <w:rFonts w:ascii="Times New Roman" w:hAnsi="Times New Roman" w:cs="Times New Roman"/>
              </w:rPr>
              <w:t xml:space="preserve">tų r. Kijėlių </w:t>
            </w:r>
            <w:r w:rsidR="006557F4">
              <w:rPr>
                <w:rFonts w:ascii="Times New Roman" w:hAnsi="Times New Roman" w:cs="Times New Roman"/>
              </w:rPr>
              <w:t xml:space="preserve">specialiojo centro mokinių maitinimo lėšos, skiriamos vienai dienai vienam mokiniui, dydis ir mokestis už maitinimą </w:t>
            </w:r>
            <w:r w:rsidR="00FB06F2">
              <w:rPr>
                <w:rFonts w:ascii="Times New Roman" w:hAnsi="Times New Roman" w:cs="Times New Roman"/>
              </w:rPr>
              <w:t>nustatom</w:t>
            </w:r>
            <w:r w:rsidR="002D61DA">
              <w:rPr>
                <w:rFonts w:ascii="Times New Roman" w:hAnsi="Times New Roman" w:cs="Times New Roman"/>
              </w:rPr>
              <w:t>a</w:t>
            </w:r>
            <w:r w:rsidR="00E335A9">
              <w:rPr>
                <w:rFonts w:ascii="Times New Roman" w:hAnsi="Times New Roman" w:cs="Times New Roman"/>
              </w:rPr>
              <w:t>s</w:t>
            </w:r>
            <w:r w:rsidR="00FB06F2">
              <w:rPr>
                <w:rFonts w:ascii="Times New Roman" w:hAnsi="Times New Roman" w:cs="Times New Roman"/>
              </w:rPr>
              <w:t xml:space="preserve"> ir keičiam</w:t>
            </w:r>
            <w:r w:rsidR="002D61DA">
              <w:rPr>
                <w:rFonts w:ascii="Times New Roman" w:hAnsi="Times New Roman" w:cs="Times New Roman"/>
              </w:rPr>
              <w:t>a</w:t>
            </w:r>
            <w:r w:rsidR="00EB18C1">
              <w:rPr>
                <w:rFonts w:ascii="Times New Roman" w:hAnsi="Times New Roman" w:cs="Times New Roman"/>
              </w:rPr>
              <w:t>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5A843ED3"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sidR="00B25876">
              <w:rPr>
                <w:rFonts w:ascii="Times New Roman" w:hAnsi="Times New Roman" w:cs="Times New Roman"/>
                <w:sz w:val="24"/>
                <w:szCs w:val="24"/>
              </w:rPr>
              <w:t>vyriausioji specialistė Natalija Ališauskienė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204E1599"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w:t>
            </w:r>
            <w:r w:rsidR="00EB18C1">
              <w:rPr>
                <w:rFonts w:ascii="Times New Roman" w:hAnsi="Times New Roman" w:cs="Times New Roman"/>
                <w:sz w:val="22"/>
                <w:szCs w:val="22"/>
                <w:lang w:val="en-US"/>
              </w:rPr>
              <w:t>02</w:t>
            </w:r>
            <w:r>
              <w:rPr>
                <w:rFonts w:ascii="Times New Roman" w:hAnsi="Times New Roman" w:cs="Times New Roman"/>
                <w:sz w:val="22"/>
                <w:szCs w:val="22"/>
                <w:lang w:val="en-US"/>
              </w:rPr>
              <w:t>-</w:t>
            </w:r>
            <w:r w:rsidR="00EB18C1">
              <w:rPr>
                <w:rFonts w:ascii="Times New Roman" w:hAnsi="Times New Roman" w:cs="Times New Roman"/>
                <w:sz w:val="22"/>
                <w:szCs w:val="22"/>
                <w:lang w:val="en-US"/>
              </w:rPr>
              <w:t>1</w:t>
            </w:r>
            <w:r w:rsidR="007F1F30">
              <w:rPr>
                <w:rFonts w:ascii="Times New Roman" w:hAnsi="Times New Roman" w:cs="Times New Roman"/>
                <w:sz w:val="22"/>
                <w:szCs w:val="22"/>
                <w:lang w:val="en-US"/>
              </w:rPr>
              <w:t>4</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739592FE"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2022-0</w:t>
            </w:r>
            <w:r w:rsidR="00EB18C1">
              <w:rPr>
                <w:rFonts w:ascii="Times New Roman" w:hAnsi="Times New Roman" w:cs="Times New Roman"/>
                <w:sz w:val="22"/>
                <w:szCs w:val="22"/>
              </w:rPr>
              <w:t>2</w:t>
            </w:r>
            <w:r>
              <w:rPr>
                <w:rFonts w:ascii="Times New Roman" w:hAnsi="Times New Roman" w:cs="Times New Roman"/>
                <w:sz w:val="22"/>
                <w:szCs w:val="22"/>
              </w:rPr>
              <w:t>-</w:t>
            </w:r>
            <w:r w:rsidR="00EB18C1">
              <w:rPr>
                <w:rFonts w:ascii="Times New Roman" w:hAnsi="Times New Roman" w:cs="Times New Roman"/>
                <w:sz w:val="22"/>
                <w:szCs w:val="22"/>
              </w:rPr>
              <w:t>1</w:t>
            </w:r>
            <w:r w:rsidR="007F1F30">
              <w:rPr>
                <w:rFonts w:ascii="Times New Roman" w:hAnsi="Times New Roman" w:cs="Times New Roman"/>
                <w:sz w:val="22"/>
                <w:szCs w:val="22"/>
              </w:rPr>
              <w:t>4</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B83" w14:textId="77777777" w:rsidR="00514819" w:rsidRDefault="00514819" w:rsidP="00FB06F2">
      <w:r>
        <w:separator/>
      </w:r>
    </w:p>
  </w:endnote>
  <w:endnote w:type="continuationSeparator" w:id="0">
    <w:p w14:paraId="679CCEBB" w14:textId="77777777" w:rsidR="00514819" w:rsidRDefault="00514819"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38EA" w14:textId="77777777" w:rsidR="00514819" w:rsidRDefault="00514819" w:rsidP="00FB06F2">
      <w:r>
        <w:separator/>
      </w:r>
    </w:p>
  </w:footnote>
  <w:footnote w:type="continuationSeparator" w:id="0">
    <w:p w14:paraId="204F08F3" w14:textId="77777777" w:rsidR="00514819" w:rsidRDefault="00514819"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61DA"/>
    <w:rsid w:val="002D7BC0"/>
    <w:rsid w:val="002E5EF8"/>
    <w:rsid w:val="003C07F4"/>
    <w:rsid w:val="003D4B01"/>
    <w:rsid w:val="004018F6"/>
    <w:rsid w:val="00422ECC"/>
    <w:rsid w:val="0046620F"/>
    <w:rsid w:val="0048604D"/>
    <w:rsid w:val="004E7BEB"/>
    <w:rsid w:val="005079BE"/>
    <w:rsid w:val="00514819"/>
    <w:rsid w:val="0055402A"/>
    <w:rsid w:val="006557F4"/>
    <w:rsid w:val="006E37FD"/>
    <w:rsid w:val="00743E4E"/>
    <w:rsid w:val="007F1F30"/>
    <w:rsid w:val="00867D2F"/>
    <w:rsid w:val="009816C3"/>
    <w:rsid w:val="00AD7146"/>
    <w:rsid w:val="00B25876"/>
    <w:rsid w:val="00B43E83"/>
    <w:rsid w:val="00B46492"/>
    <w:rsid w:val="00B713AE"/>
    <w:rsid w:val="00C3002D"/>
    <w:rsid w:val="00C93210"/>
    <w:rsid w:val="00CE1579"/>
    <w:rsid w:val="00D75284"/>
    <w:rsid w:val="00E1283F"/>
    <w:rsid w:val="00E335A9"/>
    <w:rsid w:val="00EB059E"/>
    <w:rsid w:val="00EB18C1"/>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3887</Words>
  <Characters>2217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Natalija Ališauskienė</cp:lastModifiedBy>
  <cp:revision>13</cp:revision>
  <cp:lastPrinted>2020-09-15T05:24:00Z</cp:lastPrinted>
  <dcterms:created xsi:type="dcterms:W3CDTF">2022-01-17T12:28:00Z</dcterms:created>
  <dcterms:modified xsi:type="dcterms:W3CDTF">2022-02-14T07:46:00Z</dcterms:modified>
</cp:coreProperties>
</file>