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3316" w14:textId="77777777" w:rsidR="00A720AF" w:rsidRDefault="00A720AF" w:rsidP="00A720AF">
      <w:pPr>
        <w:tabs>
          <w:tab w:val="num" w:pos="0"/>
          <w:tab w:val="left" w:pos="720"/>
        </w:tabs>
        <w:spacing w:line="360" w:lineRule="auto"/>
        <w:ind w:firstLine="360"/>
        <w:jc w:val="center"/>
      </w:pPr>
      <w:r>
        <w:t>AIŠKINAMASIS RAŠTAS</w:t>
      </w:r>
    </w:p>
    <w:p w14:paraId="7E0F6B87" w14:textId="5B8356F2" w:rsidR="00A56D5D" w:rsidRDefault="00A56D5D" w:rsidP="00A56D5D">
      <w:pPr>
        <w:tabs>
          <w:tab w:val="num" w:pos="0"/>
          <w:tab w:val="left" w:pos="720"/>
        </w:tabs>
        <w:spacing w:line="360" w:lineRule="auto"/>
        <w:ind w:firstLine="360"/>
        <w:jc w:val="center"/>
      </w:pPr>
      <w:r>
        <w:t>Dėl Molėtų rajono savivaldybės tarybos 202</w:t>
      </w:r>
      <w:r>
        <w:t>1</w:t>
      </w:r>
      <w:r>
        <w:t xml:space="preserve"> m. </w:t>
      </w:r>
      <w:r>
        <w:t>gruodžio 23</w:t>
      </w:r>
      <w:r>
        <w:t xml:space="preserve"> d. sprendimo Nr. B1-</w:t>
      </w:r>
      <w:r>
        <w:t>266</w:t>
      </w:r>
      <w:r>
        <w:t xml:space="preserve"> „Dėl  didžiausio leistino pareigybių skaičiaus Molėtų rajono savivaldybės biudžetinėse įstaigose patvirtinimo“ pakeitimo</w:t>
      </w:r>
    </w:p>
    <w:p w14:paraId="029F6EF8" w14:textId="77777777" w:rsidR="00A720AF" w:rsidRPr="008C5B59" w:rsidRDefault="00A720AF" w:rsidP="00A720AF">
      <w:pPr>
        <w:tabs>
          <w:tab w:val="left" w:pos="720"/>
        </w:tabs>
        <w:spacing w:line="360" w:lineRule="auto"/>
        <w:jc w:val="both"/>
        <w:rPr>
          <w:b/>
        </w:rPr>
      </w:pPr>
      <w:r>
        <w:rPr>
          <w:b/>
        </w:rPr>
        <w:tab/>
        <w:t>1.</w:t>
      </w:r>
      <w:r w:rsidRPr="008C5B59">
        <w:rPr>
          <w:b/>
        </w:rPr>
        <w:t>P</w:t>
      </w:r>
      <w:r w:rsidRPr="008C5B59">
        <w:rPr>
          <w:b/>
          <w:lang w:val="pt-BR"/>
        </w:rPr>
        <w:t>arengto tarybos sprendimo projekto tikslai ir uždaviniai</w:t>
      </w:r>
      <w:r w:rsidRPr="008C5B59">
        <w:rPr>
          <w:b/>
        </w:rPr>
        <w:t xml:space="preserve"> </w:t>
      </w:r>
    </w:p>
    <w:p w14:paraId="3970C496" w14:textId="2D178E56" w:rsidR="00A720AF" w:rsidRDefault="00A720AF" w:rsidP="00A720AF">
      <w:pPr>
        <w:tabs>
          <w:tab w:val="left" w:pos="1083"/>
        </w:tabs>
        <w:spacing w:after="0" w:line="360" w:lineRule="auto"/>
        <w:ind w:firstLine="627"/>
        <w:jc w:val="both"/>
        <w:rPr>
          <w:rFonts w:eastAsia="Calibri" w:cs="Times New Roman"/>
          <w:bCs/>
          <w:szCs w:val="24"/>
          <w:lang w:val="pt-BR"/>
        </w:rPr>
      </w:pPr>
      <w:r w:rsidRPr="00A720AF">
        <w:rPr>
          <w:rFonts w:eastAsia="Calibri" w:cs="Times New Roman"/>
          <w:szCs w:val="24"/>
        </w:rPr>
        <w:t xml:space="preserve">Parengto projekto tikslas – </w:t>
      </w:r>
      <w:r w:rsidR="000B2712">
        <w:rPr>
          <w:rFonts w:eastAsia="Calibri" w:cs="Times New Roman"/>
          <w:szCs w:val="24"/>
        </w:rPr>
        <w:t xml:space="preserve">nustatyti ir </w:t>
      </w:r>
      <w:r>
        <w:rPr>
          <w:rFonts w:eastAsia="Calibri" w:cs="Times New Roman"/>
          <w:szCs w:val="24"/>
        </w:rPr>
        <w:t>patvirtinti</w:t>
      </w:r>
      <w:r w:rsidRPr="00A720AF">
        <w:rPr>
          <w:rFonts w:eastAsia="Calibri" w:cs="Times New Roman"/>
          <w:szCs w:val="24"/>
        </w:rPr>
        <w:t xml:space="preserve"> </w:t>
      </w:r>
      <w:r w:rsidR="000B2712">
        <w:rPr>
          <w:rFonts w:eastAsia="Calibri" w:cs="Times New Roman"/>
          <w:szCs w:val="24"/>
        </w:rPr>
        <w:t xml:space="preserve">optimalų </w:t>
      </w:r>
      <w:r w:rsidRPr="00A720AF">
        <w:rPr>
          <w:rFonts w:eastAsia="Calibri" w:cs="Times New Roman"/>
          <w:bCs/>
          <w:szCs w:val="24"/>
          <w:lang w:val="pt-BR"/>
        </w:rPr>
        <w:t>didžiausią leistiną darbuotojų, dirbančių pagal darbo sutartis, pareigybių skaičių</w:t>
      </w:r>
      <w:r>
        <w:rPr>
          <w:rFonts w:eastAsia="Calibri" w:cs="Times New Roman"/>
          <w:bCs/>
          <w:szCs w:val="24"/>
          <w:lang w:val="pt-BR"/>
        </w:rPr>
        <w:t xml:space="preserve"> Molėtų rajono biudžetinėse įstaigose.</w:t>
      </w:r>
      <w:r w:rsidRPr="00A720AF">
        <w:rPr>
          <w:rFonts w:eastAsia="Calibri" w:cs="Times New Roman"/>
          <w:bCs/>
          <w:szCs w:val="24"/>
          <w:lang w:val="pt-BR"/>
        </w:rPr>
        <w:t xml:space="preserve"> </w:t>
      </w:r>
    </w:p>
    <w:p w14:paraId="36327394" w14:textId="4C2AB8AB" w:rsidR="000B2712" w:rsidRDefault="000B2712"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 xml:space="preserve">Pagal Lietuvos Respublikos biudžetinių įstaigų įstatymo 4 straipsnio nuostatas, iš savivaldybės biudžeto išlaikomų biudžetinės įstaigų savininkė yra savivaldybė, o savininko teises ir pareigas įgyvendina savivaldybės taryba. Taryba sprendžia </w:t>
      </w:r>
      <w:r w:rsidR="00FD7159">
        <w:rPr>
          <w:rFonts w:eastAsia="Calibri" w:cs="Times New Roman"/>
          <w:bCs/>
          <w:szCs w:val="24"/>
          <w:lang w:val="pt-BR"/>
        </w:rPr>
        <w:t>įstatymuose, biudžetinių įstaigų nuostatuose jos kompetencijai priskirtus klausimus. Vienas iš tokių klausimų yra didžiausio leistino pareigybių skaičiaus nustatymas. Biudžetinės įstaigos vadovo pareiga tvirtinti biudžetinės įstaigos struktūrą ir pareigybių sąrašą, neviršijant nustatyto didžiausio leistino pareigybių skaičiaus (LR biudžetinių įstaigų įstatymo 9 str.2 dalies 4 punktas).</w:t>
      </w:r>
    </w:p>
    <w:p w14:paraId="1DFB4453" w14:textId="6843666C" w:rsidR="00375850" w:rsidRDefault="00375850"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2022 m. vasario mėn. administracijos finansų skyrius gavo du prašymus:</w:t>
      </w:r>
    </w:p>
    <w:p w14:paraId="061A4E2F" w14:textId="308FA53D" w:rsidR="00375850" w:rsidRDefault="00375850" w:rsidP="00375850">
      <w:pPr>
        <w:spacing w:line="360" w:lineRule="auto"/>
        <w:ind w:firstLine="627"/>
        <w:jc w:val="both"/>
      </w:pPr>
      <w:r>
        <w:rPr>
          <w:rFonts w:eastAsia="Calibri" w:cs="Times New Roman"/>
          <w:bCs/>
          <w:szCs w:val="24"/>
          <w:lang w:val="pt-BR"/>
        </w:rPr>
        <w:t>1.</w:t>
      </w:r>
      <w:r w:rsidR="00F213C7">
        <w:rPr>
          <w:rFonts w:eastAsia="Calibri" w:cs="Times New Roman"/>
          <w:bCs/>
          <w:szCs w:val="24"/>
          <w:lang w:val="pt-BR"/>
        </w:rPr>
        <w:t xml:space="preserve"> </w:t>
      </w:r>
      <w:r w:rsidR="00373382">
        <w:t>Molėtų socialinės paramos centr</w:t>
      </w:r>
      <w:r w:rsidR="00784869">
        <w:t>as</w:t>
      </w:r>
      <w:r w:rsidR="00373382">
        <w:t xml:space="preserve">  2022 m. vasario 8 d</w:t>
      </w:r>
      <w:r>
        <w:t xml:space="preserve">. raštu </w:t>
      </w:r>
      <w:r w:rsidR="00373382">
        <w:t xml:space="preserve"> Nr. SŽ-140 „Dėl pareigybių skaičiaus didinimo“ </w:t>
      </w:r>
      <w:r>
        <w:t>prašo į leistiną didžiausią pareigybių sąrašą įtraukti naują pareigybę – socialinio darbuotojo padėjėjai darbui su šeimomis, kurios gauna socialinių įgūdžių ugdymo paslaugas ir jose auga kūdikiai iki 12 mėn. arba kūdikiai su negalia iki 36 mėn. – 2 pareigybes. 2022 metams iš Lietuvos Respublikos biudžeto numatomos ir artimiausiu metu, bus skirtos lėšos naujų pareigybių savivaldybėse atsiradimui</w:t>
      </w:r>
      <w:r w:rsidR="00784869">
        <w:t>. P</w:t>
      </w:r>
      <w:r w:rsidR="00784869">
        <w:t>araiška ir poreikis 2 naujoms pareigybėms išsiųsta</w:t>
      </w:r>
      <w:r w:rsidR="00784869">
        <w:t>;</w:t>
      </w:r>
    </w:p>
    <w:p w14:paraId="1E4AAA97" w14:textId="40F2BE77" w:rsidR="00784869" w:rsidRDefault="00784869" w:rsidP="00375850">
      <w:pPr>
        <w:spacing w:line="360" w:lineRule="auto"/>
        <w:ind w:firstLine="627"/>
        <w:jc w:val="both"/>
      </w:pPr>
      <w:r>
        <w:t xml:space="preserve">2. </w:t>
      </w:r>
      <w:r>
        <w:t>Molėtų pradinė mokykl</w:t>
      </w:r>
      <w:r>
        <w:t>a</w:t>
      </w:r>
      <w:r>
        <w:t xml:space="preserve"> 2022 m. vasario 8</w:t>
      </w:r>
      <w:r w:rsidRPr="00F940AC">
        <w:t xml:space="preserve"> d. </w:t>
      </w:r>
      <w:r>
        <w:t>raštu</w:t>
      </w:r>
      <w:r w:rsidRPr="00F940AC">
        <w:t xml:space="preserve"> Nr. </w:t>
      </w:r>
      <w:r>
        <w:t>(1.8)</w:t>
      </w:r>
      <w:r w:rsidRPr="00F940AC">
        <w:t>-</w:t>
      </w:r>
      <w:r>
        <w:t>SD-17</w:t>
      </w:r>
      <w:r w:rsidRPr="00F940AC">
        <w:t xml:space="preserve"> „Dėl </w:t>
      </w:r>
      <w:r>
        <w:t>padidėjusio mokytojų padėjėjų poreikio</w:t>
      </w:r>
      <w:r w:rsidRPr="00F940AC">
        <w:t>“</w:t>
      </w:r>
      <w:r>
        <w:t xml:space="preserve"> prašo papildomai skirti dvi mokytojo padėjėjo pareigybes dėl padidėjusio mokinių skaičiaus, kuriems reikalinga speciali pagalba. </w:t>
      </w:r>
    </w:p>
    <w:p w14:paraId="65928460" w14:textId="77777777" w:rsidR="00784869" w:rsidRDefault="00B12C86" w:rsidP="00784869">
      <w:pPr>
        <w:tabs>
          <w:tab w:val="left" w:pos="1083"/>
        </w:tabs>
        <w:spacing w:after="0" w:line="360" w:lineRule="auto"/>
        <w:ind w:firstLine="627"/>
        <w:jc w:val="both"/>
        <w:rPr>
          <w:bCs/>
        </w:rPr>
      </w:pPr>
      <w:r>
        <w:rPr>
          <w:bCs/>
        </w:rPr>
        <w:t xml:space="preserve">Lyginant su patvirtintu didžiausiu leistinu pareigybių skaičiumi, 2022 m. pareigybių skaičius </w:t>
      </w:r>
      <w:r w:rsidR="00373382">
        <w:rPr>
          <w:bCs/>
        </w:rPr>
        <w:t>didėja</w:t>
      </w:r>
      <w:r>
        <w:rPr>
          <w:bCs/>
        </w:rPr>
        <w:t xml:space="preserve"> </w:t>
      </w:r>
      <w:r w:rsidR="00C809AA">
        <w:rPr>
          <w:bCs/>
        </w:rPr>
        <w:t>–</w:t>
      </w:r>
      <w:r>
        <w:rPr>
          <w:bCs/>
        </w:rPr>
        <w:t xml:space="preserve"> </w:t>
      </w:r>
      <w:r w:rsidR="00373382">
        <w:rPr>
          <w:bCs/>
        </w:rPr>
        <w:t>4</w:t>
      </w:r>
      <w:r>
        <w:rPr>
          <w:bCs/>
        </w:rPr>
        <w:t xml:space="preserve"> pareigybėmis. </w:t>
      </w:r>
    </w:p>
    <w:p w14:paraId="57D91787" w14:textId="78295AEF" w:rsidR="0076730E" w:rsidRPr="00A123BE" w:rsidRDefault="00A123BE" w:rsidP="00784869">
      <w:pPr>
        <w:tabs>
          <w:tab w:val="left" w:pos="1083"/>
        </w:tabs>
        <w:spacing w:after="0" w:line="360" w:lineRule="auto"/>
        <w:ind w:firstLine="627"/>
        <w:jc w:val="both"/>
        <w:rPr>
          <w:b/>
          <w:bCs/>
        </w:rPr>
      </w:pPr>
      <w:r w:rsidRPr="00A123BE">
        <w:rPr>
          <w:b/>
          <w:bCs/>
        </w:rPr>
        <w:t xml:space="preserve">2. </w:t>
      </w:r>
      <w:r w:rsidR="0076730E" w:rsidRPr="00A123BE">
        <w:rPr>
          <w:b/>
          <w:bCs/>
        </w:rPr>
        <w:t>Siūlomos teisinio reguliavimo nuostatos:</w:t>
      </w:r>
    </w:p>
    <w:p w14:paraId="30F31297" w14:textId="406EA298" w:rsidR="00852895" w:rsidRDefault="0076730E" w:rsidP="0036121F">
      <w:pPr>
        <w:spacing w:line="360" w:lineRule="auto"/>
        <w:ind w:firstLine="720"/>
        <w:jc w:val="both"/>
      </w:pPr>
      <w:r w:rsidRPr="00CB2188">
        <w:t>Vadovaudam</w:t>
      </w:r>
      <w:r w:rsidR="00852895">
        <w:t>ies</w:t>
      </w:r>
      <w:r w:rsidRPr="00CB2188">
        <w:t xml:space="preserve">i šiuo sprendimu </w:t>
      </w:r>
      <w:r w:rsidR="00852895">
        <w:rPr>
          <w:rFonts w:eastAsia="Calibri" w:cs="Times New Roman"/>
          <w:bCs/>
          <w:szCs w:val="24"/>
          <w:lang w:val="pt-BR"/>
        </w:rPr>
        <w:t>biudžetinių įstaigų vadovai patvirtins biudžetinių įstaigų struktūrą ir pareigybių sąrašą, neviršydami nustatyto didžiausio leistino pareigybių skaičiaus.</w:t>
      </w:r>
    </w:p>
    <w:p w14:paraId="475F9C5D" w14:textId="271F780F" w:rsidR="0076730E" w:rsidRPr="00A123BE" w:rsidRDefault="00A123BE" w:rsidP="00A123BE">
      <w:pPr>
        <w:spacing w:line="360" w:lineRule="auto"/>
        <w:ind w:firstLine="720"/>
        <w:rPr>
          <w:b/>
          <w:bCs/>
        </w:rPr>
      </w:pPr>
      <w:r w:rsidRPr="00A123BE">
        <w:rPr>
          <w:b/>
          <w:bCs/>
        </w:rPr>
        <w:t xml:space="preserve">3. </w:t>
      </w:r>
      <w:r w:rsidR="0076730E" w:rsidRPr="00A123BE">
        <w:rPr>
          <w:b/>
          <w:bCs/>
        </w:rPr>
        <w:t>Laukiami rezultatai:</w:t>
      </w:r>
    </w:p>
    <w:p w14:paraId="39FE71CE" w14:textId="2A356E63" w:rsidR="0076730E" w:rsidRPr="0036121F" w:rsidRDefault="0076730E" w:rsidP="0036121F">
      <w:pPr>
        <w:spacing w:line="360" w:lineRule="auto"/>
        <w:ind w:firstLine="720"/>
        <w:jc w:val="both"/>
      </w:pPr>
      <w:r w:rsidRPr="0036121F">
        <w:t>Šiuo sprendimu bus papildyt</w:t>
      </w:r>
      <w:r w:rsidR="00852895" w:rsidRPr="0036121F">
        <w:t>as</w:t>
      </w:r>
      <w:r w:rsidRPr="0036121F">
        <w:t xml:space="preserve"> </w:t>
      </w:r>
      <w:r w:rsidR="00852895" w:rsidRPr="0036121F">
        <w:t>didžiausias leistinas pareigybių skaičius, priimti nauji darbuotojai, biudžetinės įstaigos atliks savo funkcijas.</w:t>
      </w:r>
    </w:p>
    <w:p w14:paraId="7160B364" w14:textId="64FA35F3" w:rsidR="0076730E" w:rsidRDefault="00A123BE" w:rsidP="00A123BE">
      <w:pPr>
        <w:spacing w:line="360" w:lineRule="auto"/>
        <w:ind w:firstLine="720"/>
        <w:rPr>
          <w:b/>
          <w:bCs/>
        </w:rPr>
      </w:pPr>
      <w:r w:rsidRPr="00A123BE">
        <w:rPr>
          <w:b/>
          <w:bCs/>
        </w:rPr>
        <w:lastRenderedPageBreak/>
        <w:t xml:space="preserve">4. </w:t>
      </w:r>
      <w:r w:rsidR="0076730E" w:rsidRPr="00A123BE">
        <w:rPr>
          <w:b/>
          <w:bCs/>
        </w:rPr>
        <w:t>Lėšų poreikis ir jų šaltiniai:</w:t>
      </w:r>
    </w:p>
    <w:p w14:paraId="6DF4A6FB" w14:textId="20A8201E" w:rsidR="0036121F" w:rsidRPr="0036121F" w:rsidRDefault="0036121F" w:rsidP="00B12C86">
      <w:pPr>
        <w:spacing w:line="360" w:lineRule="auto"/>
        <w:ind w:firstLine="720"/>
        <w:jc w:val="both"/>
      </w:pPr>
      <w:r w:rsidRPr="0036121F">
        <w:t xml:space="preserve">Mokytojų padėjėjų pareigybės bus apmokamos iš </w:t>
      </w:r>
      <w:r w:rsidR="00B12C86">
        <w:t xml:space="preserve"> savivaldybės lėšų. </w:t>
      </w:r>
      <w:r w:rsidR="00784869">
        <w:t>Socialinių darbuotojų padėjėj</w:t>
      </w:r>
      <w:r w:rsidR="00A56D5D">
        <w:t>ų</w:t>
      </w:r>
      <w:r w:rsidR="00784869">
        <w:t xml:space="preserve"> darbui su šeimomis</w:t>
      </w:r>
      <w:r w:rsidR="00A56D5D">
        <w:t xml:space="preserve"> pareigybės bus apmokamos iš valstybės lėšų.</w:t>
      </w:r>
    </w:p>
    <w:p w14:paraId="0C608E40" w14:textId="2450A44B" w:rsidR="0076730E" w:rsidRDefault="00A123BE" w:rsidP="00A123BE">
      <w:pPr>
        <w:pStyle w:val="Sraopastraipa"/>
        <w:spacing w:after="160" w:line="360" w:lineRule="auto"/>
        <w:rPr>
          <w:b/>
          <w:bCs/>
          <w:lang w:val="lt-LT"/>
        </w:rPr>
      </w:pPr>
      <w:r w:rsidRPr="00A123BE">
        <w:rPr>
          <w:b/>
          <w:bCs/>
          <w:lang w:val="lt-LT"/>
        </w:rPr>
        <w:t xml:space="preserve">5. </w:t>
      </w:r>
      <w:r w:rsidR="0076730E" w:rsidRPr="00A123BE">
        <w:rPr>
          <w:b/>
          <w:bCs/>
          <w:lang w:val="lt-LT"/>
        </w:rPr>
        <w:t>Kiti sprendimui priimti reikalingi pagrindimai, skaičiavimai ar paaiškinimai.</w:t>
      </w:r>
    </w:p>
    <w:p w14:paraId="5A1A43F4" w14:textId="1C0F6CF0" w:rsidR="00775A46" w:rsidRDefault="00775A46" w:rsidP="00182615">
      <w:pPr>
        <w:spacing w:line="240" w:lineRule="auto"/>
        <w:ind w:firstLine="720"/>
        <w:jc w:val="both"/>
      </w:pPr>
      <w:r>
        <w:t xml:space="preserve">Lentelėje pateikiamas </w:t>
      </w:r>
      <w:r w:rsidR="00182615">
        <w:t xml:space="preserve">sprendimo projekto </w:t>
      </w:r>
      <w:r>
        <w:t>lyginamas variantas: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117"/>
        <w:gridCol w:w="1843"/>
        <w:gridCol w:w="1701"/>
        <w:gridCol w:w="1808"/>
      </w:tblGrid>
      <w:tr w:rsidR="00182615" w:rsidRPr="00775A46" w14:paraId="26EE0EBC" w14:textId="77777777" w:rsidTr="00182615">
        <w:trPr>
          <w:trHeight w:val="1245"/>
        </w:trPr>
        <w:tc>
          <w:tcPr>
            <w:tcW w:w="556" w:type="dxa"/>
            <w:vMerge w:val="restart"/>
            <w:shd w:val="clear" w:color="auto" w:fill="auto"/>
            <w:vAlign w:val="center"/>
            <w:hideMark/>
          </w:tcPr>
          <w:p w14:paraId="3DC11174" w14:textId="2A9C4ED6"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 xml:space="preserve">Eil. </w:t>
            </w:r>
            <w:r w:rsidRPr="00775A46">
              <w:rPr>
                <w:rFonts w:cs="Times New Roman"/>
                <w:color w:val="000000"/>
                <w:szCs w:val="24"/>
                <w:lang w:eastAsia="lt-LT"/>
              </w:rPr>
              <w:br/>
              <w:t>Nr.</w:t>
            </w:r>
          </w:p>
        </w:tc>
        <w:tc>
          <w:tcPr>
            <w:tcW w:w="4117" w:type="dxa"/>
            <w:vMerge w:val="restart"/>
            <w:shd w:val="clear" w:color="auto" w:fill="auto"/>
            <w:noWrap/>
            <w:vAlign w:val="center"/>
            <w:hideMark/>
          </w:tcPr>
          <w:p w14:paraId="32C772B9"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Įstaigos  pavadinimas</w:t>
            </w:r>
          </w:p>
        </w:tc>
        <w:tc>
          <w:tcPr>
            <w:tcW w:w="5352" w:type="dxa"/>
            <w:gridSpan w:val="3"/>
            <w:shd w:val="clear" w:color="auto" w:fill="auto"/>
            <w:vAlign w:val="center"/>
            <w:hideMark/>
          </w:tcPr>
          <w:p w14:paraId="2888E60B"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 xml:space="preserve">Didžiausias leistinas darbuotojų, </w:t>
            </w:r>
            <w:r w:rsidRPr="00775A46">
              <w:rPr>
                <w:rFonts w:cs="Times New Roman"/>
                <w:color w:val="000000"/>
                <w:szCs w:val="24"/>
                <w:lang w:eastAsia="lt-LT"/>
              </w:rPr>
              <w:br/>
              <w:t>dirbančių pagal darbo sutartis ir gaunančių darbo užmokestį iš Molėtų rajono savivaldybės biudžeto, pareigybių skaičius</w:t>
            </w:r>
          </w:p>
        </w:tc>
      </w:tr>
      <w:tr w:rsidR="00182615" w:rsidRPr="00775A46" w14:paraId="5C270EFF" w14:textId="77777777" w:rsidTr="00182615">
        <w:trPr>
          <w:trHeight w:val="360"/>
        </w:trPr>
        <w:tc>
          <w:tcPr>
            <w:tcW w:w="556" w:type="dxa"/>
            <w:vMerge/>
            <w:vAlign w:val="center"/>
            <w:hideMark/>
          </w:tcPr>
          <w:p w14:paraId="15B81ADD" w14:textId="77777777" w:rsidR="00182615" w:rsidRPr="00775A46" w:rsidRDefault="00182615" w:rsidP="00182615">
            <w:pPr>
              <w:spacing w:after="0" w:line="240" w:lineRule="auto"/>
              <w:jc w:val="center"/>
              <w:rPr>
                <w:rFonts w:cs="Times New Roman"/>
                <w:color w:val="000000"/>
                <w:szCs w:val="24"/>
                <w:lang w:eastAsia="lt-LT"/>
              </w:rPr>
            </w:pPr>
          </w:p>
        </w:tc>
        <w:tc>
          <w:tcPr>
            <w:tcW w:w="4117" w:type="dxa"/>
            <w:vMerge/>
            <w:vAlign w:val="center"/>
            <w:hideMark/>
          </w:tcPr>
          <w:p w14:paraId="52EB5E96" w14:textId="77777777" w:rsidR="00182615" w:rsidRPr="00775A46" w:rsidRDefault="00182615" w:rsidP="00182615">
            <w:pPr>
              <w:spacing w:after="0" w:line="240" w:lineRule="auto"/>
              <w:jc w:val="center"/>
              <w:rPr>
                <w:rFonts w:cs="Times New Roman"/>
                <w:color w:val="000000"/>
                <w:szCs w:val="24"/>
                <w:lang w:eastAsia="lt-LT"/>
              </w:rPr>
            </w:pPr>
          </w:p>
        </w:tc>
        <w:tc>
          <w:tcPr>
            <w:tcW w:w="1843" w:type="dxa"/>
            <w:vMerge w:val="restart"/>
            <w:shd w:val="clear" w:color="auto" w:fill="auto"/>
            <w:vAlign w:val="center"/>
            <w:hideMark/>
          </w:tcPr>
          <w:p w14:paraId="2A987337"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Iš viso</w:t>
            </w:r>
            <w:r w:rsidRPr="00775A46">
              <w:rPr>
                <w:rFonts w:cs="Times New Roman"/>
                <w:color w:val="000000"/>
                <w:szCs w:val="24"/>
                <w:lang w:eastAsia="lt-LT"/>
              </w:rPr>
              <w:br/>
              <w:t xml:space="preserve"> pareigybių:</w:t>
            </w:r>
          </w:p>
        </w:tc>
        <w:tc>
          <w:tcPr>
            <w:tcW w:w="3509" w:type="dxa"/>
            <w:gridSpan w:val="2"/>
            <w:shd w:val="clear" w:color="auto" w:fill="auto"/>
            <w:noWrap/>
            <w:vAlign w:val="center"/>
            <w:hideMark/>
          </w:tcPr>
          <w:p w14:paraId="3588CCD6"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iš  jų:</w:t>
            </w:r>
          </w:p>
        </w:tc>
      </w:tr>
      <w:tr w:rsidR="00182615" w:rsidRPr="00775A46" w14:paraId="273B2517" w14:textId="77777777" w:rsidTr="00182615">
        <w:trPr>
          <w:trHeight w:val="918"/>
        </w:trPr>
        <w:tc>
          <w:tcPr>
            <w:tcW w:w="556" w:type="dxa"/>
            <w:vMerge/>
            <w:vAlign w:val="center"/>
            <w:hideMark/>
          </w:tcPr>
          <w:p w14:paraId="617743FF" w14:textId="77777777" w:rsidR="00182615" w:rsidRPr="00775A46" w:rsidRDefault="00182615" w:rsidP="00182615">
            <w:pPr>
              <w:spacing w:after="0" w:line="240" w:lineRule="auto"/>
              <w:jc w:val="center"/>
              <w:rPr>
                <w:rFonts w:cs="Times New Roman"/>
                <w:color w:val="000000"/>
                <w:szCs w:val="24"/>
                <w:lang w:eastAsia="lt-LT"/>
              </w:rPr>
            </w:pPr>
          </w:p>
        </w:tc>
        <w:tc>
          <w:tcPr>
            <w:tcW w:w="4117" w:type="dxa"/>
            <w:vMerge/>
            <w:vAlign w:val="center"/>
            <w:hideMark/>
          </w:tcPr>
          <w:p w14:paraId="3778750A" w14:textId="77777777" w:rsidR="00182615" w:rsidRPr="00775A46" w:rsidRDefault="00182615" w:rsidP="00182615">
            <w:pPr>
              <w:spacing w:after="0" w:line="240" w:lineRule="auto"/>
              <w:jc w:val="center"/>
              <w:rPr>
                <w:rFonts w:cs="Times New Roman"/>
                <w:color w:val="000000"/>
                <w:szCs w:val="24"/>
                <w:lang w:eastAsia="lt-LT"/>
              </w:rPr>
            </w:pPr>
          </w:p>
        </w:tc>
        <w:tc>
          <w:tcPr>
            <w:tcW w:w="1843" w:type="dxa"/>
            <w:vMerge/>
            <w:vAlign w:val="center"/>
            <w:hideMark/>
          </w:tcPr>
          <w:p w14:paraId="232ECD96" w14:textId="77777777" w:rsidR="00182615" w:rsidRPr="00775A46" w:rsidRDefault="00182615" w:rsidP="00182615">
            <w:pPr>
              <w:spacing w:after="0" w:line="240" w:lineRule="auto"/>
              <w:jc w:val="center"/>
              <w:rPr>
                <w:rFonts w:cs="Times New Roman"/>
                <w:color w:val="000000"/>
                <w:szCs w:val="24"/>
                <w:lang w:eastAsia="lt-LT"/>
              </w:rPr>
            </w:pPr>
          </w:p>
        </w:tc>
        <w:tc>
          <w:tcPr>
            <w:tcW w:w="1701" w:type="dxa"/>
            <w:shd w:val="clear" w:color="auto" w:fill="auto"/>
            <w:vAlign w:val="center"/>
            <w:hideMark/>
          </w:tcPr>
          <w:p w14:paraId="5591BBDF"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Pareigybės</w:t>
            </w:r>
            <w:r w:rsidRPr="00775A46">
              <w:rPr>
                <w:rFonts w:cs="Times New Roman"/>
                <w:color w:val="000000"/>
                <w:szCs w:val="24"/>
                <w:lang w:eastAsia="lt-LT"/>
              </w:rPr>
              <w:br/>
              <w:t>(socialinės, kultūros ir kitos)</w:t>
            </w:r>
          </w:p>
        </w:tc>
        <w:tc>
          <w:tcPr>
            <w:tcW w:w="1808" w:type="dxa"/>
            <w:shd w:val="clear" w:color="auto" w:fill="auto"/>
            <w:vAlign w:val="center"/>
            <w:hideMark/>
          </w:tcPr>
          <w:p w14:paraId="52E145AF" w14:textId="77777777" w:rsidR="00182615" w:rsidRPr="00775A46" w:rsidRDefault="00182615" w:rsidP="00182615">
            <w:pPr>
              <w:spacing w:after="0" w:line="240" w:lineRule="auto"/>
              <w:jc w:val="center"/>
              <w:rPr>
                <w:rFonts w:cs="Times New Roman"/>
                <w:color w:val="000000"/>
                <w:szCs w:val="24"/>
                <w:lang w:eastAsia="lt-LT"/>
              </w:rPr>
            </w:pPr>
            <w:r w:rsidRPr="00775A46">
              <w:rPr>
                <w:rFonts w:cs="Times New Roman"/>
                <w:color w:val="000000"/>
                <w:szCs w:val="24"/>
                <w:lang w:eastAsia="lt-LT"/>
              </w:rPr>
              <w:t>Pedagoginės</w:t>
            </w:r>
            <w:r w:rsidRPr="00775A46">
              <w:rPr>
                <w:rFonts w:cs="Times New Roman"/>
                <w:color w:val="000000"/>
                <w:szCs w:val="24"/>
                <w:lang w:eastAsia="lt-LT"/>
              </w:rPr>
              <w:br/>
              <w:t xml:space="preserve"> pareigybės</w:t>
            </w:r>
          </w:p>
        </w:tc>
      </w:tr>
      <w:tr w:rsidR="00182615" w:rsidRPr="00775A46" w14:paraId="68F8360F" w14:textId="77777777" w:rsidTr="00182615">
        <w:trPr>
          <w:trHeight w:val="315"/>
        </w:trPr>
        <w:tc>
          <w:tcPr>
            <w:tcW w:w="556" w:type="dxa"/>
            <w:shd w:val="clear" w:color="auto" w:fill="auto"/>
            <w:noWrap/>
            <w:vAlign w:val="center"/>
          </w:tcPr>
          <w:p w14:paraId="1724700A" w14:textId="5B0FB17A" w:rsidR="00182615" w:rsidRPr="00775A46" w:rsidRDefault="00F3331B" w:rsidP="00182615">
            <w:pPr>
              <w:spacing w:after="0" w:line="240" w:lineRule="auto"/>
              <w:jc w:val="center"/>
              <w:rPr>
                <w:rFonts w:cs="Times New Roman"/>
                <w:color w:val="000000"/>
                <w:szCs w:val="24"/>
                <w:lang w:eastAsia="lt-LT"/>
              </w:rPr>
            </w:pPr>
            <w:r>
              <w:rPr>
                <w:rFonts w:cs="Times New Roman"/>
                <w:color w:val="000000"/>
                <w:szCs w:val="24"/>
                <w:lang w:eastAsia="lt-LT"/>
              </w:rPr>
              <w:t>9</w:t>
            </w:r>
            <w:r w:rsidR="00182615" w:rsidRPr="00775A46">
              <w:rPr>
                <w:rFonts w:cs="Times New Roman"/>
                <w:color w:val="000000"/>
                <w:szCs w:val="24"/>
                <w:lang w:eastAsia="lt-LT"/>
              </w:rPr>
              <w:t>.</w:t>
            </w:r>
          </w:p>
        </w:tc>
        <w:tc>
          <w:tcPr>
            <w:tcW w:w="4117" w:type="dxa"/>
            <w:shd w:val="clear" w:color="auto" w:fill="auto"/>
            <w:noWrap/>
            <w:vAlign w:val="center"/>
          </w:tcPr>
          <w:p w14:paraId="6BEAF8FC" w14:textId="210D7116"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pradinė mokykla</w:t>
            </w:r>
          </w:p>
        </w:tc>
        <w:tc>
          <w:tcPr>
            <w:tcW w:w="1843" w:type="dxa"/>
            <w:shd w:val="clear" w:color="auto" w:fill="auto"/>
            <w:noWrap/>
            <w:vAlign w:val="center"/>
          </w:tcPr>
          <w:p w14:paraId="608E59BF" w14:textId="77777777" w:rsidR="00182615" w:rsidRDefault="00182615" w:rsidP="00182615">
            <w:pPr>
              <w:spacing w:after="0" w:line="240" w:lineRule="auto"/>
              <w:jc w:val="right"/>
              <w:rPr>
                <w:rFonts w:cs="Times New Roman"/>
                <w:strike/>
                <w:color w:val="000000"/>
                <w:szCs w:val="24"/>
                <w:lang w:eastAsia="lt-LT"/>
              </w:rPr>
            </w:pPr>
            <w:r w:rsidRPr="00F3331B">
              <w:rPr>
                <w:rFonts w:cs="Times New Roman"/>
                <w:strike/>
                <w:color w:val="000000"/>
                <w:szCs w:val="24"/>
                <w:lang w:eastAsia="lt-LT"/>
              </w:rPr>
              <w:t>55</w:t>
            </w:r>
          </w:p>
          <w:p w14:paraId="41215215" w14:textId="71728345" w:rsidR="00F3331B" w:rsidRPr="00F3331B" w:rsidRDefault="00F3331B" w:rsidP="00182615">
            <w:pPr>
              <w:spacing w:after="0" w:line="240" w:lineRule="auto"/>
              <w:jc w:val="right"/>
              <w:rPr>
                <w:rFonts w:cs="Times New Roman"/>
                <w:b/>
                <w:bCs/>
                <w:color w:val="000000"/>
                <w:szCs w:val="24"/>
                <w:lang w:eastAsia="lt-LT"/>
              </w:rPr>
            </w:pPr>
            <w:r w:rsidRPr="00F3331B">
              <w:rPr>
                <w:rFonts w:cs="Times New Roman"/>
                <w:b/>
                <w:bCs/>
                <w:color w:val="000000"/>
                <w:szCs w:val="24"/>
                <w:lang w:eastAsia="lt-LT"/>
              </w:rPr>
              <w:t>57</w:t>
            </w:r>
          </w:p>
        </w:tc>
        <w:tc>
          <w:tcPr>
            <w:tcW w:w="1701" w:type="dxa"/>
            <w:shd w:val="clear" w:color="auto" w:fill="auto"/>
            <w:noWrap/>
            <w:vAlign w:val="center"/>
          </w:tcPr>
          <w:p w14:paraId="45019478" w14:textId="77777777" w:rsidR="00182615" w:rsidRDefault="00182615" w:rsidP="00182615">
            <w:pPr>
              <w:spacing w:after="0" w:line="240" w:lineRule="auto"/>
              <w:jc w:val="right"/>
              <w:rPr>
                <w:rFonts w:cs="Times New Roman"/>
                <w:strike/>
                <w:color w:val="000000"/>
                <w:szCs w:val="24"/>
                <w:lang w:eastAsia="lt-LT"/>
              </w:rPr>
            </w:pPr>
            <w:r w:rsidRPr="00F3331B">
              <w:rPr>
                <w:rFonts w:cs="Times New Roman"/>
                <w:strike/>
                <w:color w:val="000000"/>
                <w:szCs w:val="24"/>
                <w:lang w:eastAsia="lt-LT"/>
              </w:rPr>
              <w:t>25</w:t>
            </w:r>
          </w:p>
          <w:p w14:paraId="39FA7816" w14:textId="68CFCE11" w:rsidR="00F3331B" w:rsidRPr="00F3331B" w:rsidRDefault="00F3331B" w:rsidP="00182615">
            <w:pPr>
              <w:spacing w:after="0" w:line="240" w:lineRule="auto"/>
              <w:jc w:val="right"/>
              <w:rPr>
                <w:rFonts w:cs="Times New Roman"/>
                <w:b/>
                <w:bCs/>
                <w:color w:val="000000"/>
                <w:szCs w:val="24"/>
                <w:lang w:eastAsia="lt-LT"/>
              </w:rPr>
            </w:pPr>
            <w:r w:rsidRPr="00F3331B">
              <w:rPr>
                <w:rFonts w:cs="Times New Roman"/>
                <w:b/>
                <w:bCs/>
                <w:color w:val="000000"/>
                <w:szCs w:val="24"/>
                <w:lang w:eastAsia="lt-LT"/>
              </w:rPr>
              <w:t>27</w:t>
            </w:r>
          </w:p>
        </w:tc>
        <w:tc>
          <w:tcPr>
            <w:tcW w:w="1808" w:type="dxa"/>
            <w:shd w:val="clear" w:color="000000" w:fill="FFFFFF"/>
            <w:noWrap/>
            <w:vAlign w:val="center"/>
          </w:tcPr>
          <w:p w14:paraId="4CC2D1D2" w14:textId="77777777" w:rsidR="00182615" w:rsidRPr="00F3331B" w:rsidRDefault="00182615" w:rsidP="00182615">
            <w:pPr>
              <w:spacing w:after="0" w:line="240" w:lineRule="auto"/>
              <w:jc w:val="right"/>
              <w:rPr>
                <w:rFonts w:cs="Times New Roman"/>
                <w:color w:val="000000"/>
                <w:szCs w:val="24"/>
                <w:lang w:eastAsia="lt-LT"/>
              </w:rPr>
            </w:pPr>
            <w:r w:rsidRPr="00F3331B">
              <w:rPr>
                <w:rFonts w:cs="Times New Roman"/>
                <w:color w:val="000000"/>
                <w:szCs w:val="24"/>
                <w:lang w:eastAsia="lt-LT"/>
              </w:rPr>
              <w:t>30</w:t>
            </w:r>
          </w:p>
        </w:tc>
      </w:tr>
      <w:tr w:rsidR="00182615" w:rsidRPr="00775A46" w14:paraId="68E29249" w14:textId="77777777" w:rsidTr="00182615">
        <w:trPr>
          <w:trHeight w:val="315"/>
        </w:trPr>
        <w:tc>
          <w:tcPr>
            <w:tcW w:w="556" w:type="dxa"/>
            <w:shd w:val="clear" w:color="auto" w:fill="auto"/>
            <w:noWrap/>
            <w:vAlign w:val="center"/>
          </w:tcPr>
          <w:p w14:paraId="3ECD5636" w14:textId="6ADC2126" w:rsidR="00182615" w:rsidRPr="00775A46" w:rsidRDefault="00F3331B" w:rsidP="00182615">
            <w:pPr>
              <w:spacing w:after="0" w:line="240" w:lineRule="auto"/>
              <w:jc w:val="center"/>
              <w:rPr>
                <w:rFonts w:cs="Times New Roman"/>
                <w:color w:val="000000"/>
                <w:szCs w:val="24"/>
                <w:lang w:eastAsia="lt-LT"/>
              </w:rPr>
            </w:pPr>
            <w:r>
              <w:rPr>
                <w:rFonts w:cs="Times New Roman"/>
                <w:color w:val="000000"/>
                <w:szCs w:val="24"/>
                <w:lang w:eastAsia="lt-LT"/>
              </w:rPr>
              <w:t>13</w:t>
            </w:r>
            <w:r w:rsidR="00182615" w:rsidRPr="00775A46">
              <w:rPr>
                <w:rFonts w:cs="Times New Roman"/>
                <w:color w:val="000000"/>
                <w:szCs w:val="24"/>
                <w:lang w:eastAsia="lt-LT"/>
              </w:rPr>
              <w:t>.</w:t>
            </w:r>
          </w:p>
        </w:tc>
        <w:tc>
          <w:tcPr>
            <w:tcW w:w="4117" w:type="dxa"/>
            <w:shd w:val="clear" w:color="auto" w:fill="auto"/>
            <w:noWrap/>
            <w:vAlign w:val="center"/>
          </w:tcPr>
          <w:p w14:paraId="66711D79" w14:textId="4358EC3B" w:rsidR="00182615" w:rsidRPr="00775A46" w:rsidRDefault="00182615" w:rsidP="00182615">
            <w:pPr>
              <w:spacing w:after="0" w:line="240" w:lineRule="auto"/>
              <w:rPr>
                <w:rFonts w:cs="Times New Roman"/>
                <w:color w:val="000000"/>
                <w:szCs w:val="24"/>
                <w:lang w:eastAsia="lt-LT"/>
              </w:rPr>
            </w:pPr>
            <w:r w:rsidRPr="00775A46">
              <w:rPr>
                <w:rFonts w:cs="Times New Roman"/>
                <w:color w:val="000000"/>
                <w:szCs w:val="24"/>
                <w:lang w:eastAsia="lt-LT"/>
              </w:rPr>
              <w:t>Molėtų socialinės paramos centras</w:t>
            </w:r>
          </w:p>
        </w:tc>
        <w:tc>
          <w:tcPr>
            <w:tcW w:w="1843" w:type="dxa"/>
            <w:shd w:val="clear" w:color="auto" w:fill="auto"/>
            <w:noWrap/>
            <w:vAlign w:val="center"/>
          </w:tcPr>
          <w:p w14:paraId="3CBD42AE" w14:textId="77777777" w:rsidR="00182615" w:rsidRDefault="00182615" w:rsidP="00182615">
            <w:pPr>
              <w:spacing w:after="0" w:line="240" w:lineRule="auto"/>
              <w:jc w:val="right"/>
              <w:rPr>
                <w:rFonts w:cs="Times New Roman"/>
                <w:strike/>
                <w:color w:val="000000"/>
                <w:szCs w:val="24"/>
                <w:lang w:eastAsia="lt-LT"/>
              </w:rPr>
            </w:pPr>
            <w:r w:rsidRPr="00F3331B">
              <w:rPr>
                <w:rFonts w:cs="Times New Roman"/>
                <w:strike/>
                <w:color w:val="000000"/>
                <w:szCs w:val="24"/>
                <w:lang w:eastAsia="lt-LT"/>
              </w:rPr>
              <w:t>49</w:t>
            </w:r>
          </w:p>
          <w:p w14:paraId="25BBB731" w14:textId="2F862F7E" w:rsidR="00373382" w:rsidRPr="00373382" w:rsidRDefault="00373382" w:rsidP="00182615">
            <w:pPr>
              <w:spacing w:after="0" w:line="240" w:lineRule="auto"/>
              <w:jc w:val="right"/>
              <w:rPr>
                <w:rFonts w:cs="Times New Roman"/>
                <w:b/>
                <w:bCs/>
                <w:color w:val="000000"/>
                <w:szCs w:val="24"/>
                <w:lang w:eastAsia="lt-LT"/>
              </w:rPr>
            </w:pPr>
            <w:r w:rsidRPr="00373382">
              <w:rPr>
                <w:rFonts w:cs="Times New Roman"/>
                <w:b/>
                <w:bCs/>
                <w:color w:val="000000"/>
                <w:szCs w:val="24"/>
                <w:lang w:eastAsia="lt-LT"/>
              </w:rPr>
              <w:t>51</w:t>
            </w:r>
          </w:p>
        </w:tc>
        <w:tc>
          <w:tcPr>
            <w:tcW w:w="1701" w:type="dxa"/>
            <w:shd w:val="clear" w:color="auto" w:fill="auto"/>
            <w:noWrap/>
            <w:vAlign w:val="center"/>
          </w:tcPr>
          <w:p w14:paraId="67C7CE7D" w14:textId="77777777" w:rsidR="00182615" w:rsidRDefault="00182615" w:rsidP="00182615">
            <w:pPr>
              <w:spacing w:after="0" w:line="240" w:lineRule="auto"/>
              <w:jc w:val="right"/>
              <w:rPr>
                <w:rFonts w:cs="Times New Roman"/>
                <w:strike/>
                <w:color w:val="000000"/>
                <w:szCs w:val="24"/>
                <w:lang w:eastAsia="lt-LT"/>
              </w:rPr>
            </w:pPr>
            <w:r w:rsidRPr="00F3331B">
              <w:rPr>
                <w:rFonts w:cs="Times New Roman"/>
                <w:strike/>
                <w:color w:val="000000"/>
                <w:szCs w:val="24"/>
                <w:lang w:eastAsia="lt-LT"/>
              </w:rPr>
              <w:t>49</w:t>
            </w:r>
          </w:p>
          <w:p w14:paraId="2FC626AF" w14:textId="1B47C80F" w:rsidR="00373382" w:rsidRPr="00373382" w:rsidRDefault="00373382" w:rsidP="00182615">
            <w:pPr>
              <w:spacing w:after="0" w:line="240" w:lineRule="auto"/>
              <w:jc w:val="right"/>
              <w:rPr>
                <w:rFonts w:cs="Times New Roman"/>
                <w:b/>
                <w:bCs/>
                <w:color w:val="000000"/>
                <w:szCs w:val="24"/>
                <w:lang w:eastAsia="lt-LT"/>
              </w:rPr>
            </w:pPr>
            <w:r>
              <w:rPr>
                <w:rFonts w:cs="Times New Roman"/>
                <w:b/>
                <w:bCs/>
                <w:color w:val="000000"/>
                <w:szCs w:val="24"/>
                <w:lang w:eastAsia="lt-LT"/>
              </w:rPr>
              <w:t>51</w:t>
            </w:r>
          </w:p>
        </w:tc>
        <w:tc>
          <w:tcPr>
            <w:tcW w:w="1808" w:type="dxa"/>
            <w:shd w:val="clear" w:color="000000" w:fill="FFFFFF"/>
            <w:noWrap/>
            <w:vAlign w:val="center"/>
          </w:tcPr>
          <w:p w14:paraId="5FC6CE3B" w14:textId="77777777" w:rsidR="00182615" w:rsidRPr="00F3331B" w:rsidRDefault="00182615" w:rsidP="00182615">
            <w:pPr>
              <w:spacing w:after="0" w:line="240" w:lineRule="auto"/>
              <w:jc w:val="right"/>
              <w:rPr>
                <w:rFonts w:cs="Times New Roman"/>
                <w:color w:val="000000"/>
                <w:szCs w:val="24"/>
                <w:lang w:eastAsia="lt-LT"/>
              </w:rPr>
            </w:pPr>
            <w:r w:rsidRPr="00F3331B">
              <w:rPr>
                <w:rFonts w:cs="Times New Roman"/>
                <w:color w:val="000000"/>
                <w:szCs w:val="24"/>
                <w:lang w:eastAsia="lt-LT"/>
              </w:rPr>
              <w:t>0</w:t>
            </w:r>
          </w:p>
        </w:tc>
      </w:tr>
      <w:tr w:rsidR="00182615" w:rsidRPr="00775A46" w14:paraId="7CEE236D" w14:textId="77777777" w:rsidTr="00182615">
        <w:trPr>
          <w:trHeight w:val="370"/>
        </w:trPr>
        <w:tc>
          <w:tcPr>
            <w:tcW w:w="556" w:type="dxa"/>
            <w:shd w:val="clear" w:color="auto" w:fill="auto"/>
            <w:noWrap/>
            <w:vAlign w:val="center"/>
          </w:tcPr>
          <w:p w14:paraId="58087CD7" w14:textId="1729CAA9" w:rsidR="00182615" w:rsidRPr="00775A46" w:rsidRDefault="00F3331B" w:rsidP="00182615">
            <w:pPr>
              <w:spacing w:after="0" w:line="240" w:lineRule="auto"/>
              <w:jc w:val="center"/>
              <w:rPr>
                <w:rFonts w:cs="Times New Roman"/>
                <w:color w:val="000000"/>
                <w:szCs w:val="24"/>
                <w:lang w:eastAsia="lt-LT"/>
              </w:rPr>
            </w:pPr>
            <w:r>
              <w:rPr>
                <w:rFonts w:cs="Times New Roman"/>
                <w:color w:val="000000"/>
                <w:szCs w:val="24"/>
                <w:lang w:eastAsia="lt-LT"/>
              </w:rPr>
              <w:t>19</w:t>
            </w:r>
            <w:r w:rsidR="00182615" w:rsidRPr="00775A46">
              <w:rPr>
                <w:rFonts w:cs="Times New Roman"/>
                <w:color w:val="000000"/>
                <w:szCs w:val="24"/>
                <w:lang w:eastAsia="lt-LT"/>
              </w:rPr>
              <w:t>.</w:t>
            </w:r>
          </w:p>
        </w:tc>
        <w:tc>
          <w:tcPr>
            <w:tcW w:w="4117" w:type="dxa"/>
            <w:shd w:val="clear" w:color="auto" w:fill="auto"/>
            <w:noWrap/>
            <w:vAlign w:val="center"/>
          </w:tcPr>
          <w:p w14:paraId="58AA2942" w14:textId="77777777" w:rsidR="00182615" w:rsidRPr="00775A46" w:rsidRDefault="00182615" w:rsidP="00182615">
            <w:pPr>
              <w:spacing w:after="0" w:line="240" w:lineRule="auto"/>
              <w:rPr>
                <w:rFonts w:cs="Times New Roman"/>
                <w:b/>
                <w:bCs/>
                <w:color w:val="000000"/>
                <w:szCs w:val="24"/>
                <w:lang w:eastAsia="lt-LT"/>
              </w:rPr>
            </w:pPr>
            <w:r w:rsidRPr="00775A46">
              <w:rPr>
                <w:rFonts w:cs="Times New Roman"/>
                <w:b/>
                <w:bCs/>
                <w:color w:val="000000"/>
                <w:szCs w:val="24"/>
                <w:lang w:eastAsia="lt-LT"/>
              </w:rPr>
              <w:t>Iš viso</w:t>
            </w:r>
          </w:p>
        </w:tc>
        <w:tc>
          <w:tcPr>
            <w:tcW w:w="1843" w:type="dxa"/>
            <w:shd w:val="clear" w:color="auto" w:fill="auto"/>
            <w:noWrap/>
            <w:vAlign w:val="center"/>
          </w:tcPr>
          <w:p w14:paraId="7B3B1C41" w14:textId="77777777" w:rsidR="00182615" w:rsidRDefault="00FC4D47" w:rsidP="00182615">
            <w:pPr>
              <w:spacing w:after="0" w:line="240" w:lineRule="auto"/>
              <w:jc w:val="right"/>
              <w:rPr>
                <w:rFonts w:cs="Times New Roman"/>
                <w:strike/>
                <w:color w:val="000000"/>
                <w:szCs w:val="24"/>
                <w:lang w:eastAsia="lt-LT"/>
              </w:rPr>
            </w:pPr>
            <w:r w:rsidRPr="00F3331B">
              <w:rPr>
                <w:rFonts w:cs="Times New Roman"/>
                <w:strike/>
                <w:color w:val="000000"/>
                <w:szCs w:val="24"/>
                <w:lang w:eastAsia="lt-LT"/>
              </w:rPr>
              <w:t>736</w:t>
            </w:r>
          </w:p>
          <w:p w14:paraId="28982F60" w14:textId="64D50B6C" w:rsidR="00373382" w:rsidRPr="00373382" w:rsidRDefault="00373382" w:rsidP="00182615">
            <w:pPr>
              <w:spacing w:after="0" w:line="240" w:lineRule="auto"/>
              <w:jc w:val="right"/>
              <w:rPr>
                <w:rFonts w:cs="Times New Roman"/>
                <w:b/>
                <w:bCs/>
                <w:color w:val="000000"/>
                <w:szCs w:val="24"/>
                <w:lang w:eastAsia="lt-LT"/>
              </w:rPr>
            </w:pPr>
            <w:r>
              <w:rPr>
                <w:rFonts w:cs="Times New Roman"/>
                <w:b/>
                <w:bCs/>
                <w:color w:val="000000"/>
                <w:szCs w:val="24"/>
                <w:lang w:eastAsia="lt-LT"/>
              </w:rPr>
              <w:t>740</w:t>
            </w:r>
          </w:p>
        </w:tc>
        <w:tc>
          <w:tcPr>
            <w:tcW w:w="1701" w:type="dxa"/>
            <w:shd w:val="clear" w:color="auto" w:fill="auto"/>
            <w:noWrap/>
            <w:vAlign w:val="center"/>
          </w:tcPr>
          <w:p w14:paraId="58001846" w14:textId="77777777" w:rsidR="00182615" w:rsidRDefault="00FC4D47" w:rsidP="00182615">
            <w:pPr>
              <w:spacing w:after="0" w:line="240" w:lineRule="auto"/>
              <w:jc w:val="right"/>
              <w:rPr>
                <w:rFonts w:cs="Times New Roman"/>
                <w:strike/>
                <w:color w:val="000000"/>
                <w:szCs w:val="24"/>
                <w:lang w:eastAsia="lt-LT"/>
              </w:rPr>
            </w:pPr>
            <w:r w:rsidRPr="00F3331B">
              <w:rPr>
                <w:rFonts w:cs="Times New Roman"/>
                <w:strike/>
                <w:color w:val="000000"/>
                <w:szCs w:val="24"/>
                <w:lang w:eastAsia="lt-LT"/>
              </w:rPr>
              <w:t>457</w:t>
            </w:r>
          </w:p>
          <w:p w14:paraId="456227FD" w14:textId="14F9DCBF" w:rsidR="00373382" w:rsidRPr="00373382" w:rsidRDefault="00373382" w:rsidP="00182615">
            <w:pPr>
              <w:spacing w:after="0" w:line="240" w:lineRule="auto"/>
              <w:jc w:val="right"/>
              <w:rPr>
                <w:rFonts w:cs="Times New Roman"/>
                <w:b/>
                <w:bCs/>
                <w:color w:val="000000"/>
                <w:szCs w:val="24"/>
                <w:lang w:eastAsia="lt-LT"/>
              </w:rPr>
            </w:pPr>
            <w:r>
              <w:rPr>
                <w:rFonts w:cs="Times New Roman"/>
                <w:b/>
                <w:bCs/>
                <w:color w:val="000000"/>
                <w:szCs w:val="24"/>
                <w:lang w:eastAsia="lt-LT"/>
              </w:rPr>
              <w:t>461</w:t>
            </w:r>
          </w:p>
        </w:tc>
        <w:tc>
          <w:tcPr>
            <w:tcW w:w="1808" w:type="dxa"/>
            <w:shd w:val="clear" w:color="auto" w:fill="auto"/>
            <w:noWrap/>
            <w:vAlign w:val="center"/>
          </w:tcPr>
          <w:p w14:paraId="0CC1ABF2" w14:textId="7C46EC6C" w:rsidR="00182615" w:rsidRPr="00F3331B" w:rsidRDefault="00867326" w:rsidP="00182615">
            <w:pPr>
              <w:spacing w:after="0" w:line="240" w:lineRule="auto"/>
              <w:jc w:val="right"/>
              <w:rPr>
                <w:rFonts w:cs="Times New Roman"/>
                <w:color w:val="000000"/>
                <w:szCs w:val="24"/>
                <w:lang w:eastAsia="lt-LT"/>
              </w:rPr>
            </w:pPr>
            <w:r w:rsidRPr="00F3331B">
              <w:rPr>
                <w:rFonts w:cs="Times New Roman"/>
                <w:color w:val="000000"/>
                <w:szCs w:val="24"/>
                <w:lang w:eastAsia="lt-LT"/>
              </w:rPr>
              <w:t>279</w:t>
            </w:r>
          </w:p>
        </w:tc>
      </w:tr>
    </w:tbl>
    <w:p w14:paraId="00234805" w14:textId="7BBC3FE5" w:rsidR="00C83BD1" w:rsidRPr="00C83BD1" w:rsidRDefault="00C83BD1" w:rsidP="00A56D5D"/>
    <w:sectPr w:rsidR="00C83BD1" w:rsidRPr="00C83BD1" w:rsidSect="00A56D5D">
      <w:pgSz w:w="11906" w:h="16838"/>
      <w:pgMar w:top="1134" w:right="567" w:bottom="1134" w:left="130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6C1B" w14:textId="77777777" w:rsidR="00C02C39" w:rsidRDefault="00C02C39" w:rsidP="00C02C39">
      <w:pPr>
        <w:spacing w:after="0" w:line="240" w:lineRule="auto"/>
      </w:pPr>
      <w:r>
        <w:separator/>
      </w:r>
    </w:p>
  </w:endnote>
  <w:endnote w:type="continuationSeparator" w:id="0">
    <w:p w14:paraId="66E046AE" w14:textId="77777777" w:rsidR="00C02C39" w:rsidRDefault="00C02C39" w:rsidP="00C0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0DA2" w14:textId="77777777" w:rsidR="00C02C39" w:rsidRDefault="00C02C39" w:rsidP="00C02C39">
      <w:pPr>
        <w:spacing w:after="0" w:line="240" w:lineRule="auto"/>
      </w:pPr>
      <w:r>
        <w:separator/>
      </w:r>
    </w:p>
  </w:footnote>
  <w:footnote w:type="continuationSeparator" w:id="0">
    <w:p w14:paraId="5863503E" w14:textId="77777777" w:rsidR="00C02C39" w:rsidRDefault="00C02C39" w:rsidP="00C02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13C5A"/>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AF"/>
    <w:rsid w:val="0002132B"/>
    <w:rsid w:val="0005012E"/>
    <w:rsid w:val="00073B83"/>
    <w:rsid w:val="000B2712"/>
    <w:rsid w:val="000B7D7B"/>
    <w:rsid w:val="00116DF6"/>
    <w:rsid w:val="001561CD"/>
    <w:rsid w:val="00182615"/>
    <w:rsid w:val="00271965"/>
    <w:rsid w:val="0036121F"/>
    <w:rsid w:val="00373382"/>
    <w:rsid w:val="00375850"/>
    <w:rsid w:val="00375B2A"/>
    <w:rsid w:val="004B6540"/>
    <w:rsid w:val="005047A1"/>
    <w:rsid w:val="005E309B"/>
    <w:rsid w:val="006A1C33"/>
    <w:rsid w:val="006C370C"/>
    <w:rsid w:val="00757452"/>
    <w:rsid w:val="0076730E"/>
    <w:rsid w:val="00775A46"/>
    <w:rsid w:val="00784869"/>
    <w:rsid w:val="007D3894"/>
    <w:rsid w:val="00852895"/>
    <w:rsid w:val="00867326"/>
    <w:rsid w:val="008E484A"/>
    <w:rsid w:val="00950CC2"/>
    <w:rsid w:val="00953704"/>
    <w:rsid w:val="009D490C"/>
    <w:rsid w:val="009D4DF0"/>
    <w:rsid w:val="009E4A44"/>
    <w:rsid w:val="00A012D8"/>
    <w:rsid w:val="00A123BE"/>
    <w:rsid w:val="00A56D5D"/>
    <w:rsid w:val="00A720AF"/>
    <w:rsid w:val="00AA76ED"/>
    <w:rsid w:val="00AD7A4B"/>
    <w:rsid w:val="00AE454D"/>
    <w:rsid w:val="00B051F5"/>
    <w:rsid w:val="00B06F84"/>
    <w:rsid w:val="00B12C86"/>
    <w:rsid w:val="00B41365"/>
    <w:rsid w:val="00C02C39"/>
    <w:rsid w:val="00C03003"/>
    <w:rsid w:val="00C3594C"/>
    <w:rsid w:val="00C70024"/>
    <w:rsid w:val="00C809AA"/>
    <w:rsid w:val="00C83BD1"/>
    <w:rsid w:val="00C872B4"/>
    <w:rsid w:val="00CB1177"/>
    <w:rsid w:val="00D15080"/>
    <w:rsid w:val="00D6349D"/>
    <w:rsid w:val="00DA350B"/>
    <w:rsid w:val="00DA5A15"/>
    <w:rsid w:val="00DD3057"/>
    <w:rsid w:val="00F02472"/>
    <w:rsid w:val="00F213C7"/>
    <w:rsid w:val="00F25B5C"/>
    <w:rsid w:val="00F3331B"/>
    <w:rsid w:val="00FC04E7"/>
    <w:rsid w:val="00FC4D47"/>
    <w:rsid w:val="00FD14C3"/>
    <w:rsid w:val="00FD71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CFE5"/>
  <w15:chartTrackingRefBased/>
  <w15:docId w15:val="{2478EAB3-432A-44C1-B9EB-18C3D392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5080"/>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6730E"/>
    <w:pPr>
      <w:spacing w:after="0" w:line="240" w:lineRule="auto"/>
      <w:ind w:left="720"/>
      <w:contextualSpacing/>
    </w:pPr>
    <w:rPr>
      <w:rFonts w:eastAsia="Times New Roman" w:cs="Times New Roman"/>
      <w:szCs w:val="24"/>
      <w:lang w:val="en-GB"/>
    </w:rPr>
  </w:style>
  <w:style w:type="paragraph" w:styleId="Antrats">
    <w:name w:val="header"/>
    <w:basedOn w:val="prastasis"/>
    <w:link w:val="AntratsDiagrama"/>
    <w:uiPriority w:val="99"/>
    <w:unhideWhenUsed/>
    <w:rsid w:val="00C02C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2C39"/>
    <w:rPr>
      <w:rFonts w:ascii="Times New Roman" w:hAnsi="Times New Roman"/>
      <w:sz w:val="24"/>
    </w:rPr>
  </w:style>
  <w:style w:type="paragraph" w:styleId="Porat">
    <w:name w:val="footer"/>
    <w:basedOn w:val="prastasis"/>
    <w:link w:val="PoratDiagrama"/>
    <w:uiPriority w:val="99"/>
    <w:unhideWhenUsed/>
    <w:rsid w:val="00C02C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2C3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8817">
      <w:bodyDiv w:val="1"/>
      <w:marLeft w:val="0"/>
      <w:marRight w:val="0"/>
      <w:marTop w:val="0"/>
      <w:marBottom w:val="0"/>
      <w:divBdr>
        <w:top w:val="none" w:sz="0" w:space="0" w:color="auto"/>
        <w:left w:val="none" w:sz="0" w:space="0" w:color="auto"/>
        <w:bottom w:val="none" w:sz="0" w:space="0" w:color="auto"/>
        <w:right w:val="none" w:sz="0" w:space="0" w:color="auto"/>
      </w:divBdr>
    </w:div>
    <w:div w:id="391078666">
      <w:bodyDiv w:val="1"/>
      <w:marLeft w:val="0"/>
      <w:marRight w:val="0"/>
      <w:marTop w:val="0"/>
      <w:marBottom w:val="0"/>
      <w:divBdr>
        <w:top w:val="none" w:sz="0" w:space="0" w:color="auto"/>
        <w:left w:val="none" w:sz="0" w:space="0" w:color="auto"/>
        <w:bottom w:val="none" w:sz="0" w:space="0" w:color="auto"/>
        <w:right w:val="none" w:sz="0" w:space="0" w:color="auto"/>
      </w:divBdr>
    </w:div>
    <w:div w:id="644746065">
      <w:bodyDiv w:val="1"/>
      <w:marLeft w:val="0"/>
      <w:marRight w:val="0"/>
      <w:marTop w:val="0"/>
      <w:marBottom w:val="0"/>
      <w:divBdr>
        <w:top w:val="none" w:sz="0" w:space="0" w:color="auto"/>
        <w:left w:val="none" w:sz="0" w:space="0" w:color="auto"/>
        <w:bottom w:val="none" w:sz="0" w:space="0" w:color="auto"/>
        <w:right w:val="none" w:sz="0" w:space="0" w:color="auto"/>
      </w:divBdr>
    </w:div>
    <w:div w:id="736782061">
      <w:bodyDiv w:val="1"/>
      <w:marLeft w:val="0"/>
      <w:marRight w:val="0"/>
      <w:marTop w:val="0"/>
      <w:marBottom w:val="0"/>
      <w:divBdr>
        <w:top w:val="none" w:sz="0" w:space="0" w:color="auto"/>
        <w:left w:val="none" w:sz="0" w:space="0" w:color="auto"/>
        <w:bottom w:val="none" w:sz="0" w:space="0" w:color="auto"/>
        <w:right w:val="none" w:sz="0" w:space="0" w:color="auto"/>
      </w:divBdr>
    </w:div>
    <w:div w:id="911045113">
      <w:bodyDiv w:val="1"/>
      <w:marLeft w:val="0"/>
      <w:marRight w:val="0"/>
      <w:marTop w:val="0"/>
      <w:marBottom w:val="0"/>
      <w:divBdr>
        <w:top w:val="none" w:sz="0" w:space="0" w:color="auto"/>
        <w:left w:val="none" w:sz="0" w:space="0" w:color="auto"/>
        <w:bottom w:val="none" w:sz="0" w:space="0" w:color="auto"/>
        <w:right w:val="none" w:sz="0" w:space="0" w:color="auto"/>
      </w:divBdr>
    </w:div>
    <w:div w:id="911475757">
      <w:bodyDiv w:val="1"/>
      <w:marLeft w:val="0"/>
      <w:marRight w:val="0"/>
      <w:marTop w:val="0"/>
      <w:marBottom w:val="0"/>
      <w:divBdr>
        <w:top w:val="none" w:sz="0" w:space="0" w:color="auto"/>
        <w:left w:val="none" w:sz="0" w:space="0" w:color="auto"/>
        <w:bottom w:val="none" w:sz="0" w:space="0" w:color="auto"/>
        <w:right w:val="none" w:sz="0" w:space="0" w:color="auto"/>
      </w:divBdr>
    </w:div>
    <w:div w:id="1075206633">
      <w:bodyDiv w:val="1"/>
      <w:marLeft w:val="0"/>
      <w:marRight w:val="0"/>
      <w:marTop w:val="0"/>
      <w:marBottom w:val="0"/>
      <w:divBdr>
        <w:top w:val="none" w:sz="0" w:space="0" w:color="auto"/>
        <w:left w:val="none" w:sz="0" w:space="0" w:color="auto"/>
        <w:bottom w:val="none" w:sz="0" w:space="0" w:color="auto"/>
        <w:right w:val="none" w:sz="0" w:space="0" w:color="auto"/>
      </w:divBdr>
    </w:div>
    <w:div w:id="1344087280">
      <w:bodyDiv w:val="1"/>
      <w:marLeft w:val="0"/>
      <w:marRight w:val="0"/>
      <w:marTop w:val="0"/>
      <w:marBottom w:val="0"/>
      <w:divBdr>
        <w:top w:val="none" w:sz="0" w:space="0" w:color="auto"/>
        <w:left w:val="none" w:sz="0" w:space="0" w:color="auto"/>
        <w:bottom w:val="none" w:sz="0" w:space="0" w:color="auto"/>
        <w:right w:val="none" w:sz="0" w:space="0" w:color="auto"/>
      </w:divBdr>
    </w:div>
    <w:div w:id="1395809821">
      <w:bodyDiv w:val="1"/>
      <w:marLeft w:val="0"/>
      <w:marRight w:val="0"/>
      <w:marTop w:val="0"/>
      <w:marBottom w:val="0"/>
      <w:divBdr>
        <w:top w:val="none" w:sz="0" w:space="0" w:color="auto"/>
        <w:left w:val="none" w:sz="0" w:space="0" w:color="auto"/>
        <w:bottom w:val="none" w:sz="0" w:space="0" w:color="auto"/>
        <w:right w:val="none" w:sz="0" w:space="0" w:color="auto"/>
      </w:divBdr>
    </w:div>
    <w:div w:id="1760826719">
      <w:bodyDiv w:val="1"/>
      <w:marLeft w:val="0"/>
      <w:marRight w:val="0"/>
      <w:marTop w:val="0"/>
      <w:marBottom w:val="0"/>
      <w:divBdr>
        <w:top w:val="none" w:sz="0" w:space="0" w:color="auto"/>
        <w:left w:val="none" w:sz="0" w:space="0" w:color="auto"/>
        <w:bottom w:val="none" w:sz="0" w:space="0" w:color="auto"/>
        <w:right w:val="none" w:sz="0" w:space="0" w:color="auto"/>
      </w:divBdr>
    </w:div>
    <w:div w:id="1892377601">
      <w:bodyDiv w:val="1"/>
      <w:marLeft w:val="0"/>
      <w:marRight w:val="0"/>
      <w:marTop w:val="0"/>
      <w:marBottom w:val="0"/>
      <w:divBdr>
        <w:top w:val="none" w:sz="0" w:space="0" w:color="auto"/>
        <w:left w:val="none" w:sz="0" w:space="0" w:color="auto"/>
        <w:bottom w:val="none" w:sz="0" w:space="0" w:color="auto"/>
        <w:right w:val="none" w:sz="0" w:space="0" w:color="auto"/>
      </w:divBdr>
    </w:div>
    <w:div w:id="1923298449">
      <w:bodyDiv w:val="1"/>
      <w:marLeft w:val="0"/>
      <w:marRight w:val="0"/>
      <w:marTop w:val="0"/>
      <w:marBottom w:val="0"/>
      <w:divBdr>
        <w:top w:val="none" w:sz="0" w:space="0" w:color="auto"/>
        <w:left w:val="none" w:sz="0" w:space="0" w:color="auto"/>
        <w:bottom w:val="none" w:sz="0" w:space="0" w:color="auto"/>
        <w:right w:val="none" w:sz="0" w:space="0" w:color="auto"/>
      </w:divBdr>
    </w:div>
    <w:div w:id="20516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BB45-39D8-4025-9B62-2CB9BD42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2073</Words>
  <Characters>1182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3</cp:revision>
  <dcterms:created xsi:type="dcterms:W3CDTF">2022-02-10T10:35:00Z</dcterms:created>
  <dcterms:modified xsi:type="dcterms:W3CDTF">2022-02-10T11:00:00Z</dcterms:modified>
</cp:coreProperties>
</file>