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BF" w:rsidRDefault="009B36E3" w:rsidP="00405F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PRITARTA</w:t>
      </w:r>
    </w:p>
    <w:p w:rsidR="009B36E3" w:rsidRDefault="009B36E3" w:rsidP="00405F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Molėtų rajono savivaldybės</w:t>
      </w:r>
    </w:p>
    <w:p w:rsidR="009B36E3" w:rsidRDefault="009B36E3" w:rsidP="00405F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tarybos 2016 m. balandžio         d.</w:t>
      </w:r>
    </w:p>
    <w:p w:rsidR="009B36E3" w:rsidRDefault="009B36E3" w:rsidP="00405F2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sprendimu Nr.B1-</w:t>
      </w:r>
    </w:p>
    <w:p w:rsidR="007F526D" w:rsidRPr="006E779C" w:rsidRDefault="007F526D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108C6" w:rsidRPr="006E779C" w:rsidRDefault="006108C6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76BF" w:rsidRPr="009B36E3" w:rsidRDefault="009B36E3" w:rsidP="009B36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MOLĖTŲ PROGIMNAZIJOS DIREKTORIAUS</w:t>
      </w:r>
      <w:r w:rsidR="00C376BF" w:rsidRPr="009B36E3">
        <w:rPr>
          <w:rFonts w:ascii="Times New Roman" w:hAnsi="Times New Roman"/>
          <w:b/>
          <w:bCs/>
          <w:sz w:val="24"/>
          <w:szCs w:val="24"/>
        </w:rPr>
        <w:t xml:space="preserve"> 2015 METŲ VEIKLOS ATASKAITA</w:t>
      </w:r>
    </w:p>
    <w:p w:rsidR="00C376BF" w:rsidRPr="006E779C" w:rsidRDefault="00C376BF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76BF" w:rsidRPr="006E779C" w:rsidRDefault="007D6C29" w:rsidP="00405F24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E779C">
        <w:rPr>
          <w:rFonts w:ascii="Times New Roman" w:hAnsi="Times New Roman"/>
          <w:b/>
          <w:bCs/>
          <w:sz w:val="24"/>
          <w:szCs w:val="24"/>
        </w:rPr>
        <w:t>Trumpa įstaigos veiklos rezultatų apžvalga</w:t>
      </w:r>
    </w:p>
    <w:p w:rsidR="00C376BF" w:rsidRPr="006E779C" w:rsidRDefault="00C376BF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76BF" w:rsidRPr="006E779C" w:rsidRDefault="00C376BF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Molėtų Progimnazija</w:t>
      </w:r>
      <w:r w:rsidR="00A549F6" w:rsidRPr="006E779C">
        <w:rPr>
          <w:rFonts w:ascii="Times New Roman" w:hAnsi="Times New Roman"/>
          <w:bCs/>
          <w:sz w:val="24"/>
          <w:szCs w:val="24"/>
        </w:rPr>
        <w:t xml:space="preserve"> (toliau – mokykla)</w:t>
      </w:r>
      <w:r w:rsidRPr="006E779C">
        <w:rPr>
          <w:rFonts w:ascii="Times New Roman" w:hAnsi="Times New Roman"/>
          <w:bCs/>
          <w:sz w:val="24"/>
          <w:szCs w:val="24"/>
        </w:rPr>
        <w:t xml:space="preserve"> įkurta 1939.09.01</w:t>
      </w:r>
      <w:r w:rsidR="00F1032F" w:rsidRPr="006E779C">
        <w:rPr>
          <w:rFonts w:ascii="Times New Roman" w:hAnsi="Times New Roman"/>
          <w:bCs/>
          <w:sz w:val="24"/>
          <w:szCs w:val="24"/>
        </w:rPr>
        <w:t>. Tai bendrojo lavinimo mokykla, mokymo forma - dieninė, mokymo kalba - lietuvių kalba, vykdanti formaliojo švietimo programos pagrindinis mokymas (kodas 201001001) I-ą dalį 5-8 klasėse.</w:t>
      </w:r>
    </w:p>
    <w:p w:rsidR="00592437" w:rsidRPr="006E779C" w:rsidRDefault="00592437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1032F" w:rsidRDefault="00F1032F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Mokyklos darbuotojai</w:t>
      </w:r>
    </w:p>
    <w:p w:rsidR="007F526D" w:rsidRPr="006E779C" w:rsidRDefault="007F526D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5079"/>
        <w:gridCol w:w="2106"/>
        <w:gridCol w:w="2318"/>
      </w:tblGrid>
      <w:tr w:rsidR="00F1032F" w:rsidRPr="006E779C" w:rsidTr="006B62BD">
        <w:trPr>
          <w:trHeight w:val="221"/>
        </w:trPr>
        <w:tc>
          <w:tcPr>
            <w:tcW w:w="397" w:type="dxa"/>
            <w:shd w:val="clear" w:color="auto" w:fill="D9D9D9" w:themeFill="background1" w:themeFillShade="D9"/>
          </w:tcPr>
          <w:p w:rsidR="00F1032F" w:rsidRPr="006E779C" w:rsidRDefault="00F1032F" w:rsidP="00405F24">
            <w:pPr>
              <w:ind w:left="-268" w:firstLine="2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D9D9D9" w:themeFill="background1" w:themeFillShade="D9"/>
          </w:tcPr>
          <w:p w:rsidR="00F1032F" w:rsidRPr="006E779C" w:rsidRDefault="00F1032F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F1032F" w:rsidRPr="006E779C" w:rsidRDefault="00F1032F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2015-01-01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F1032F" w:rsidRPr="006E779C" w:rsidRDefault="00F1032F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2015-12-31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i/>
                <w:sz w:val="24"/>
                <w:szCs w:val="24"/>
              </w:rPr>
              <w:t>Bendras darbuotojų skaičius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D2347" w:rsidRPr="006E77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9A399A" w:rsidRPr="006E779C" w:rsidRDefault="004D2347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 w:val="restart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i/>
                <w:sz w:val="24"/>
                <w:szCs w:val="24"/>
              </w:rPr>
              <w:t>Pedagoginių darbuotojų skaičius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9A399A" w:rsidRPr="006E779C" w:rsidTr="009A399A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79" w:type="dxa"/>
            <w:shd w:val="clear" w:color="auto" w:fill="D9D9D9" w:themeFill="background1" w:themeFillShade="D9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Iš jų 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D9D9D9" w:themeFill="background1" w:themeFillShade="D9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mokytojų pagrindinėse pareigose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mokytojų antraeilėse  pareigose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 w:val="restart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Atestuotų pedagogų skaičius 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Turinčio eksperto kvalifikacinę kategoriją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Turinčių metodininko kvalifikacinę kategoriją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Turinčių vyr. mokytojo kvalifikacinę kategoriją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Turinčių mokytojo kvalifikacinę kategoriją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399A" w:rsidRPr="006E779C" w:rsidTr="00B40E74">
        <w:trPr>
          <w:trHeight w:val="180"/>
        </w:trPr>
        <w:tc>
          <w:tcPr>
            <w:tcW w:w="397" w:type="dxa"/>
            <w:vMerge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9A399A" w:rsidRPr="006E779C" w:rsidRDefault="009A399A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Neatestuotų mokytojų skaičius</w:t>
            </w:r>
          </w:p>
        </w:tc>
        <w:tc>
          <w:tcPr>
            <w:tcW w:w="2106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9A399A" w:rsidRPr="006E779C" w:rsidRDefault="009A399A" w:rsidP="00405F2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7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7D6C29" w:rsidRPr="006E779C" w:rsidRDefault="007D6C29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1032F" w:rsidRPr="006E779C" w:rsidRDefault="007D6C29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Mokinių skaičius 2015-01-01 buvo 432.</w:t>
      </w:r>
    </w:p>
    <w:p w:rsidR="00A549F6" w:rsidRPr="006E779C" w:rsidRDefault="00A549F6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Mokykloje besimokančių mokinių skaičius</w:t>
      </w:r>
      <w:r w:rsidR="006B62BD" w:rsidRPr="006E779C">
        <w:rPr>
          <w:rFonts w:ascii="Times New Roman" w:hAnsi="Times New Roman"/>
          <w:bCs/>
          <w:sz w:val="24"/>
          <w:szCs w:val="24"/>
        </w:rPr>
        <w:t xml:space="preserve"> </w:t>
      </w:r>
      <w:r w:rsidR="005025C1" w:rsidRPr="006E779C">
        <w:rPr>
          <w:rFonts w:ascii="Times New Roman" w:hAnsi="Times New Roman"/>
          <w:bCs/>
          <w:sz w:val="24"/>
          <w:szCs w:val="24"/>
        </w:rPr>
        <w:t xml:space="preserve">pagal komplektus </w:t>
      </w:r>
      <w:r w:rsidR="006B62BD" w:rsidRPr="006E779C">
        <w:rPr>
          <w:rFonts w:ascii="Times New Roman" w:hAnsi="Times New Roman"/>
          <w:bCs/>
          <w:sz w:val="24"/>
          <w:szCs w:val="24"/>
        </w:rPr>
        <w:t>2015-09-01</w:t>
      </w:r>
    </w:p>
    <w:p w:rsidR="00A549F6" w:rsidRPr="006E779C" w:rsidRDefault="00A549F6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512"/>
        <w:gridCol w:w="513"/>
        <w:gridCol w:w="512"/>
        <w:gridCol w:w="513"/>
        <w:gridCol w:w="512"/>
        <w:gridCol w:w="512"/>
        <w:gridCol w:w="513"/>
        <w:gridCol w:w="512"/>
        <w:gridCol w:w="513"/>
        <w:gridCol w:w="512"/>
        <w:gridCol w:w="512"/>
        <w:gridCol w:w="513"/>
        <w:gridCol w:w="512"/>
        <w:gridCol w:w="513"/>
        <w:gridCol w:w="999"/>
        <w:gridCol w:w="1276"/>
      </w:tblGrid>
      <w:tr w:rsidR="006B62BD" w:rsidRPr="006E779C" w:rsidTr="00F477ED">
        <w:trPr>
          <w:trHeight w:val="307"/>
        </w:trPr>
        <w:tc>
          <w:tcPr>
            <w:tcW w:w="7686" w:type="dxa"/>
            <w:gridSpan w:val="15"/>
            <w:shd w:val="clear" w:color="auto" w:fill="D9D9D9" w:themeFill="background1" w:themeFillShade="D9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Komplekto vidurkis</w:t>
            </w:r>
          </w:p>
        </w:tc>
      </w:tr>
      <w:tr w:rsidR="006B62BD" w:rsidRPr="006E779C" w:rsidTr="00836636">
        <w:trPr>
          <w:trHeight w:val="301"/>
        </w:trPr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5d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6c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6d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7c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8c</w:t>
            </w:r>
          </w:p>
        </w:tc>
        <w:tc>
          <w:tcPr>
            <w:tcW w:w="513" w:type="dxa"/>
            <w:shd w:val="clear" w:color="auto" w:fill="FFFFFF" w:themeFill="background1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8d</w:t>
            </w:r>
          </w:p>
        </w:tc>
        <w:tc>
          <w:tcPr>
            <w:tcW w:w="999" w:type="dxa"/>
            <w:vMerge/>
            <w:shd w:val="clear" w:color="auto" w:fill="D9D9D9" w:themeFill="background1" w:themeFillShade="D9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2BD" w:rsidRPr="006E779C" w:rsidTr="00836636">
        <w:trPr>
          <w:trHeight w:val="179"/>
        </w:trPr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3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3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3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2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3" w:type="dxa"/>
            <w:vAlign w:val="center"/>
          </w:tcPr>
          <w:p w:rsidR="006B62BD" w:rsidRPr="006E779C" w:rsidRDefault="00F477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vAlign w:val="center"/>
          </w:tcPr>
          <w:p w:rsidR="006B62BD" w:rsidRPr="006E779C" w:rsidRDefault="00AC31E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372B0" w:rsidRPr="006E779C"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 w:rsidRPr="006E77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477ED" w:rsidRPr="006E779C">
              <w:rPr>
                <w:rFonts w:ascii="Times New Roman" w:hAnsi="Times New Roman"/>
                <w:noProof/>
                <w:sz w:val="24"/>
                <w:szCs w:val="24"/>
              </w:rPr>
              <w:t>401</w:t>
            </w:r>
            <w:r w:rsidRPr="006E779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B62BD" w:rsidRPr="006E779C" w:rsidRDefault="006B62BD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26,73</w:t>
            </w:r>
          </w:p>
        </w:tc>
      </w:tr>
    </w:tbl>
    <w:p w:rsidR="00F1032F" w:rsidRPr="006E779C" w:rsidRDefault="00F1032F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7D6C29" w:rsidRPr="006E779C" w:rsidRDefault="00B72378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Specialiųjų poreikių mokinių – 69. </w:t>
      </w:r>
    </w:p>
    <w:p w:rsidR="007D6C29" w:rsidRPr="006E779C" w:rsidRDefault="004950B6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Nemokamą maitinimą gavo</w:t>
      </w:r>
      <w:r w:rsidR="009A399A" w:rsidRPr="006E779C">
        <w:rPr>
          <w:rFonts w:ascii="Times New Roman" w:hAnsi="Times New Roman"/>
          <w:bCs/>
          <w:sz w:val="24"/>
          <w:szCs w:val="24"/>
        </w:rPr>
        <w:t xml:space="preserve"> 83 mokiniai.</w:t>
      </w:r>
      <w:r w:rsidRPr="006E779C">
        <w:rPr>
          <w:rFonts w:ascii="Times New Roman" w:hAnsi="Times New Roman"/>
          <w:bCs/>
          <w:sz w:val="24"/>
          <w:szCs w:val="24"/>
        </w:rPr>
        <w:t xml:space="preserve"> </w:t>
      </w:r>
    </w:p>
    <w:p w:rsidR="00F1032F" w:rsidRPr="006E779C" w:rsidRDefault="00B72378" w:rsidP="00405F24">
      <w:p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Neformalaus ugdymo būrelius lanko: mokykloje – 208, už mokyklos ribų – 171 mokinys. </w:t>
      </w:r>
    </w:p>
    <w:p w:rsidR="007D6C29" w:rsidRPr="006E779C" w:rsidRDefault="007D6C29" w:rsidP="00405F24">
      <w:pPr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Mokyklos pažangumas 98 %</w:t>
      </w: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pt-BR"/>
        </w:rPr>
        <w:t>Viso praleista pamokų  36199 pam., i</w:t>
      </w:r>
      <w:r w:rsidRPr="006E779C">
        <w:rPr>
          <w:rFonts w:ascii="Times New Roman" w:hAnsi="Times New Roman"/>
          <w:sz w:val="24"/>
          <w:szCs w:val="24"/>
          <w:lang w:val="lt-LT"/>
        </w:rPr>
        <w:t xml:space="preserve">š jų 3577 </w:t>
      </w:r>
      <w:r w:rsidR="00C309FD" w:rsidRPr="006E779C">
        <w:rPr>
          <w:rFonts w:ascii="Times New Roman" w:hAnsi="Times New Roman"/>
          <w:sz w:val="24"/>
          <w:szCs w:val="24"/>
          <w:lang w:val="lt-LT"/>
        </w:rPr>
        <w:t>nepateisintų</w:t>
      </w:r>
      <w:r w:rsidRPr="006E779C">
        <w:rPr>
          <w:rFonts w:ascii="Times New Roman" w:hAnsi="Times New Roman"/>
          <w:sz w:val="24"/>
          <w:szCs w:val="24"/>
          <w:lang w:val="lt-LT"/>
        </w:rPr>
        <w:t>.</w:t>
      </w: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Vykdytos integruojamos programos:</w:t>
      </w:r>
    </w:p>
    <w:p w:rsidR="007D6C29" w:rsidRPr="006E779C" w:rsidRDefault="007D6C29" w:rsidP="00405F24">
      <w:pPr>
        <w:pStyle w:val="Betarp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Rengimo  šeimai  ir lytiškumo ugdymo programa</w:t>
      </w:r>
    </w:p>
    <w:p w:rsidR="007D6C29" w:rsidRPr="006E779C" w:rsidRDefault="007D6C29" w:rsidP="00405F24">
      <w:pPr>
        <w:pStyle w:val="Betarp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Alkoholio, tabako ir kitų psichiką veikiančių medžiagų vartojimo prevencijos programa</w:t>
      </w: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 xml:space="preserve">Kiekviena klasė vyko į 2 edukacines išvykas per  </w:t>
      </w:r>
      <w:r w:rsidR="005025C1" w:rsidRPr="006E779C">
        <w:rPr>
          <w:rFonts w:ascii="Times New Roman" w:hAnsi="Times New Roman"/>
          <w:sz w:val="24"/>
          <w:szCs w:val="24"/>
          <w:lang w:val="lt-LT"/>
        </w:rPr>
        <w:t xml:space="preserve">mokslo </w:t>
      </w:r>
      <w:r w:rsidRPr="006E779C">
        <w:rPr>
          <w:rFonts w:ascii="Times New Roman" w:hAnsi="Times New Roman"/>
          <w:sz w:val="24"/>
          <w:szCs w:val="24"/>
          <w:lang w:val="lt-LT"/>
        </w:rPr>
        <w:t>metus.  Edukacinėse programose d</w:t>
      </w:r>
      <w:r w:rsidR="005025C1" w:rsidRPr="006E779C">
        <w:rPr>
          <w:rFonts w:ascii="Times New Roman" w:hAnsi="Times New Roman"/>
          <w:sz w:val="24"/>
          <w:szCs w:val="24"/>
          <w:lang w:val="lt-LT"/>
        </w:rPr>
        <w:t>alyvavo 90</w:t>
      </w:r>
      <w:r w:rsidRPr="006E779C">
        <w:rPr>
          <w:rFonts w:ascii="Times New Roman" w:hAnsi="Times New Roman"/>
          <w:sz w:val="24"/>
          <w:szCs w:val="24"/>
          <w:lang w:val="lt-LT"/>
        </w:rPr>
        <w:t>% mokinių.</w:t>
      </w:r>
    </w:p>
    <w:p w:rsidR="00592437" w:rsidRPr="006E779C" w:rsidRDefault="00592437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D6C29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 xml:space="preserve">Molėtų progimnazijos 2014-2015 </w:t>
      </w:r>
      <w:proofErr w:type="spellStart"/>
      <w:r w:rsidRPr="006E779C">
        <w:rPr>
          <w:rFonts w:ascii="Times New Roman" w:hAnsi="Times New Roman"/>
          <w:sz w:val="24"/>
          <w:szCs w:val="24"/>
          <w:lang w:val="lt-LT"/>
        </w:rPr>
        <w:t>m.m</w:t>
      </w:r>
      <w:proofErr w:type="spellEnd"/>
      <w:r w:rsidRPr="006E779C">
        <w:rPr>
          <w:rFonts w:ascii="Times New Roman" w:hAnsi="Times New Roman"/>
          <w:sz w:val="24"/>
          <w:szCs w:val="24"/>
          <w:lang w:val="lt-LT"/>
        </w:rPr>
        <w:t>. olimpiadų, konkursų prizinės vietos:</w:t>
      </w:r>
    </w:p>
    <w:p w:rsidR="007F526D" w:rsidRDefault="007F526D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526D" w:rsidRDefault="007F526D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526D" w:rsidRDefault="007F526D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526D" w:rsidRDefault="007F526D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F526D" w:rsidRDefault="007F526D" w:rsidP="007F526D">
      <w:pPr>
        <w:pStyle w:val="Betarp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2</w:t>
      </w:r>
    </w:p>
    <w:p w:rsidR="007F526D" w:rsidRPr="006E779C" w:rsidRDefault="007F526D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242"/>
        <w:gridCol w:w="381"/>
        <w:gridCol w:w="425"/>
        <w:gridCol w:w="563"/>
        <w:gridCol w:w="236"/>
        <w:gridCol w:w="430"/>
        <w:gridCol w:w="471"/>
        <w:gridCol w:w="265"/>
        <w:gridCol w:w="95"/>
        <w:gridCol w:w="360"/>
        <w:gridCol w:w="360"/>
        <w:gridCol w:w="360"/>
        <w:gridCol w:w="265"/>
        <w:gridCol w:w="95"/>
        <w:gridCol w:w="360"/>
        <w:gridCol w:w="360"/>
        <w:gridCol w:w="360"/>
        <w:gridCol w:w="265"/>
        <w:gridCol w:w="95"/>
        <w:gridCol w:w="360"/>
        <w:gridCol w:w="360"/>
        <w:gridCol w:w="360"/>
        <w:gridCol w:w="265"/>
        <w:gridCol w:w="95"/>
        <w:gridCol w:w="360"/>
        <w:gridCol w:w="360"/>
        <w:gridCol w:w="323"/>
        <w:gridCol w:w="265"/>
        <w:gridCol w:w="95"/>
      </w:tblGrid>
      <w:tr w:rsidR="007D6C29" w:rsidRPr="006E779C" w:rsidTr="007F526D">
        <w:trPr>
          <w:gridAfter w:val="1"/>
          <w:wAfter w:w="95" w:type="dxa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Matematikos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Anglų k.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Meninio skaitymo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Geografijos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Istorijos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79C">
              <w:rPr>
                <w:rFonts w:ascii="Times New Roman" w:hAnsi="Times New Roman"/>
                <w:b/>
                <w:sz w:val="24"/>
                <w:szCs w:val="24"/>
              </w:rPr>
              <w:t>Dailės</w:t>
            </w:r>
          </w:p>
        </w:tc>
      </w:tr>
      <w:tr w:rsidR="007D6C29" w:rsidRPr="006E779C" w:rsidTr="007F526D">
        <w:trPr>
          <w:trHeight w:val="10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Klasės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6C29" w:rsidRPr="006E779C" w:rsidTr="007F526D">
        <w:trPr>
          <w:trHeight w:val="14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I vieta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6C29" w:rsidRPr="006E779C" w:rsidTr="007F526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II vieta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6C29" w:rsidRPr="006E779C" w:rsidTr="007F526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III vieta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C29" w:rsidRPr="006E779C" w:rsidRDefault="007D6C29" w:rsidP="00405F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025C1" w:rsidRPr="006E779C" w:rsidRDefault="005025C1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Regioniniame skaitovų konkurse laimėta II-a vieta.</w:t>
      </w: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Sportiniai laimėjimai</w:t>
      </w: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Rajone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Rudens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kroso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varžybos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6E779C">
        <w:rPr>
          <w:rFonts w:ascii="Times New Roman" w:hAnsi="Times New Roman"/>
          <w:color w:val="000000"/>
          <w:sz w:val="24"/>
          <w:szCs w:val="24"/>
        </w:rPr>
        <w:t>I vieta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79C">
        <w:rPr>
          <w:rFonts w:ascii="Times New Roman" w:hAnsi="Times New Roman"/>
          <w:color w:val="000000"/>
          <w:sz w:val="24"/>
          <w:szCs w:val="24"/>
        </w:rPr>
        <w:t>Pavasario kroso varžybos I vieta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79C">
        <w:rPr>
          <w:rFonts w:ascii="Times New Roman" w:hAnsi="Times New Roman"/>
          <w:color w:val="000000"/>
          <w:sz w:val="24"/>
          <w:szCs w:val="24"/>
        </w:rPr>
        <w:t>Kvadrato mergaičių komanda I vieta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E779C">
        <w:rPr>
          <w:rFonts w:ascii="Times New Roman" w:hAnsi="Times New Roman"/>
          <w:color w:val="000000"/>
          <w:sz w:val="24"/>
          <w:szCs w:val="24"/>
        </w:rPr>
        <w:t>Kvadrato berniukų komanda I vieta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Berniukų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rankinis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Berniukų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futbolo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varžybose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Drąsūs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stiprūs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vikrūs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”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varžybos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Keturkovė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mergaičių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komanda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Keturkovės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berniukų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komanda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Šaškės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6E779C">
        <w:rPr>
          <w:rFonts w:ascii="Times New Roman" w:hAnsi="Times New Roman"/>
          <w:color w:val="000000"/>
          <w:sz w:val="24"/>
          <w:szCs w:val="24"/>
          <w:lang w:val="it-IT"/>
        </w:rPr>
        <w:t>Orientavimosi sportas mergaičių komanda I vieta, berniukų –II vieta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6E779C">
        <w:rPr>
          <w:rFonts w:ascii="Times New Roman" w:hAnsi="Times New Roman"/>
          <w:color w:val="000000"/>
          <w:sz w:val="24"/>
          <w:szCs w:val="24"/>
          <w:lang w:val="it-IT"/>
        </w:rPr>
        <w:t>Smiginis mergaičių komanda I vieta, berniukų II vieta</w:t>
      </w:r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Šaudymas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iš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šautuvo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Šaudymas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iš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pistoleto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5025C1" w:rsidRPr="00A5486D" w:rsidRDefault="007D6C29" w:rsidP="00A5486D">
      <w:pPr>
        <w:pStyle w:val="Sraopastraipa1"/>
        <w:numPr>
          <w:ilvl w:val="0"/>
          <w:numId w:val="3"/>
        </w:num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Stalo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tenisas</w:t>
      </w:r>
      <w:proofErr w:type="spellEnd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 xml:space="preserve"> III </w:t>
      </w:r>
      <w:proofErr w:type="spellStart"/>
      <w:r w:rsidRPr="006E779C">
        <w:rPr>
          <w:rFonts w:ascii="Times New Roman" w:hAnsi="Times New Roman"/>
          <w:color w:val="000000"/>
          <w:sz w:val="24"/>
          <w:szCs w:val="24"/>
          <w:lang w:val="en-US"/>
        </w:rPr>
        <w:t>vieta</w:t>
      </w:r>
      <w:proofErr w:type="spellEnd"/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Zoninėse (olimpinio festivalio) varžybose: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“Drąsūs, stiprūs, vikrūs” mišri komanda II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Futbolas berniukų k.    III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Futbolas mergaičių k.  III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Kvadratas berniukų k.  II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Kvadratas mergaičių k. II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Rankinis berniukų komanda  I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79C">
        <w:rPr>
          <w:rFonts w:ascii="Times New Roman" w:hAnsi="Times New Roman"/>
          <w:sz w:val="24"/>
          <w:szCs w:val="24"/>
        </w:rPr>
        <w:t>Keturkovės</w:t>
      </w:r>
      <w:proofErr w:type="spellEnd"/>
      <w:r w:rsidRPr="006E779C">
        <w:rPr>
          <w:rFonts w:ascii="Times New Roman" w:hAnsi="Times New Roman"/>
          <w:sz w:val="24"/>
          <w:szCs w:val="24"/>
        </w:rPr>
        <w:t xml:space="preserve"> berniukų k. IV vieta</w:t>
      </w:r>
    </w:p>
    <w:p w:rsidR="007D6C29" w:rsidRPr="006E779C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779C">
        <w:rPr>
          <w:rFonts w:ascii="Times New Roman" w:hAnsi="Times New Roman"/>
          <w:sz w:val="24"/>
          <w:szCs w:val="24"/>
        </w:rPr>
        <w:t>Keturkovės</w:t>
      </w:r>
      <w:proofErr w:type="spellEnd"/>
      <w:r w:rsidRPr="006E779C">
        <w:rPr>
          <w:rFonts w:ascii="Times New Roman" w:hAnsi="Times New Roman"/>
          <w:sz w:val="24"/>
          <w:szCs w:val="24"/>
        </w:rPr>
        <w:t xml:space="preserve"> mergaičių k. VI vieta</w:t>
      </w:r>
    </w:p>
    <w:p w:rsidR="005025C1" w:rsidRPr="00A5486D" w:rsidRDefault="007D6C29" w:rsidP="00405F24">
      <w:pPr>
        <w:numPr>
          <w:ilvl w:val="0"/>
          <w:numId w:val="2"/>
        </w:numPr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6E779C">
        <w:rPr>
          <w:rFonts w:ascii="Times New Roman" w:hAnsi="Times New Roman"/>
          <w:sz w:val="24"/>
          <w:szCs w:val="24"/>
        </w:rPr>
        <w:t>Šaudymo iš šautuvo mišri komanda IV vieta</w:t>
      </w:r>
      <w:r w:rsidR="00A5486D">
        <w:rPr>
          <w:rFonts w:ascii="Times New Roman" w:hAnsi="Times New Roman"/>
          <w:sz w:val="24"/>
          <w:szCs w:val="24"/>
        </w:rPr>
        <w:t>.</w:t>
      </w:r>
    </w:p>
    <w:p w:rsidR="007D6C29" w:rsidRPr="006E779C" w:rsidRDefault="007D6C29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>Olimpinio festivalio varžybose iškovota IV vieta respublikoje.</w:t>
      </w:r>
    </w:p>
    <w:p w:rsidR="00C7705E" w:rsidRPr="006E779C" w:rsidRDefault="00C7705E" w:rsidP="00405F24">
      <w:pPr>
        <w:pStyle w:val="Betarp"/>
        <w:jc w:val="both"/>
        <w:rPr>
          <w:rFonts w:ascii="Times New Roman" w:hAnsi="Times New Roman"/>
          <w:sz w:val="24"/>
          <w:szCs w:val="24"/>
          <w:lang w:val="lt-LT"/>
        </w:rPr>
      </w:pPr>
      <w:r w:rsidRPr="006E779C">
        <w:rPr>
          <w:rFonts w:ascii="Times New Roman" w:hAnsi="Times New Roman"/>
          <w:sz w:val="24"/>
          <w:szCs w:val="24"/>
          <w:lang w:val="lt-LT"/>
        </w:rPr>
        <w:t xml:space="preserve">Komandinėse matematikos varžytuvėse  </w:t>
      </w:r>
      <w:proofErr w:type="spellStart"/>
      <w:r w:rsidRPr="006E779C">
        <w:rPr>
          <w:rFonts w:ascii="Times New Roman" w:hAnsi="Times New Roman"/>
          <w:sz w:val="24"/>
          <w:szCs w:val="24"/>
          <w:lang w:val="lt-LT"/>
        </w:rPr>
        <w:t>V.Statulevičiaus</w:t>
      </w:r>
      <w:proofErr w:type="spellEnd"/>
      <w:r w:rsidRPr="006E779C">
        <w:rPr>
          <w:rFonts w:ascii="Times New Roman" w:hAnsi="Times New Roman"/>
          <w:sz w:val="24"/>
          <w:szCs w:val="24"/>
          <w:lang w:val="lt-LT"/>
        </w:rPr>
        <w:t xml:space="preserve"> taurei laimėti iškovota IV vieta.</w:t>
      </w:r>
    </w:p>
    <w:p w:rsidR="00405F24" w:rsidRPr="006E779C" w:rsidRDefault="00405F24" w:rsidP="00405F24">
      <w:pPr>
        <w:jc w:val="both"/>
        <w:rPr>
          <w:rFonts w:ascii="Times New Roman" w:hAnsi="Times New Roman"/>
          <w:sz w:val="24"/>
          <w:szCs w:val="24"/>
        </w:rPr>
      </w:pPr>
    </w:p>
    <w:p w:rsidR="00E03191" w:rsidRPr="006E779C" w:rsidRDefault="005025C1" w:rsidP="00405F24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E779C">
        <w:rPr>
          <w:rFonts w:ascii="Times New Roman" w:hAnsi="Times New Roman"/>
          <w:b/>
          <w:bCs/>
          <w:sz w:val="24"/>
          <w:szCs w:val="24"/>
        </w:rPr>
        <w:t>Pagrindiniai vadovo metų veiklos rezultatai</w:t>
      </w:r>
      <w:r w:rsidR="004C15A3" w:rsidRPr="006E779C">
        <w:rPr>
          <w:rFonts w:ascii="Times New Roman" w:hAnsi="Times New Roman"/>
          <w:b/>
          <w:bCs/>
          <w:sz w:val="24"/>
          <w:szCs w:val="24"/>
        </w:rPr>
        <w:t xml:space="preserve"> pagal pareigybės aprašyme nurodytas funkcijas</w:t>
      </w:r>
    </w:p>
    <w:p w:rsidR="004C15A3" w:rsidRPr="006E779C" w:rsidRDefault="004C15A3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05F24" w:rsidRPr="006E779C" w:rsidRDefault="00C309FD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Parengtas, suderintas ir patvirtintas progimnazijos strateginis 2016-2018 m. veiklos planas.</w:t>
      </w:r>
      <w:r w:rsidR="00405F24" w:rsidRPr="006E779C">
        <w:rPr>
          <w:rFonts w:ascii="Times New Roman" w:hAnsi="Times New Roman"/>
          <w:bCs/>
          <w:sz w:val="24"/>
          <w:szCs w:val="24"/>
        </w:rPr>
        <w:t xml:space="preserve"> </w:t>
      </w:r>
    </w:p>
    <w:p w:rsidR="007F526D" w:rsidRDefault="00C309FD" w:rsidP="00A5486D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Vykdant planinę kadrų politiką 2015 metais atleisti iš darbo 6 mokyklos darbuotojai iš jų 4 pedagoginiai</w:t>
      </w:r>
      <w:r w:rsidR="00C7705E" w:rsidRPr="006E779C">
        <w:rPr>
          <w:rFonts w:ascii="Times New Roman" w:hAnsi="Times New Roman"/>
          <w:bCs/>
          <w:sz w:val="24"/>
          <w:szCs w:val="24"/>
        </w:rPr>
        <w:t xml:space="preserve"> </w:t>
      </w:r>
      <w:r w:rsidRPr="006E779C">
        <w:rPr>
          <w:rFonts w:ascii="Times New Roman" w:hAnsi="Times New Roman"/>
          <w:bCs/>
          <w:sz w:val="24"/>
          <w:szCs w:val="24"/>
        </w:rPr>
        <w:t xml:space="preserve"> ir 2 aptarnaujančio personalo </w:t>
      </w:r>
      <w:proofErr w:type="spellStart"/>
      <w:r w:rsidR="00C7705E" w:rsidRPr="006E779C">
        <w:rPr>
          <w:rFonts w:ascii="Times New Roman" w:hAnsi="Times New Roman"/>
          <w:bCs/>
          <w:sz w:val="24"/>
          <w:szCs w:val="24"/>
        </w:rPr>
        <w:t>pensijinio</w:t>
      </w:r>
      <w:proofErr w:type="spellEnd"/>
      <w:r w:rsidR="00C7705E" w:rsidRPr="006E779C">
        <w:rPr>
          <w:rFonts w:ascii="Times New Roman" w:hAnsi="Times New Roman"/>
          <w:bCs/>
          <w:sz w:val="24"/>
          <w:szCs w:val="24"/>
        </w:rPr>
        <w:t xml:space="preserve"> amžiaus </w:t>
      </w:r>
      <w:r w:rsidRPr="006E779C">
        <w:rPr>
          <w:rFonts w:ascii="Times New Roman" w:hAnsi="Times New Roman"/>
          <w:bCs/>
          <w:sz w:val="24"/>
          <w:szCs w:val="24"/>
        </w:rPr>
        <w:t xml:space="preserve">darbuotojai, o su 2 antraeilininkais </w:t>
      </w:r>
    </w:p>
    <w:p w:rsidR="00C309FD" w:rsidRPr="006E779C" w:rsidRDefault="00C309FD" w:rsidP="00A5486D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nesant krūvio nepratęstos </w:t>
      </w:r>
      <w:r w:rsidR="00B40E74" w:rsidRPr="006E779C">
        <w:rPr>
          <w:rFonts w:ascii="Times New Roman" w:hAnsi="Times New Roman"/>
          <w:bCs/>
          <w:sz w:val="24"/>
          <w:szCs w:val="24"/>
        </w:rPr>
        <w:t xml:space="preserve">darbo </w:t>
      </w:r>
      <w:r w:rsidRPr="006E779C">
        <w:rPr>
          <w:rFonts w:ascii="Times New Roman" w:hAnsi="Times New Roman"/>
          <w:bCs/>
          <w:sz w:val="24"/>
          <w:szCs w:val="24"/>
        </w:rPr>
        <w:t>sutartys</w:t>
      </w:r>
      <w:r w:rsidR="00B40E74" w:rsidRPr="006E779C">
        <w:rPr>
          <w:rFonts w:ascii="Times New Roman" w:hAnsi="Times New Roman"/>
          <w:bCs/>
          <w:sz w:val="24"/>
          <w:szCs w:val="24"/>
        </w:rPr>
        <w:t>. 2015-12-31 d. progimnazijoje dirbo optimalus darbuotojų skaičius</w:t>
      </w:r>
      <w:r w:rsidR="00C7705E" w:rsidRPr="006E779C">
        <w:rPr>
          <w:rFonts w:ascii="Times New Roman" w:hAnsi="Times New Roman"/>
          <w:bCs/>
          <w:sz w:val="24"/>
          <w:szCs w:val="24"/>
        </w:rPr>
        <w:t xml:space="preserve"> - 68</w:t>
      </w:r>
      <w:r w:rsidR="00B40E74" w:rsidRPr="006E779C">
        <w:rPr>
          <w:rFonts w:ascii="Times New Roman" w:hAnsi="Times New Roman"/>
          <w:bCs/>
          <w:sz w:val="24"/>
          <w:szCs w:val="24"/>
        </w:rPr>
        <w:t>.</w:t>
      </w:r>
      <w:r w:rsidR="00405F24" w:rsidRPr="006E779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05F24" w:rsidRPr="006E779C">
        <w:rPr>
          <w:rFonts w:ascii="Times New Roman" w:hAnsi="Times New Roman"/>
          <w:bCs/>
          <w:sz w:val="24"/>
          <w:szCs w:val="24"/>
        </w:rPr>
        <w:t>Pensijinio</w:t>
      </w:r>
      <w:proofErr w:type="spellEnd"/>
      <w:r w:rsidR="00405F24" w:rsidRPr="006E779C">
        <w:rPr>
          <w:rFonts w:ascii="Times New Roman" w:hAnsi="Times New Roman"/>
          <w:bCs/>
          <w:sz w:val="24"/>
          <w:szCs w:val="24"/>
        </w:rPr>
        <w:t xml:space="preserve"> amžiaus mokytojų sumažinta nuo 19</w:t>
      </w:r>
      <w:r w:rsidR="00405F24" w:rsidRPr="006E779C">
        <w:rPr>
          <w:rFonts w:ascii="Times New Roman" w:hAnsi="Times New Roman"/>
          <w:bCs/>
          <w:sz w:val="24"/>
          <w:szCs w:val="24"/>
          <w:lang w:val="en-US"/>
        </w:rPr>
        <w:t xml:space="preserve">% </w:t>
      </w:r>
      <w:r w:rsidR="00405F24" w:rsidRPr="006E779C">
        <w:rPr>
          <w:rFonts w:ascii="Times New Roman" w:hAnsi="Times New Roman"/>
          <w:bCs/>
          <w:sz w:val="24"/>
          <w:szCs w:val="24"/>
        </w:rPr>
        <w:t>iki 13</w:t>
      </w:r>
      <w:r w:rsidR="00405F24" w:rsidRPr="006E779C">
        <w:rPr>
          <w:rFonts w:ascii="Times New Roman" w:hAnsi="Times New Roman"/>
          <w:bCs/>
          <w:sz w:val="24"/>
          <w:szCs w:val="24"/>
          <w:lang w:val="en-US"/>
        </w:rPr>
        <w:t>%.</w:t>
      </w:r>
    </w:p>
    <w:p w:rsidR="00A5486D" w:rsidRDefault="00B40E74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Vykdant ugdymo proceso stebėseną skirtas didelis dėme</w:t>
      </w:r>
      <w:r w:rsidR="00C7705E" w:rsidRPr="006E779C">
        <w:rPr>
          <w:rFonts w:ascii="Times New Roman" w:hAnsi="Times New Roman"/>
          <w:bCs/>
          <w:sz w:val="24"/>
          <w:szCs w:val="24"/>
        </w:rPr>
        <w:t>sys mokinių elgesio prevencijai ir adaptacinio laikotarpio problemoms įveikti. Vykdyta 5-ųjų klasių pamokų stebėsena</w:t>
      </w:r>
      <w:r w:rsidR="00AE4727" w:rsidRPr="006E779C">
        <w:rPr>
          <w:rFonts w:ascii="Times New Roman" w:hAnsi="Times New Roman"/>
          <w:bCs/>
          <w:sz w:val="24"/>
          <w:szCs w:val="24"/>
        </w:rPr>
        <w:t xml:space="preserve"> adaptaciniu </w:t>
      </w:r>
    </w:p>
    <w:p w:rsidR="00A5486D" w:rsidRDefault="00A5486D" w:rsidP="00A5486D">
      <w:pPr>
        <w:ind w:firstLine="42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</w:p>
    <w:p w:rsidR="00B40E74" w:rsidRPr="006E779C" w:rsidRDefault="00AE4727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laikotarpiu. Inicijuota  7c klasės ugdomojo proceso stebėsena siekiant pagerinti klasės mikroklimatą ir elgesį pamokų metu.</w:t>
      </w:r>
    </w:p>
    <w:p w:rsidR="005256B9" w:rsidRPr="006E779C" w:rsidRDefault="005256B9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Gerinant mokykloje  informacijos rinkimą ir sklaidą jos viduje įdiegiau drausmės apskaitos sistemą ir išnaudodamas Google technologijas pagerinau informacijos viešinimą mokyklos bendruomenei (klasių  interaktyvi drausmės ataskaita ir tvarkaraštis mokyklos tinklaraštyje</w:t>
      </w:r>
    </w:p>
    <w:p w:rsidR="00AE4727" w:rsidRPr="006E779C" w:rsidRDefault="00AE4727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Bendradarbiaujant  su Molėtų gimnazija ir Molėtų pradine mokykla vykdyti bendri vadovų pasitarimai ir metodinių grupių susitikimai dėl mokinių adaptavimosi ir mokymosi rezultatų.  </w:t>
      </w:r>
    </w:p>
    <w:p w:rsidR="00AE4727" w:rsidRPr="006E779C" w:rsidRDefault="00AE4727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Vaiko gerovės komisijoje spęsti 5a, 7a ir 7c klasės mokinių elgesio klausimai. </w:t>
      </w:r>
      <w:r w:rsidR="00D514B4" w:rsidRPr="006E779C">
        <w:rPr>
          <w:rFonts w:ascii="Times New Roman" w:hAnsi="Times New Roman"/>
          <w:bCs/>
          <w:sz w:val="24"/>
          <w:szCs w:val="24"/>
        </w:rPr>
        <w:t>Plėtojant bendradarbiavimą su tėvais organizuotas mokinių, jų tėvų ir globėjų susitikimas (trišalis ) su mokyklos mokytojais siekiant aptarti mokinių individualų mokymąsi ir elgesį ir i</w:t>
      </w:r>
      <w:r w:rsidRPr="006E779C">
        <w:rPr>
          <w:rFonts w:ascii="Times New Roman" w:hAnsi="Times New Roman"/>
          <w:bCs/>
          <w:sz w:val="24"/>
          <w:szCs w:val="24"/>
        </w:rPr>
        <w:t>nicijuotas 5a klasės tėvų ir mokytojų susitikimas dėl elgesio problemų turinčių mokinių. Priimti susitarimai.</w:t>
      </w:r>
    </w:p>
    <w:p w:rsidR="00D514B4" w:rsidRPr="006E779C" w:rsidRDefault="00D514B4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Siekiant racionaliai ir efektyviai valdyti mokyklos turtą ir finansinius resursus priimtas ir įgyvendintas sprendimas optimizuoti gamtos mokslams naudojamas patalpas. Visi gamtos mokslai: gamta ir žmogus, biologija, fizika ir chemija naudoja tris  bendras patalpas formaliajam ugdymui iš kurių viena savo jėgomis įkurta gamtamokslinė laboratorija.</w:t>
      </w:r>
    </w:p>
    <w:p w:rsidR="00D514B4" w:rsidRPr="006E779C" w:rsidRDefault="00D514B4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Siekiant aprūpinti mokytojų darbo vietas kompiuterine technika ir programine įranga bei resursais visi mokytojai aprūpinti kompiuteriais ir interneto įranga</w:t>
      </w:r>
      <w:r w:rsidR="00657C5D" w:rsidRPr="006E779C">
        <w:rPr>
          <w:rFonts w:ascii="Times New Roman" w:hAnsi="Times New Roman"/>
          <w:bCs/>
          <w:sz w:val="24"/>
          <w:szCs w:val="24"/>
        </w:rPr>
        <w:t xml:space="preserve">. Įsigyta </w:t>
      </w:r>
      <w:r w:rsidR="001126C5" w:rsidRPr="006E779C">
        <w:rPr>
          <w:rFonts w:ascii="Times New Roman" w:hAnsi="Times New Roman"/>
          <w:bCs/>
          <w:sz w:val="24"/>
          <w:szCs w:val="24"/>
        </w:rPr>
        <w:t xml:space="preserve">nauja interaktyvi lenta. Vienas informatikos kabinetas šiuolaikiškai įrengtas panaudojant virtualias darbo vietas. </w:t>
      </w:r>
    </w:p>
    <w:p w:rsidR="001126C5" w:rsidRPr="006E779C" w:rsidRDefault="001126C5" w:rsidP="00960BA0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Keliant mokytojų IKT kvalifikaciją </w:t>
      </w:r>
      <w:r w:rsidR="000A21FF" w:rsidRPr="006E779C">
        <w:rPr>
          <w:rFonts w:ascii="Times New Roman" w:hAnsi="Times New Roman"/>
          <w:bCs/>
          <w:sz w:val="24"/>
          <w:szCs w:val="24"/>
        </w:rPr>
        <w:t xml:space="preserve">per 2015 metus </w:t>
      </w:r>
      <w:r w:rsidRPr="006E779C">
        <w:rPr>
          <w:rFonts w:ascii="Times New Roman" w:hAnsi="Times New Roman"/>
          <w:bCs/>
          <w:sz w:val="24"/>
          <w:szCs w:val="24"/>
        </w:rPr>
        <w:t>kaip vadovas organizavau 2 mokymus savo mokyklos mokytojams ir per Molėtų ŠC 2 akredituotus mokymus rajono mokyklų komandoms.</w:t>
      </w:r>
    </w:p>
    <w:p w:rsidR="004C15A3" w:rsidRPr="006E779C" w:rsidRDefault="000A21FF" w:rsidP="00A5486D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Vykdant asignavimų valdytojo funkciją MK ir aplinkos lėšos buvo naudojamos pagal patvirtintas metodikas. Ugdymo planas buvo 100</w:t>
      </w:r>
      <w:r w:rsidRPr="006E779C">
        <w:rPr>
          <w:rFonts w:ascii="Times New Roman" w:hAnsi="Times New Roman"/>
          <w:bCs/>
          <w:sz w:val="24"/>
          <w:szCs w:val="24"/>
          <w:lang w:val="en-US"/>
        </w:rPr>
        <w:t>%</w:t>
      </w:r>
      <w:r w:rsidRPr="006E779C">
        <w:rPr>
          <w:rFonts w:ascii="Times New Roman" w:hAnsi="Times New Roman"/>
          <w:bCs/>
          <w:sz w:val="24"/>
          <w:szCs w:val="24"/>
        </w:rPr>
        <w:t xml:space="preserve"> įvykdytas. Finansinius metus baigėme  be kreditorinių įsiskolinimų.  Padedant savivaldybei buvo pritrauktos papildomos lėšos (8000 €) iš VšĮ „Atsakingas verslas“ inicijuoto projekto „VMG mokykla“ naujos kulinarijos klasės įrengimui. Dalyvaujant projekte </w:t>
      </w:r>
      <w:r w:rsidR="002C3452" w:rsidRPr="006E779C">
        <w:rPr>
          <w:rFonts w:ascii="Times New Roman" w:hAnsi="Times New Roman"/>
          <w:spacing w:val="1"/>
          <w:sz w:val="24"/>
          <w:szCs w:val="24"/>
        </w:rPr>
        <w:t>„</w:t>
      </w:r>
      <w:r w:rsidR="002C3452" w:rsidRPr="006E779C">
        <w:rPr>
          <w:rFonts w:ascii="Times New Roman" w:hAnsi="Times New Roman"/>
          <w:sz w:val="24"/>
          <w:szCs w:val="24"/>
        </w:rPr>
        <w:t>T</w:t>
      </w:r>
      <w:r w:rsidR="002C3452" w:rsidRPr="006E779C">
        <w:rPr>
          <w:rFonts w:ascii="Times New Roman" w:hAnsi="Times New Roman"/>
          <w:spacing w:val="-1"/>
          <w:sz w:val="24"/>
          <w:szCs w:val="24"/>
        </w:rPr>
        <w:t>ec</w:t>
      </w:r>
      <w:r w:rsidR="002C3452" w:rsidRPr="006E779C">
        <w:rPr>
          <w:rFonts w:ascii="Times New Roman" w:hAnsi="Times New Roman"/>
          <w:sz w:val="24"/>
          <w:szCs w:val="24"/>
        </w:rPr>
        <w:t>hnol</w:t>
      </w:r>
      <w:r w:rsidR="002C3452" w:rsidRPr="006E779C">
        <w:rPr>
          <w:rFonts w:ascii="Times New Roman" w:hAnsi="Times New Roman"/>
          <w:spacing w:val="3"/>
          <w:sz w:val="24"/>
          <w:szCs w:val="24"/>
        </w:rPr>
        <w:t>o</w:t>
      </w:r>
      <w:r w:rsidR="002C3452" w:rsidRPr="006E779C">
        <w:rPr>
          <w:rFonts w:ascii="Times New Roman" w:hAnsi="Times New Roman"/>
          <w:spacing w:val="-2"/>
          <w:sz w:val="24"/>
          <w:szCs w:val="24"/>
        </w:rPr>
        <w:t>g</w:t>
      </w:r>
      <w:r w:rsidR="002C3452" w:rsidRPr="006E779C">
        <w:rPr>
          <w:rFonts w:ascii="Times New Roman" w:hAnsi="Times New Roman"/>
          <w:sz w:val="24"/>
          <w:szCs w:val="24"/>
        </w:rPr>
        <w:t>i</w:t>
      </w:r>
      <w:r w:rsidR="002C3452" w:rsidRPr="006E779C">
        <w:rPr>
          <w:rFonts w:ascii="Times New Roman" w:hAnsi="Times New Roman"/>
          <w:spacing w:val="1"/>
          <w:sz w:val="24"/>
          <w:szCs w:val="24"/>
        </w:rPr>
        <w:t>j</w:t>
      </w:r>
      <w:r w:rsidR="002C3452" w:rsidRPr="006E779C">
        <w:rPr>
          <w:rFonts w:ascii="Times New Roman" w:hAnsi="Times New Roman"/>
          <w:sz w:val="24"/>
          <w:szCs w:val="24"/>
        </w:rPr>
        <w:t>ų,</w:t>
      </w:r>
      <w:r w:rsidR="002C3452" w:rsidRPr="006E7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3452" w:rsidRPr="006E779C">
        <w:rPr>
          <w:rFonts w:ascii="Times New Roman" w:hAnsi="Times New Roman"/>
          <w:sz w:val="24"/>
          <w:szCs w:val="24"/>
        </w:rPr>
        <w:t>menų</w:t>
      </w:r>
      <w:r w:rsidR="002C3452" w:rsidRPr="006E7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3452" w:rsidRPr="006E779C">
        <w:rPr>
          <w:rFonts w:ascii="Times New Roman" w:hAnsi="Times New Roman"/>
          <w:sz w:val="24"/>
          <w:szCs w:val="24"/>
        </w:rPr>
        <w:t>ir</w:t>
      </w:r>
      <w:r w:rsidR="002C3452" w:rsidRPr="006E7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3452" w:rsidRPr="006E779C">
        <w:rPr>
          <w:rFonts w:ascii="Times New Roman" w:hAnsi="Times New Roman"/>
          <w:spacing w:val="-2"/>
          <w:sz w:val="24"/>
          <w:szCs w:val="24"/>
        </w:rPr>
        <w:t>g</w:t>
      </w:r>
      <w:r w:rsidR="002C3452" w:rsidRPr="006E779C">
        <w:rPr>
          <w:rFonts w:ascii="Times New Roman" w:hAnsi="Times New Roman"/>
          <w:spacing w:val="1"/>
          <w:sz w:val="24"/>
          <w:szCs w:val="24"/>
        </w:rPr>
        <w:t>a</w:t>
      </w:r>
      <w:r w:rsidR="002C3452" w:rsidRPr="006E779C">
        <w:rPr>
          <w:rFonts w:ascii="Times New Roman" w:hAnsi="Times New Roman"/>
          <w:sz w:val="24"/>
          <w:szCs w:val="24"/>
        </w:rPr>
        <w:t>m</w:t>
      </w:r>
      <w:r w:rsidR="002C3452" w:rsidRPr="006E779C">
        <w:rPr>
          <w:rFonts w:ascii="Times New Roman" w:hAnsi="Times New Roman"/>
          <w:spacing w:val="1"/>
          <w:sz w:val="24"/>
          <w:szCs w:val="24"/>
        </w:rPr>
        <w:t>t</w:t>
      </w:r>
      <w:r w:rsidR="002C3452" w:rsidRPr="006E779C">
        <w:rPr>
          <w:rFonts w:ascii="Times New Roman" w:hAnsi="Times New Roman"/>
          <w:sz w:val="24"/>
          <w:szCs w:val="24"/>
        </w:rPr>
        <w:t>os</w:t>
      </w:r>
      <w:r w:rsidR="002C3452" w:rsidRPr="006E779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3452" w:rsidRPr="006E779C">
        <w:rPr>
          <w:rFonts w:ascii="Times New Roman" w:hAnsi="Times New Roman"/>
          <w:sz w:val="24"/>
          <w:szCs w:val="24"/>
        </w:rPr>
        <w:t>mokslų inf</w:t>
      </w:r>
      <w:r w:rsidR="002C3452" w:rsidRPr="006E779C">
        <w:rPr>
          <w:rFonts w:ascii="Times New Roman" w:hAnsi="Times New Roman"/>
          <w:spacing w:val="-1"/>
          <w:sz w:val="24"/>
          <w:szCs w:val="24"/>
        </w:rPr>
        <w:t>ra</w:t>
      </w:r>
      <w:r w:rsidR="002C3452" w:rsidRPr="006E779C">
        <w:rPr>
          <w:rFonts w:ascii="Times New Roman" w:hAnsi="Times New Roman"/>
          <w:sz w:val="24"/>
          <w:szCs w:val="24"/>
        </w:rPr>
        <w:t>struktūr</w:t>
      </w:r>
      <w:r w:rsidR="002C3452" w:rsidRPr="006E779C">
        <w:rPr>
          <w:rFonts w:ascii="Times New Roman" w:hAnsi="Times New Roman"/>
          <w:spacing w:val="-1"/>
          <w:sz w:val="24"/>
          <w:szCs w:val="24"/>
        </w:rPr>
        <w:t>a</w:t>
      </w:r>
      <w:r w:rsidR="002C3452" w:rsidRPr="006E779C">
        <w:rPr>
          <w:rFonts w:ascii="Times New Roman" w:hAnsi="Times New Roman"/>
          <w:sz w:val="24"/>
          <w:szCs w:val="24"/>
        </w:rPr>
        <w:t>“</w:t>
      </w:r>
      <w:r w:rsidR="002C3452" w:rsidRPr="006E779C">
        <w:rPr>
          <w:rFonts w:ascii="Times New Roman" w:hAnsi="Times New Roman"/>
          <w:spacing w:val="6"/>
          <w:sz w:val="24"/>
          <w:szCs w:val="24"/>
        </w:rPr>
        <w:t xml:space="preserve">  įrengta mobiliųjų įrenginių klasė. Projekto vertė 14310 €. </w:t>
      </w:r>
      <w:r w:rsidRPr="006E779C">
        <w:rPr>
          <w:rFonts w:ascii="Times New Roman" w:hAnsi="Times New Roman"/>
          <w:bCs/>
          <w:sz w:val="24"/>
          <w:szCs w:val="24"/>
        </w:rPr>
        <w:t xml:space="preserve"> </w:t>
      </w:r>
      <w:r w:rsidR="00405F24" w:rsidRPr="006E779C">
        <w:rPr>
          <w:rFonts w:ascii="Times New Roman" w:hAnsi="Times New Roman"/>
          <w:bCs/>
          <w:sz w:val="24"/>
          <w:szCs w:val="24"/>
        </w:rPr>
        <w:t xml:space="preserve">Iš paslaugų mokykla per metus papildomai surenka apie 3000 €. </w:t>
      </w:r>
    </w:p>
    <w:p w:rsidR="005025C1" w:rsidRPr="00A5486D" w:rsidRDefault="004C15A3" w:rsidP="00405F24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E779C">
        <w:rPr>
          <w:rFonts w:ascii="Times New Roman" w:hAnsi="Times New Roman"/>
          <w:b/>
          <w:bCs/>
          <w:sz w:val="24"/>
          <w:szCs w:val="24"/>
        </w:rPr>
        <w:t>Praėjusių metų vadovo svarbiausios iniciatyvos ir spęstos problemos bei keliami nauji einamųjų metų uždaviniai ir laukiantys iššūkiai.</w:t>
      </w:r>
    </w:p>
    <w:p w:rsidR="002C3452" w:rsidRPr="006E779C" w:rsidRDefault="002C3452" w:rsidP="00960BA0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Sprendžiant:</w:t>
      </w:r>
    </w:p>
    <w:p w:rsidR="00E91D37" w:rsidRPr="006E779C" w:rsidRDefault="002C3452" w:rsidP="00405F24">
      <w:pPr>
        <w:pStyle w:val="Sraopastraipa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mokinių pamokose ir renginiuose elgesio ir drausmės klausimą pritariant </w:t>
      </w:r>
      <w:r w:rsidR="00A7419D" w:rsidRPr="006E779C">
        <w:rPr>
          <w:rFonts w:ascii="Times New Roman" w:hAnsi="Times New Roman"/>
          <w:bCs/>
          <w:sz w:val="24"/>
          <w:szCs w:val="24"/>
        </w:rPr>
        <w:t>mokytojų ir mokyklos taryboms</w:t>
      </w:r>
      <w:r w:rsidRPr="006E779C">
        <w:rPr>
          <w:rFonts w:ascii="Times New Roman" w:hAnsi="Times New Roman"/>
          <w:bCs/>
          <w:sz w:val="24"/>
          <w:szCs w:val="24"/>
        </w:rPr>
        <w:t xml:space="preserve"> buvo inicijuotas drausmingiausios klasės konkursas ir parengta bei įdiegta drausmės registravimo, stebėjimo, apskaitos ir ataskaitų generavimo sist</w:t>
      </w:r>
      <w:r w:rsidR="00A7419D" w:rsidRPr="006E779C">
        <w:rPr>
          <w:rFonts w:ascii="Times New Roman" w:hAnsi="Times New Roman"/>
          <w:bCs/>
          <w:sz w:val="24"/>
          <w:szCs w:val="24"/>
        </w:rPr>
        <w:t>ema. Jos efektyvumas akivaizdus;</w:t>
      </w:r>
    </w:p>
    <w:p w:rsidR="00A7419D" w:rsidRPr="006E779C" w:rsidRDefault="00A7419D" w:rsidP="00405F24">
      <w:pPr>
        <w:pStyle w:val="Sraopastraipa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lankomumo gerinimo klausimą pritariant mokytojų ir mokyklos taryboms inicijuotas geriausiai pamokas lankančios klasės konkursas.</w:t>
      </w:r>
    </w:p>
    <w:p w:rsidR="00A7419D" w:rsidRPr="006E779C" w:rsidRDefault="00A7419D" w:rsidP="00960BA0">
      <w:pPr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>Šie veiksmai skatina klasių kolektyvus imtis komandinės atsakomybės.</w:t>
      </w:r>
    </w:p>
    <w:p w:rsidR="00A7419D" w:rsidRPr="006E779C" w:rsidRDefault="00A7419D" w:rsidP="00960BA0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Siekiant didinti mokinių pilietinį aktyvumą ir domėjimąsi valstybės istorija bei dalyvavimą valstybės šventėms skirtuose renginiuose ir veikloje, bendradarbiaujant su „Klajūnų klubo“ prezidentu Gintautu Babravičiumi įsijungiama į projektą „Misija Lietuva 100“. Mokyklos bendruomenė imasi iniciatyvos kas metai surengti koncertą Lietuvos valstybės atkūrimo dienos progai. Dalyvaujant šiame projekte Molėtų visuomenei bus pasiūlyti kiti renginiai, kuriuose bus viešinamą </w:t>
      </w:r>
      <w:r w:rsidR="00F064FC" w:rsidRPr="006E779C">
        <w:rPr>
          <w:rFonts w:ascii="Times New Roman" w:hAnsi="Times New Roman"/>
          <w:bCs/>
          <w:sz w:val="24"/>
          <w:szCs w:val="24"/>
        </w:rPr>
        <w:t xml:space="preserve">„Misijos Lietuva 100“ medžiaga ir mūsų mokyklos mokinių veikla šiame projekte. </w:t>
      </w:r>
    </w:p>
    <w:p w:rsidR="00F064FC" w:rsidRPr="006E779C" w:rsidRDefault="00F064FC" w:rsidP="00960BA0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Kitas svarbus strateginis uždavinys – iš esmės pagerinti tiksliųjų, informacinių technologijų ir gamtos mokslų integraciją įgyvendinant STEAM idėjas. Šie mokslai iš esmės keičia ateities kartų išsilavinimą. Mūsų mokykloje pradžia padaryta. Veikia LEGO </w:t>
      </w:r>
      <w:proofErr w:type="spellStart"/>
      <w:r w:rsidRPr="006E779C">
        <w:rPr>
          <w:rFonts w:ascii="Times New Roman" w:hAnsi="Times New Roman"/>
          <w:bCs/>
          <w:sz w:val="24"/>
          <w:szCs w:val="24"/>
        </w:rPr>
        <w:t>robotikos</w:t>
      </w:r>
      <w:proofErr w:type="spellEnd"/>
      <w:r w:rsidRPr="006E779C">
        <w:rPr>
          <w:rFonts w:ascii="Times New Roman" w:hAnsi="Times New Roman"/>
          <w:bCs/>
          <w:sz w:val="24"/>
          <w:szCs w:val="24"/>
        </w:rPr>
        <w:t xml:space="preserve"> būrelis. Ateina laikas plėsti bazę ir integruoti šią neformaliąją veiklą į formalųjį ugdymą.</w:t>
      </w:r>
    </w:p>
    <w:p w:rsidR="00F064FC" w:rsidRPr="006E779C" w:rsidRDefault="00F064FC" w:rsidP="00960BA0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6E779C">
        <w:rPr>
          <w:rFonts w:ascii="Times New Roman" w:hAnsi="Times New Roman"/>
          <w:bCs/>
          <w:sz w:val="24"/>
          <w:szCs w:val="24"/>
        </w:rPr>
        <w:t xml:space="preserve">Labai svarbi mokyklai yra jos pastatų energetinė būklė. 2014 metais atliktas energetinis auditas. Dabar reikia spręsti investicijų klausimą mokyklos pastatų renovacijai. </w:t>
      </w:r>
    </w:p>
    <w:p w:rsidR="002C3452" w:rsidRPr="006E779C" w:rsidRDefault="002C3452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C15A3" w:rsidRPr="006E779C" w:rsidRDefault="009B36E3" w:rsidP="00405F24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Direktorius</w:t>
      </w:r>
      <w:r w:rsidR="00405F24" w:rsidRPr="006E779C">
        <w:rPr>
          <w:rFonts w:ascii="Times New Roman" w:hAnsi="Times New Roman"/>
          <w:bCs/>
          <w:sz w:val="24"/>
          <w:szCs w:val="24"/>
        </w:rPr>
        <w:t xml:space="preserve"> </w:t>
      </w:r>
      <w:r w:rsidR="00405F24" w:rsidRPr="006E779C">
        <w:rPr>
          <w:rFonts w:ascii="Times New Roman" w:hAnsi="Times New Roman"/>
          <w:bCs/>
          <w:sz w:val="24"/>
          <w:szCs w:val="24"/>
        </w:rPr>
        <w:tab/>
      </w:r>
      <w:r w:rsidR="00405F24" w:rsidRPr="006E779C">
        <w:rPr>
          <w:rFonts w:ascii="Times New Roman" w:hAnsi="Times New Roman"/>
          <w:bCs/>
          <w:sz w:val="24"/>
          <w:szCs w:val="24"/>
        </w:rPr>
        <w:tab/>
      </w:r>
      <w:r w:rsidR="00405F24" w:rsidRPr="006E779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405F24" w:rsidRPr="006E779C">
        <w:rPr>
          <w:rFonts w:ascii="Times New Roman" w:hAnsi="Times New Roman"/>
          <w:bCs/>
          <w:sz w:val="24"/>
          <w:szCs w:val="24"/>
        </w:rPr>
        <w:t>Kazimieras Karalius</w:t>
      </w:r>
    </w:p>
    <w:p w:rsidR="004C15A3" w:rsidRPr="006E779C" w:rsidRDefault="004C15A3" w:rsidP="00405F24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4C15A3" w:rsidRPr="006E779C" w:rsidSect="00405F24">
      <w:footerReference w:type="default" r:id="rId7"/>
      <w:pgSz w:w="11906" w:h="16838"/>
      <w:pgMar w:top="993" w:right="991" w:bottom="851" w:left="15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DA" w:rsidRDefault="00F64FDA" w:rsidP="005025C1">
      <w:r>
        <w:separator/>
      </w:r>
    </w:p>
  </w:endnote>
  <w:endnote w:type="continuationSeparator" w:id="0">
    <w:p w:rsidR="00F64FDA" w:rsidRDefault="00F64FDA" w:rsidP="0050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FC" w:rsidRDefault="00F064FC">
    <w:pPr>
      <w:pStyle w:val="Porat"/>
      <w:jc w:val="center"/>
    </w:pPr>
  </w:p>
  <w:p w:rsidR="00F064FC" w:rsidRDefault="00F064F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DA" w:rsidRDefault="00F64FDA" w:rsidP="005025C1">
      <w:r>
        <w:separator/>
      </w:r>
    </w:p>
  </w:footnote>
  <w:footnote w:type="continuationSeparator" w:id="0">
    <w:p w:rsidR="00F64FDA" w:rsidRDefault="00F64FDA" w:rsidP="0050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AEF"/>
    <w:multiLevelType w:val="hybridMultilevel"/>
    <w:tmpl w:val="BB9CF648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9513C7B"/>
    <w:multiLevelType w:val="hybridMultilevel"/>
    <w:tmpl w:val="E8ACAF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65C"/>
    <w:multiLevelType w:val="multilevel"/>
    <w:tmpl w:val="68AAB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CE694A"/>
    <w:multiLevelType w:val="hybridMultilevel"/>
    <w:tmpl w:val="DD7C9E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2D1636"/>
    <w:multiLevelType w:val="hybridMultilevel"/>
    <w:tmpl w:val="0A2EC8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91"/>
    <w:rsid w:val="000A21FF"/>
    <w:rsid w:val="001126C5"/>
    <w:rsid w:val="002C3452"/>
    <w:rsid w:val="00317D7B"/>
    <w:rsid w:val="00373E8C"/>
    <w:rsid w:val="003E3A1A"/>
    <w:rsid w:val="00405F24"/>
    <w:rsid w:val="004950B6"/>
    <w:rsid w:val="004C15A3"/>
    <w:rsid w:val="004D2347"/>
    <w:rsid w:val="005025C1"/>
    <w:rsid w:val="005256B9"/>
    <w:rsid w:val="00592437"/>
    <w:rsid w:val="006108C6"/>
    <w:rsid w:val="00657C5D"/>
    <w:rsid w:val="006B62BD"/>
    <w:rsid w:val="006E779C"/>
    <w:rsid w:val="006F3578"/>
    <w:rsid w:val="007644D5"/>
    <w:rsid w:val="007C35EB"/>
    <w:rsid w:val="007D6C29"/>
    <w:rsid w:val="007F526D"/>
    <w:rsid w:val="00836636"/>
    <w:rsid w:val="00960BA0"/>
    <w:rsid w:val="009A399A"/>
    <w:rsid w:val="009B36E3"/>
    <w:rsid w:val="00A5486D"/>
    <w:rsid w:val="00A549F6"/>
    <w:rsid w:val="00A61A95"/>
    <w:rsid w:val="00A7419D"/>
    <w:rsid w:val="00AC31ED"/>
    <w:rsid w:val="00AE4727"/>
    <w:rsid w:val="00B372B0"/>
    <w:rsid w:val="00B40E74"/>
    <w:rsid w:val="00B72378"/>
    <w:rsid w:val="00C309FD"/>
    <w:rsid w:val="00C376BF"/>
    <w:rsid w:val="00C7705E"/>
    <w:rsid w:val="00C8406D"/>
    <w:rsid w:val="00D514B4"/>
    <w:rsid w:val="00DE062E"/>
    <w:rsid w:val="00E03191"/>
    <w:rsid w:val="00E91D37"/>
    <w:rsid w:val="00F064FC"/>
    <w:rsid w:val="00F1032F"/>
    <w:rsid w:val="00F477ED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6450"/>
  <w15:docId w15:val="{92E849B6-281B-4898-A527-93A18A6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191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76BF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F477ED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77E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77ED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rsid w:val="007D6C29"/>
    <w:pPr>
      <w:spacing w:after="160" w:line="259" w:lineRule="auto"/>
      <w:ind w:left="720"/>
    </w:pPr>
    <w:rPr>
      <w:rFonts w:eastAsia="Times New Roman"/>
    </w:rPr>
  </w:style>
  <w:style w:type="paragraph" w:styleId="Betarp">
    <w:name w:val="No Spacing"/>
    <w:qFormat/>
    <w:rsid w:val="007D6C2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5025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25C1"/>
    <w:rPr>
      <w:rFonts w:ascii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5025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025C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5366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Progimnazija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Kimbartienė Nijolė</cp:lastModifiedBy>
  <cp:revision>2</cp:revision>
  <dcterms:created xsi:type="dcterms:W3CDTF">2016-04-19T16:53:00Z</dcterms:created>
  <dcterms:modified xsi:type="dcterms:W3CDTF">2016-04-19T16:53:00Z</dcterms:modified>
</cp:coreProperties>
</file>