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7F2731E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D90">
        <w:rPr>
          <w:b/>
          <w:caps/>
          <w:noProof/>
        </w:rPr>
        <w:t xml:space="preserve">Molėtų rajono savivaldybės tarybos 2020 m. birželio 25 d. sprendimo nr. b1-162 </w:t>
      </w:r>
      <w:r w:rsidR="001C40DC" w:rsidRPr="001C40DC">
        <w:rPr>
          <w:b/>
          <w:caps/>
          <w:noProof/>
        </w:rPr>
        <w:t>„</w:t>
      </w:r>
      <w:r w:rsidR="00DA3D90">
        <w:rPr>
          <w:b/>
          <w:caps/>
          <w:noProof/>
        </w:rPr>
        <w:t xml:space="preserve">Dėl  </w:t>
      </w:r>
      <w:r w:rsidR="00AA106F" w:rsidRPr="00AA106F">
        <w:rPr>
          <w:b/>
          <w:caps/>
          <w:noProof/>
        </w:rPr>
        <w:t xml:space="preserve">DIDŽIAUSIO LEISTINO  PAREIGYBIŲ SKAIČIAUS MOLĖTŲ RAJONO SAVIVALDYBĖS BIUDŽETINĖSE ĮSTAIGOSE </w:t>
      </w:r>
      <w:r w:rsidR="0069659B">
        <w:rPr>
          <w:b/>
          <w:caps/>
          <w:noProof/>
        </w:rPr>
        <w:t>patvirtinimo</w:t>
      </w:r>
      <w:r w:rsidR="001C40DC" w:rsidRPr="001C40DC">
        <w:rPr>
          <w:b/>
          <w:caps/>
          <w:noProof/>
        </w:rPr>
        <w:t>“</w:t>
      </w:r>
      <w:r w:rsidR="001C40DC">
        <w:rPr>
          <w:b/>
          <w:caps/>
          <w:noProof/>
        </w:rPr>
        <w:t xml:space="preserve"> </w:t>
      </w:r>
      <w:r w:rsidR="00DA3D90">
        <w:rPr>
          <w:b/>
          <w:caps/>
          <w:noProof/>
        </w:rPr>
        <w:t xml:space="preserve">pakeitimo </w:t>
      </w:r>
      <w:r>
        <w:rPr>
          <w:b/>
          <w:caps/>
        </w:rPr>
        <w:fldChar w:fldCharType="end"/>
      </w:r>
      <w:bookmarkEnd w:id="1"/>
      <w:r w:rsidR="00C16EA1">
        <w:rPr>
          <w:b/>
          <w:caps/>
        </w:rPr>
        <w:br/>
      </w:r>
    </w:p>
    <w:p w14:paraId="3BDCC61A" w14:textId="58883C6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3D9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3D9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C4584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53B1D" w14:textId="77777777" w:rsidR="00C16EA1" w:rsidRDefault="00C16EA1" w:rsidP="00D74773">
      <w:pPr>
        <w:tabs>
          <w:tab w:val="left" w:pos="1674"/>
        </w:tabs>
        <w:ind w:firstLine="1247"/>
      </w:pPr>
    </w:p>
    <w:p w14:paraId="45EF2BDB" w14:textId="29044FCF" w:rsidR="00AA106F" w:rsidRPr="00F940AC" w:rsidRDefault="00AA106F" w:rsidP="00AA106F">
      <w:pPr>
        <w:tabs>
          <w:tab w:val="left" w:pos="680"/>
          <w:tab w:val="left" w:pos="1206"/>
        </w:tabs>
        <w:spacing w:line="360" w:lineRule="auto"/>
        <w:ind w:firstLine="1247"/>
        <w:jc w:val="both"/>
      </w:pPr>
      <w:r>
        <w:t xml:space="preserve">Vadovaudamasi Lietuvos Respublikos vietos savivaldos įstatymo 16 straipsnio </w:t>
      </w:r>
      <w:r w:rsidR="008605C3">
        <w:t xml:space="preserve">4 dalimi, </w:t>
      </w:r>
      <w:r>
        <w:t>18 straipsnio 1 dalimi</w:t>
      </w:r>
      <w:r w:rsidR="00625EB6">
        <w:t>, L</w:t>
      </w:r>
      <w:r>
        <w:t xml:space="preserve">ietuvos Respublikos </w:t>
      </w:r>
      <w:r w:rsidR="0045005F">
        <w:t>valstybės tarnybos įstatymo 8 straipsnio 1 dalimi</w:t>
      </w:r>
      <w:r w:rsidR="00336410">
        <w:t xml:space="preserve"> ir </w:t>
      </w:r>
      <w:r w:rsidR="00336410" w:rsidRPr="000F78BA">
        <w:t>atsižvelgdama į</w:t>
      </w:r>
      <w:r w:rsidR="00336410">
        <w:t xml:space="preserve"> </w:t>
      </w:r>
      <w:r w:rsidR="000F78BA">
        <w:t>Molėtų „Vyturėlio“ vaikų lopšeli</w:t>
      </w:r>
      <w:r w:rsidR="007B2FC3">
        <w:t>o</w:t>
      </w:r>
      <w:r w:rsidR="000F78BA">
        <w:t>-darželi</w:t>
      </w:r>
      <w:r w:rsidR="007B2FC3">
        <w:t>o</w:t>
      </w:r>
      <w:r w:rsidR="000F78BA">
        <w:t xml:space="preserve"> 2021 m. gegužės 11 d. prašymą Nr. SD-33 „Dėl didžiausio leistino pareigybių skaičiaus nustatymo“ ir Molėtų krašto muziejaus 2021 m. </w:t>
      </w:r>
      <w:r w:rsidR="000F78BA" w:rsidRPr="00F940AC">
        <w:t>gegužės 12 d. prašymą Nr. R1-64(1.5) „Dėl pareigybių skaičiaus didinimo“</w:t>
      </w:r>
      <w:r w:rsidR="001C40DC" w:rsidRPr="00F940AC">
        <w:t>,</w:t>
      </w:r>
    </w:p>
    <w:p w14:paraId="03725471" w14:textId="77777777" w:rsidR="00AA106F" w:rsidRPr="00F940AC" w:rsidRDefault="00AA106F" w:rsidP="00AA106F">
      <w:pPr>
        <w:tabs>
          <w:tab w:val="left" w:pos="680"/>
          <w:tab w:val="left" w:pos="1206"/>
        </w:tabs>
        <w:spacing w:line="360" w:lineRule="auto"/>
        <w:jc w:val="both"/>
      </w:pPr>
      <w:r w:rsidRPr="00F940AC">
        <w:tab/>
      </w:r>
      <w:r w:rsidRPr="00F940AC">
        <w:tab/>
        <w:t>Molėtų rajono savivaldybės taryba  n u s p r e n d ž i a:</w:t>
      </w:r>
    </w:p>
    <w:p w14:paraId="59A8C2E5" w14:textId="6D626C06" w:rsidR="00035B24" w:rsidRPr="00F940AC" w:rsidRDefault="00AA106F" w:rsidP="00DA3D90">
      <w:pPr>
        <w:tabs>
          <w:tab w:val="left" w:pos="680"/>
          <w:tab w:val="left" w:pos="1206"/>
        </w:tabs>
        <w:spacing w:line="360" w:lineRule="auto"/>
        <w:jc w:val="both"/>
        <w:rPr>
          <w:bCs/>
          <w:noProof/>
        </w:rPr>
      </w:pPr>
      <w:r w:rsidRPr="00F940AC">
        <w:tab/>
      </w:r>
      <w:r w:rsidRPr="00F940AC">
        <w:tab/>
      </w:r>
      <w:r w:rsidR="00DA3D90" w:rsidRPr="00F940AC">
        <w:t xml:space="preserve">Pakeisti Molėtų </w:t>
      </w:r>
      <w:r w:rsidR="00DA3D90" w:rsidRPr="00F940AC">
        <w:rPr>
          <w:bCs/>
          <w:noProof/>
        </w:rPr>
        <w:t>rajono savivaldybės tarybos 2020 m. birželio 25 d. sprendim</w:t>
      </w:r>
      <w:r w:rsidR="001C40DC" w:rsidRPr="00F940AC">
        <w:rPr>
          <w:bCs/>
          <w:noProof/>
        </w:rPr>
        <w:t>ą</w:t>
      </w:r>
      <w:r w:rsidR="00DA3D90" w:rsidRPr="00F940AC">
        <w:rPr>
          <w:bCs/>
          <w:noProof/>
        </w:rPr>
        <w:t xml:space="preserve"> Nr. B1-162 </w:t>
      </w:r>
      <w:r w:rsidR="001C40DC" w:rsidRPr="00F940AC">
        <w:rPr>
          <w:bCs/>
          <w:noProof/>
        </w:rPr>
        <w:t>„</w:t>
      </w:r>
      <w:r w:rsidR="00DA3D90" w:rsidRPr="00F940AC">
        <w:rPr>
          <w:bCs/>
          <w:noProof/>
        </w:rPr>
        <w:t xml:space="preserve">Dėl  didžiausio leistino  pareigybių skaičiaus </w:t>
      </w:r>
      <w:r w:rsidR="001C40DC" w:rsidRPr="00F940AC">
        <w:rPr>
          <w:bCs/>
          <w:noProof/>
        </w:rPr>
        <w:t>M</w:t>
      </w:r>
      <w:r w:rsidR="00DA3D90" w:rsidRPr="00F940AC">
        <w:rPr>
          <w:bCs/>
          <w:noProof/>
        </w:rPr>
        <w:t>olėtų rajono savivaldybės biudžetinėse įstaigose patvirtinimo</w:t>
      </w:r>
      <w:r w:rsidR="001C40DC" w:rsidRPr="00F940AC">
        <w:rPr>
          <w:bCs/>
          <w:noProof/>
        </w:rPr>
        <w:t>“ ir</w:t>
      </w:r>
      <w:r w:rsidR="00DA3D90" w:rsidRPr="00F940AC">
        <w:rPr>
          <w:bCs/>
          <w:noProof/>
        </w:rPr>
        <w:t xml:space="preserve"> </w:t>
      </w:r>
      <w:r w:rsidR="005A6ADE" w:rsidRPr="00F940AC">
        <w:rPr>
          <w:bCs/>
          <w:noProof/>
        </w:rPr>
        <w:t xml:space="preserve">priedo </w:t>
      </w:r>
      <w:r w:rsidR="00DA3D90" w:rsidRPr="00F940AC">
        <w:rPr>
          <w:bCs/>
          <w:noProof/>
        </w:rPr>
        <w:t>6, 19</w:t>
      </w:r>
      <w:r w:rsidR="001C40DC" w:rsidRPr="00F940AC">
        <w:rPr>
          <w:bCs/>
          <w:noProof/>
        </w:rPr>
        <w:t>,</w:t>
      </w:r>
      <w:r w:rsidR="00DA3D90" w:rsidRPr="00F940AC">
        <w:rPr>
          <w:bCs/>
          <w:noProof/>
        </w:rPr>
        <w:t xml:space="preserve"> 21 punkt</w:t>
      </w:r>
      <w:r w:rsidR="005A6ADE" w:rsidRPr="00F940AC">
        <w:rPr>
          <w:bCs/>
          <w:noProof/>
        </w:rPr>
        <w:t>us</w:t>
      </w:r>
      <w:r w:rsidR="00DA3D90" w:rsidRPr="00F940AC">
        <w:rPr>
          <w:bCs/>
          <w:noProof/>
        </w:rPr>
        <w:t xml:space="preserve"> išdėstyti taip:</w:t>
      </w:r>
    </w:p>
    <w:p w14:paraId="3FD24913" w14:textId="12CE196D" w:rsidR="001C40DC" w:rsidRDefault="001C40DC" w:rsidP="00DA3D90">
      <w:pPr>
        <w:tabs>
          <w:tab w:val="left" w:pos="680"/>
          <w:tab w:val="left" w:pos="1206"/>
        </w:tabs>
        <w:spacing w:line="360" w:lineRule="auto"/>
        <w:jc w:val="both"/>
        <w:rPr>
          <w:bCs/>
          <w:noProof/>
        </w:rPr>
      </w:pPr>
      <w:r w:rsidRPr="00F940AC">
        <w:rPr>
          <w:bCs/>
          <w:noProof/>
        </w:rPr>
        <w:t>„</w:t>
      </w:r>
    </w:p>
    <w:tbl>
      <w:tblPr>
        <w:tblW w:w="9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8"/>
        <w:gridCol w:w="1394"/>
        <w:gridCol w:w="1572"/>
        <w:gridCol w:w="1553"/>
      </w:tblGrid>
      <w:tr w:rsidR="000F78BA" w:rsidRPr="00B86B84" w14:paraId="68853737" w14:textId="77777777" w:rsidTr="005A6ADE">
        <w:trPr>
          <w:trHeight w:val="315"/>
        </w:trPr>
        <w:tc>
          <w:tcPr>
            <w:tcW w:w="556" w:type="dxa"/>
            <w:shd w:val="clear" w:color="auto" w:fill="auto"/>
            <w:noWrap/>
            <w:vAlign w:val="bottom"/>
          </w:tcPr>
          <w:p w14:paraId="10F52C68" w14:textId="77777777" w:rsidR="000F78BA" w:rsidRPr="002D56B5" w:rsidRDefault="000F78BA" w:rsidP="00DD7B0B">
            <w:pPr>
              <w:rPr>
                <w:color w:val="000000"/>
                <w:lang w:eastAsia="lt-LT"/>
              </w:rPr>
            </w:pPr>
            <w:r w:rsidRPr="002D56B5">
              <w:rPr>
                <w:color w:val="000000"/>
                <w:lang w:eastAsia="lt-LT"/>
              </w:rPr>
              <w:t>6.</w:t>
            </w:r>
          </w:p>
        </w:tc>
        <w:tc>
          <w:tcPr>
            <w:tcW w:w="4798" w:type="dxa"/>
            <w:shd w:val="clear" w:color="auto" w:fill="auto"/>
            <w:noWrap/>
            <w:vAlign w:val="center"/>
          </w:tcPr>
          <w:p w14:paraId="28B54CE7" w14:textId="77777777" w:rsidR="000F78BA" w:rsidRPr="00B86B84" w:rsidRDefault="000F78BA" w:rsidP="00DD7B0B">
            <w:pPr>
              <w:rPr>
                <w:color w:val="000000"/>
                <w:lang w:eastAsia="lt-LT"/>
              </w:rPr>
            </w:pPr>
            <w:r w:rsidRPr="00B86B84">
              <w:rPr>
                <w:color w:val="000000"/>
                <w:lang w:eastAsia="lt-LT"/>
              </w:rPr>
              <w:t xml:space="preserve">Molėtų krašto muziejus </w:t>
            </w:r>
          </w:p>
        </w:tc>
        <w:tc>
          <w:tcPr>
            <w:tcW w:w="1394" w:type="dxa"/>
            <w:shd w:val="clear" w:color="auto" w:fill="auto"/>
            <w:noWrap/>
            <w:vAlign w:val="bottom"/>
          </w:tcPr>
          <w:p w14:paraId="4E53F975" w14:textId="6601F979" w:rsidR="000F78BA" w:rsidRPr="00B86B84" w:rsidRDefault="00CE70D1" w:rsidP="00DD7B0B">
            <w:pPr>
              <w:jc w:val="right"/>
              <w:rPr>
                <w:b/>
                <w:bCs/>
                <w:color w:val="000000"/>
                <w:lang w:eastAsia="lt-LT"/>
              </w:rPr>
            </w:pPr>
            <w:r>
              <w:rPr>
                <w:b/>
                <w:bCs/>
                <w:color w:val="000000"/>
                <w:lang w:eastAsia="lt-LT"/>
              </w:rPr>
              <w:t>19</w:t>
            </w:r>
          </w:p>
        </w:tc>
        <w:tc>
          <w:tcPr>
            <w:tcW w:w="1572" w:type="dxa"/>
            <w:shd w:val="clear" w:color="auto" w:fill="auto"/>
            <w:noWrap/>
            <w:vAlign w:val="bottom"/>
          </w:tcPr>
          <w:p w14:paraId="0695D88C" w14:textId="61E9C929" w:rsidR="000F78BA" w:rsidRPr="00B86B84" w:rsidRDefault="00CE70D1" w:rsidP="00DD7B0B">
            <w:pPr>
              <w:jc w:val="right"/>
              <w:rPr>
                <w:color w:val="000000"/>
                <w:lang w:eastAsia="lt-LT"/>
              </w:rPr>
            </w:pPr>
            <w:r>
              <w:rPr>
                <w:color w:val="000000"/>
                <w:lang w:eastAsia="lt-LT"/>
              </w:rPr>
              <w:t>19</w:t>
            </w:r>
          </w:p>
        </w:tc>
        <w:tc>
          <w:tcPr>
            <w:tcW w:w="1553" w:type="dxa"/>
            <w:shd w:val="clear" w:color="000000" w:fill="FFFFFF"/>
            <w:noWrap/>
            <w:vAlign w:val="bottom"/>
          </w:tcPr>
          <w:p w14:paraId="3DA11A92" w14:textId="77777777" w:rsidR="000F78BA" w:rsidRPr="00B86B84" w:rsidRDefault="000F78BA" w:rsidP="00DD7B0B">
            <w:pPr>
              <w:jc w:val="right"/>
              <w:rPr>
                <w:color w:val="000000"/>
                <w:lang w:eastAsia="lt-LT"/>
              </w:rPr>
            </w:pPr>
            <w:r w:rsidRPr="00B86B84">
              <w:rPr>
                <w:color w:val="000000"/>
                <w:lang w:eastAsia="lt-LT"/>
              </w:rPr>
              <w:t>0</w:t>
            </w:r>
          </w:p>
        </w:tc>
      </w:tr>
      <w:tr w:rsidR="000F78BA" w:rsidRPr="00B86B84" w14:paraId="4C501E66" w14:textId="77777777" w:rsidTr="005A6ADE">
        <w:trPr>
          <w:trHeight w:val="315"/>
        </w:trPr>
        <w:tc>
          <w:tcPr>
            <w:tcW w:w="556" w:type="dxa"/>
            <w:shd w:val="clear" w:color="auto" w:fill="auto"/>
            <w:noWrap/>
            <w:vAlign w:val="bottom"/>
          </w:tcPr>
          <w:p w14:paraId="148D16AF" w14:textId="77777777" w:rsidR="000F78BA" w:rsidRPr="002D56B5" w:rsidRDefault="000F78BA" w:rsidP="00DD7B0B">
            <w:pPr>
              <w:rPr>
                <w:color w:val="000000"/>
                <w:lang w:eastAsia="lt-LT"/>
              </w:rPr>
            </w:pPr>
            <w:r w:rsidRPr="002D56B5">
              <w:rPr>
                <w:color w:val="000000"/>
                <w:lang w:eastAsia="lt-LT"/>
              </w:rPr>
              <w:t>19.</w:t>
            </w:r>
          </w:p>
        </w:tc>
        <w:tc>
          <w:tcPr>
            <w:tcW w:w="4798" w:type="dxa"/>
            <w:shd w:val="clear" w:color="auto" w:fill="auto"/>
            <w:noWrap/>
            <w:vAlign w:val="center"/>
          </w:tcPr>
          <w:p w14:paraId="03ABE941" w14:textId="77777777" w:rsidR="000F78BA" w:rsidRPr="00B86B84" w:rsidRDefault="000F78BA" w:rsidP="00DD7B0B">
            <w:pPr>
              <w:rPr>
                <w:color w:val="000000"/>
                <w:lang w:eastAsia="lt-LT"/>
              </w:rPr>
            </w:pPr>
            <w:r w:rsidRPr="00B86B84">
              <w:rPr>
                <w:color w:val="000000"/>
                <w:lang w:eastAsia="lt-LT"/>
              </w:rPr>
              <w:t xml:space="preserve">Molėtų „Vyturėlio“ vaikų lopšelis-darželis   </w:t>
            </w:r>
          </w:p>
        </w:tc>
        <w:tc>
          <w:tcPr>
            <w:tcW w:w="1394" w:type="dxa"/>
            <w:shd w:val="clear" w:color="auto" w:fill="auto"/>
            <w:noWrap/>
            <w:vAlign w:val="bottom"/>
          </w:tcPr>
          <w:p w14:paraId="7520267F" w14:textId="3A140D49" w:rsidR="000F78BA" w:rsidRPr="00B86B84" w:rsidRDefault="000F78BA" w:rsidP="00DD7B0B">
            <w:pPr>
              <w:jc w:val="right"/>
              <w:rPr>
                <w:b/>
                <w:bCs/>
                <w:color w:val="000000"/>
                <w:lang w:eastAsia="lt-LT"/>
              </w:rPr>
            </w:pPr>
            <w:r>
              <w:rPr>
                <w:b/>
                <w:bCs/>
                <w:color w:val="000000"/>
                <w:lang w:eastAsia="lt-LT"/>
              </w:rPr>
              <w:t>65,57</w:t>
            </w:r>
          </w:p>
        </w:tc>
        <w:tc>
          <w:tcPr>
            <w:tcW w:w="1572" w:type="dxa"/>
            <w:shd w:val="clear" w:color="auto" w:fill="auto"/>
            <w:noWrap/>
            <w:vAlign w:val="bottom"/>
          </w:tcPr>
          <w:p w14:paraId="6D71C5B4" w14:textId="77777777" w:rsidR="000F78BA" w:rsidRPr="00B86B84" w:rsidRDefault="000F78BA" w:rsidP="00DD7B0B">
            <w:pPr>
              <w:jc w:val="right"/>
              <w:rPr>
                <w:color w:val="000000"/>
                <w:lang w:eastAsia="lt-LT"/>
              </w:rPr>
            </w:pPr>
            <w:r w:rsidRPr="00B86B84">
              <w:rPr>
                <w:color w:val="000000"/>
                <w:lang w:eastAsia="lt-LT"/>
              </w:rPr>
              <w:t>34</w:t>
            </w:r>
          </w:p>
        </w:tc>
        <w:tc>
          <w:tcPr>
            <w:tcW w:w="1553" w:type="dxa"/>
            <w:shd w:val="clear" w:color="000000" w:fill="FFFFFF"/>
            <w:noWrap/>
            <w:vAlign w:val="bottom"/>
          </w:tcPr>
          <w:p w14:paraId="40BA7610" w14:textId="3F74DB6C" w:rsidR="000F78BA" w:rsidRPr="00B86B84" w:rsidRDefault="000F78BA" w:rsidP="00DD7B0B">
            <w:pPr>
              <w:jc w:val="right"/>
              <w:rPr>
                <w:color w:val="000000"/>
                <w:lang w:eastAsia="lt-LT"/>
              </w:rPr>
            </w:pPr>
            <w:r>
              <w:rPr>
                <w:color w:val="000000"/>
                <w:lang w:eastAsia="lt-LT"/>
              </w:rPr>
              <w:t>31,57</w:t>
            </w:r>
          </w:p>
        </w:tc>
      </w:tr>
      <w:tr w:rsidR="000F78BA" w:rsidRPr="00B86B84" w14:paraId="2425356D" w14:textId="77777777" w:rsidTr="005A6ADE">
        <w:trPr>
          <w:trHeight w:val="315"/>
        </w:trPr>
        <w:tc>
          <w:tcPr>
            <w:tcW w:w="556" w:type="dxa"/>
            <w:shd w:val="clear" w:color="auto" w:fill="auto"/>
            <w:noWrap/>
            <w:vAlign w:val="bottom"/>
          </w:tcPr>
          <w:p w14:paraId="7A6628D4" w14:textId="77777777" w:rsidR="000F78BA" w:rsidRPr="002D56B5" w:rsidRDefault="000F78BA" w:rsidP="00DD7B0B">
            <w:pPr>
              <w:rPr>
                <w:color w:val="000000"/>
                <w:lang w:eastAsia="lt-LT"/>
              </w:rPr>
            </w:pPr>
            <w:r w:rsidRPr="002D56B5">
              <w:rPr>
                <w:color w:val="000000"/>
                <w:lang w:eastAsia="lt-LT"/>
              </w:rPr>
              <w:t>21.</w:t>
            </w:r>
          </w:p>
        </w:tc>
        <w:tc>
          <w:tcPr>
            <w:tcW w:w="4798" w:type="dxa"/>
            <w:shd w:val="clear" w:color="auto" w:fill="auto"/>
            <w:noWrap/>
            <w:vAlign w:val="center"/>
          </w:tcPr>
          <w:p w14:paraId="3C3939BD" w14:textId="77777777" w:rsidR="000F78BA" w:rsidRPr="000F78BA" w:rsidRDefault="000F78BA" w:rsidP="00DD7B0B">
            <w:pPr>
              <w:rPr>
                <w:color w:val="000000"/>
                <w:lang w:eastAsia="lt-LT"/>
              </w:rPr>
            </w:pPr>
            <w:r w:rsidRPr="000F78BA">
              <w:rPr>
                <w:color w:val="000000"/>
                <w:lang w:eastAsia="lt-LT"/>
              </w:rPr>
              <w:t>Iš viso</w:t>
            </w:r>
          </w:p>
        </w:tc>
        <w:tc>
          <w:tcPr>
            <w:tcW w:w="1394" w:type="dxa"/>
            <w:shd w:val="clear" w:color="auto" w:fill="auto"/>
            <w:noWrap/>
            <w:vAlign w:val="bottom"/>
          </w:tcPr>
          <w:p w14:paraId="7A68D0B6" w14:textId="7F5474FD" w:rsidR="000F78BA" w:rsidRPr="00B86B84" w:rsidRDefault="00CE70D1" w:rsidP="00DD7B0B">
            <w:pPr>
              <w:jc w:val="right"/>
              <w:rPr>
                <w:b/>
                <w:bCs/>
                <w:color w:val="000000"/>
                <w:lang w:eastAsia="lt-LT"/>
              </w:rPr>
            </w:pPr>
            <w:r>
              <w:rPr>
                <w:b/>
                <w:bCs/>
                <w:color w:val="000000"/>
                <w:lang w:eastAsia="lt-LT"/>
              </w:rPr>
              <w:t>751,13</w:t>
            </w:r>
          </w:p>
        </w:tc>
        <w:tc>
          <w:tcPr>
            <w:tcW w:w="1572" w:type="dxa"/>
            <w:shd w:val="clear" w:color="auto" w:fill="auto"/>
            <w:noWrap/>
            <w:vAlign w:val="bottom"/>
          </w:tcPr>
          <w:p w14:paraId="221BDA25" w14:textId="6A1FA1A1" w:rsidR="000F78BA" w:rsidRPr="000F78BA" w:rsidRDefault="005A6ADE" w:rsidP="00DD7B0B">
            <w:pPr>
              <w:jc w:val="right"/>
              <w:rPr>
                <w:color w:val="000000"/>
                <w:lang w:eastAsia="lt-LT"/>
              </w:rPr>
            </w:pPr>
            <w:r>
              <w:rPr>
                <w:color w:val="000000"/>
                <w:lang w:eastAsia="lt-LT"/>
              </w:rPr>
              <w:t>46</w:t>
            </w:r>
            <w:r w:rsidR="00CE70D1">
              <w:rPr>
                <w:color w:val="000000"/>
                <w:lang w:eastAsia="lt-LT"/>
              </w:rPr>
              <w:t>1</w:t>
            </w:r>
            <w:r>
              <w:rPr>
                <w:color w:val="000000"/>
                <w:lang w:eastAsia="lt-LT"/>
              </w:rPr>
              <w:t>,2</w:t>
            </w:r>
          </w:p>
        </w:tc>
        <w:tc>
          <w:tcPr>
            <w:tcW w:w="1553" w:type="dxa"/>
            <w:shd w:val="clear" w:color="000000" w:fill="FFFFFF"/>
            <w:noWrap/>
            <w:vAlign w:val="bottom"/>
          </w:tcPr>
          <w:p w14:paraId="218C7304" w14:textId="06E39AB9" w:rsidR="000F78BA" w:rsidRPr="000F78BA" w:rsidRDefault="005A6ADE" w:rsidP="00DD7B0B">
            <w:pPr>
              <w:jc w:val="right"/>
              <w:rPr>
                <w:color w:val="000000"/>
                <w:lang w:eastAsia="lt-LT"/>
              </w:rPr>
            </w:pPr>
            <w:r>
              <w:rPr>
                <w:color w:val="000000"/>
                <w:lang w:eastAsia="lt-LT"/>
              </w:rPr>
              <w:t>289,93</w:t>
            </w:r>
          </w:p>
        </w:tc>
      </w:tr>
    </w:tbl>
    <w:p w14:paraId="3A7A4578" w14:textId="66C6E84F" w:rsidR="00C16EA1" w:rsidRDefault="001C40DC" w:rsidP="005A6ADE">
      <w:pPr>
        <w:tabs>
          <w:tab w:val="left" w:pos="680"/>
          <w:tab w:val="left" w:pos="1206"/>
        </w:tabs>
        <w:spacing w:line="360" w:lineRule="auto"/>
        <w:jc w:val="both"/>
      </w:pPr>
      <w:r>
        <w:tab/>
      </w:r>
      <w:r>
        <w:tab/>
      </w:r>
      <w:r>
        <w:tab/>
      </w:r>
      <w:r>
        <w:tab/>
      </w:r>
      <w:r>
        <w:tab/>
      </w:r>
      <w:r>
        <w:tab/>
      </w:r>
      <w:r>
        <w:tab/>
      </w:r>
      <w:r>
        <w:tab/>
      </w:r>
      <w:r>
        <w:tab/>
      </w:r>
      <w:r>
        <w:tab/>
      </w:r>
      <w:r>
        <w:tab/>
      </w:r>
      <w:r>
        <w:tab/>
      </w:r>
      <w:r>
        <w:tab/>
      </w:r>
      <w:r>
        <w:tab/>
      </w:r>
      <w:r>
        <w:tab/>
      </w:r>
      <w:r w:rsidRPr="00F940AC">
        <w:t>„</w:t>
      </w:r>
    </w:p>
    <w:p w14:paraId="2339B99A" w14:textId="77777777" w:rsidR="005A6ADE" w:rsidRDefault="005A6ADE" w:rsidP="005A6ADE">
      <w:pPr>
        <w:spacing w:after="160" w:line="360" w:lineRule="auto"/>
        <w:jc w:val="both"/>
      </w:pPr>
      <w:r>
        <w:tab/>
      </w: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7FC7E77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30840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4D19A6">
            <w:t xml:space="preserve">             </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35B24"/>
    <w:rsid w:val="000F78BA"/>
    <w:rsid w:val="001156B7"/>
    <w:rsid w:val="0012091C"/>
    <w:rsid w:val="00132437"/>
    <w:rsid w:val="001C40DC"/>
    <w:rsid w:val="00211F14"/>
    <w:rsid w:val="00305758"/>
    <w:rsid w:val="00336410"/>
    <w:rsid w:val="00341D56"/>
    <w:rsid w:val="00384B4D"/>
    <w:rsid w:val="003975CE"/>
    <w:rsid w:val="003A375C"/>
    <w:rsid w:val="003A762C"/>
    <w:rsid w:val="003B0597"/>
    <w:rsid w:val="0045005F"/>
    <w:rsid w:val="004968FC"/>
    <w:rsid w:val="004D19A6"/>
    <w:rsid w:val="004F285B"/>
    <w:rsid w:val="00503B36"/>
    <w:rsid w:val="00504780"/>
    <w:rsid w:val="005418DD"/>
    <w:rsid w:val="00561916"/>
    <w:rsid w:val="0056652F"/>
    <w:rsid w:val="005A43D0"/>
    <w:rsid w:val="005A4424"/>
    <w:rsid w:val="005A6ADE"/>
    <w:rsid w:val="005F38B6"/>
    <w:rsid w:val="006213AE"/>
    <w:rsid w:val="00625EB6"/>
    <w:rsid w:val="0069659B"/>
    <w:rsid w:val="00776F64"/>
    <w:rsid w:val="00784321"/>
    <w:rsid w:val="00794407"/>
    <w:rsid w:val="00794C2F"/>
    <w:rsid w:val="007951EA"/>
    <w:rsid w:val="00796C66"/>
    <w:rsid w:val="007A3F5C"/>
    <w:rsid w:val="007B2FC3"/>
    <w:rsid w:val="007B74C2"/>
    <w:rsid w:val="007C306E"/>
    <w:rsid w:val="007E4516"/>
    <w:rsid w:val="008605C3"/>
    <w:rsid w:val="00872337"/>
    <w:rsid w:val="008A401C"/>
    <w:rsid w:val="0093412A"/>
    <w:rsid w:val="009B4614"/>
    <w:rsid w:val="009E70D9"/>
    <w:rsid w:val="00AA106F"/>
    <w:rsid w:val="00AE325A"/>
    <w:rsid w:val="00B12AF4"/>
    <w:rsid w:val="00B82E1D"/>
    <w:rsid w:val="00BA65BB"/>
    <w:rsid w:val="00BB70B1"/>
    <w:rsid w:val="00C16EA1"/>
    <w:rsid w:val="00C62602"/>
    <w:rsid w:val="00CC1DF9"/>
    <w:rsid w:val="00CE70D1"/>
    <w:rsid w:val="00D03D5A"/>
    <w:rsid w:val="00D74773"/>
    <w:rsid w:val="00D8136A"/>
    <w:rsid w:val="00DA3D90"/>
    <w:rsid w:val="00DB7660"/>
    <w:rsid w:val="00DC6469"/>
    <w:rsid w:val="00E032E8"/>
    <w:rsid w:val="00E64EB2"/>
    <w:rsid w:val="00EE645F"/>
    <w:rsid w:val="00EF6A79"/>
    <w:rsid w:val="00F54307"/>
    <w:rsid w:val="00F56AB2"/>
    <w:rsid w:val="00F72D14"/>
    <w:rsid w:val="00F940AC"/>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246</Words>
  <Characters>1750</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2021-05-17T12:51:00Z</dcterms:created>
  <dcterms:modified xsi:type="dcterms:W3CDTF">2021-05-17T12:52:00Z</dcterms:modified>
</cp:coreProperties>
</file>