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96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361A7DE" w14:textId="77777777" w:rsidR="00504780" w:rsidRPr="0093412A" w:rsidRDefault="00504780" w:rsidP="00794C2F">
      <w:pPr>
        <w:spacing w:before="120" w:after="120"/>
        <w:jc w:val="center"/>
        <w:rPr>
          <w:b/>
          <w:spacing w:val="20"/>
          <w:w w:val="110"/>
        </w:rPr>
      </w:pPr>
    </w:p>
    <w:p w14:paraId="3471E7FC" w14:textId="77777777" w:rsidR="00C16EA1" w:rsidRDefault="00C16EA1" w:rsidP="00561916">
      <w:pPr>
        <w:spacing w:after="120"/>
        <w:jc w:val="center"/>
        <w:rPr>
          <w:b/>
          <w:spacing w:val="20"/>
          <w:w w:val="110"/>
          <w:sz w:val="28"/>
        </w:rPr>
      </w:pPr>
      <w:r>
        <w:rPr>
          <w:b/>
          <w:spacing w:val="20"/>
          <w:w w:val="110"/>
          <w:sz w:val="28"/>
        </w:rPr>
        <w:t>SPRENDIMAS</w:t>
      </w:r>
    </w:p>
    <w:p w14:paraId="10DD7D73" w14:textId="69246CE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836EC" w:rsidRPr="009836EC">
        <w:rPr>
          <w:b/>
          <w:caps/>
        </w:rPr>
        <w:t>DĖL MOLĖTŲ RAJONO SAVIVALDYBĖS TARYBOS 2015 M. RUGSĖJO 24 D. SPRENDIMO NR. B1-205 „DĖL MOLĖTŲ RAJONO SAVIVALDYBĖS LANKYTINŲ VIETŲ PAVADINIMŲ SĄRAŠO PATVIRTINIMO“ PAKEITIMO</w:t>
      </w:r>
      <w:r w:rsidR="009836EC">
        <w:rPr>
          <w:b/>
          <w:caps/>
        </w:rPr>
        <w:t> </w:t>
      </w:r>
      <w:r w:rsidR="009836EC">
        <w:rPr>
          <w:b/>
          <w:caps/>
        </w:rPr>
        <w:t> </w:t>
      </w:r>
      <w:r w:rsidR="009836EC">
        <w:rPr>
          <w:b/>
          <w:caps/>
        </w:rPr>
        <w:t> </w:t>
      </w:r>
      <w:r w:rsidR="009836EC">
        <w:rPr>
          <w:b/>
          <w:caps/>
        </w:rPr>
        <w:t> </w:t>
      </w:r>
      <w:r w:rsidR="009836EC">
        <w:rPr>
          <w:b/>
          <w:caps/>
        </w:rPr>
        <w:t> </w:t>
      </w:r>
      <w:r>
        <w:rPr>
          <w:b/>
          <w:caps/>
        </w:rPr>
        <w:fldChar w:fldCharType="end"/>
      </w:r>
      <w:bookmarkEnd w:id="1"/>
      <w:r w:rsidR="00C16EA1">
        <w:rPr>
          <w:b/>
          <w:caps/>
        </w:rPr>
        <w:br/>
      </w:r>
    </w:p>
    <w:p w14:paraId="1C226285" w14:textId="533FBA4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57AE0">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7AE0">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57AE0">
        <w:rPr>
          <w:noProof/>
        </w:rPr>
        <w:t>B1-</w:t>
      </w:r>
      <w:r w:rsidR="004F285B">
        <w:fldChar w:fldCharType="end"/>
      </w:r>
      <w:bookmarkEnd w:id="5"/>
    </w:p>
    <w:p w14:paraId="6E2A5591" w14:textId="77777777" w:rsidR="00C16EA1" w:rsidRDefault="00C16EA1" w:rsidP="00D74773">
      <w:pPr>
        <w:jc w:val="center"/>
      </w:pPr>
      <w:r>
        <w:t>Molėtai</w:t>
      </w:r>
    </w:p>
    <w:p w14:paraId="69217FE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535A8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699840F" w14:textId="3DBFD6E0" w:rsidR="00C16EA1" w:rsidRDefault="00C16EA1" w:rsidP="00D74773">
      <w:pPr>
        <w:tabs>
          <w:tab w:val="left" w:pos="1674"/>
        </w:tabs>
        <w:ind w:firstLine="1247"/>
      </w:pPr>
    </w:p>
    <w:p w14:paraId="03A333B5" w14:textId="77777777" w:rsidR="006511D0" w:rsidRDefault="006511D0" w:rsidP="00D74773">
      <w:pPr>
        <w:tabs>
          <w:tab w:val="left" w:pos="1674"/>
        </w:tabs>
        <w:ind w:firstLine="1247"/>
      </w:pPr>
    </w:p>
    <w:p w14:paraId="4D446668" w14:textId="3A4A58CF" w:rsidR="00757AE0" w:rsidRDefault="00757AE0" w:rsidP="00757AE0">
      <w:pPr>
        <w:spacing w:line="360" w:lineRule="auto"/>
        <w:ind w:firstLine="720"/>
        <w:jc w:val="both"/>
      </w:pPr>
      <w:r w:rsidRPr="006670D6">
        <w:t>Vadovaudamasi Lietuvos Respublikos vietos savivaldos įstatymo 1</w:t>
      </w:r>
      <w:r>
        <w:t>8</w:t>
      </w:r>
      <w:r w:rsidRPr="006670D6">
        <w:t xml:space="preserve"> straipsnio </w:t>
      </w:r>
      <w:r>
        <w:t>1</w:t>
      </w:r>
      <w:r w:rsidRPr="006670D6">
        <w:t xml:space="preserve"> dali</w:t>
      </w:r>
      <w:r>
        <w:t>mi ir atsižvelgdama į viešosios įstaigos Molėtų turizmo ir verslo informacijos centro 2021 m. balandžio 1</w:t>
      </w:r>
      <w:r w:rsidR="0047719E">
        <w:t>6</w:t>
      </w:r>
      <w:r>
        <w:t xml:space="preserve"> d. raštą Nr. SD-13 „Dėl Molėtų rajono lankytinų vietų sąrašo papildymo“,</w:t>
      </w:r>
    </w:p>
    <w:p w14:paraId="54198ABB" w14:textId="77777777" w:rsidR="00757AE0" w:rsidRDefault="00757AE0" w:rsidP="00757AE0">
      <w:pPr>
        <w:spacing w:line="360" w:lineRule="auto"/>
        <w:ind w:firstLine="720"/>
        <w:jc w:val="both"/>
      </w:pPr>
      <w:r w:rsidRPr="006670D6">
        <w:t xml:space="preserve">Molėtų rajono savivaldybės taryba </w:t>
      </w:r>
      <w:r>
        <w:t xml:space="preserve"> </w:t>
      </w:r>
      <w:r w:rsidRPr="006670D6">
        <w:t>n u s p r e n d ž i a</w:t>
      </w:r>
      <w:r>
        <w:t>:</w:t>
      </w:r>
    </w:p>
    <w:p w14:paraId="2408BB31" w14:textId="5FC40A27" w:rsidR="00757AE0" w:rsidRDefault="00757AE0" w:rsidP="006511D0">
      <w:pPr>
        <w:spacing w:line="360" w:lineRule="auto"/>
        <w:ind w:firstLine="720"/>
        <w:jc w:val="both"/>
      </w:pPr>
      <w:r>
        <w:t xml:space="preserve"> Papildyti </w:t>
      </w:r>
      <w:r>
        <w:rPr>
          <w:noProof/>
        </w:rPr>
        <w:t>M</w:t>
      </w:r>
      <w:r w:rsidRPr="00AD472B">
        <w:rPr>
          <w:noProof/>
        </w:rPr>
        <w:t>olėtų rajono savivaldybės lankytinų vietų pavadinimų sąraš</w:t>
      </w:r>
      <w:r>
        <w:rPr>
          <w:noProof/>
        </w:rPr>
        <w:t>ą,</w:t>
      </w:r>
      <w:r>
        <w:t xml:space="preserve"> patvirtintą </w:t>
      </w:r>
      <w:r>
        <w:rPr>
          <w:noProof/>
        </w:rPr>
        <w:t>M</w:t>
      </w:r>
      <w:r w:rsidRPr="00AD472B">
        <w:rPr>
          <w:noProof/>
        </w:rPr>
        <w:t>olėtų rajono savivaldybės tarybos 2015 m. rugsėjo 24 d. sprendim</w:t>
      </w:r>
      <w:r>
        <w:rPr>
          <w:noProof/>
        </w:rPr>
        <w:t>u</w:t>
      </w:r>
      <w:r w:rsidRPr="00AD472B">
        <w:rPr>
          <w:noProof/>
        </w:rPr>
        <w:t xml:space="preserve"> </w:t>
      </w:r>
      <w:r>
        <w:rPr>
          <w:noProof/>
        </w:rPr>
        <w:t>N</w:t>
      </w:r>
      <w:r w:rsidRPr="00AD472B">
        <w:rPr>
          <w:noProof/>
        </w:rPr>
        <w:t xml:space="preserve">r. </w:t>
      </w:r>
      <w:r>
        <w:rPr>
          <w:noProof/>
        </w:rPr>
        <w:t>B</w:t>
      </w:r>
      <w:r w:rsidRPr="00AD472B">
        <w:rPr>
          <w:noProof/>
        </w:rPr>
        <w:t>1-205 „</w:t>
      </w:r>
      <w:r>
        <w:rPr>
          <w:noProof/>
        </w:rPr>
        <w:t>D</w:t>
      </w:r>
      <w:r w:rsidRPr="00AD472B">
        <w:rPr>
          <w:noProof/>
        </w:rPr>
        <w:t xml:space="preserve">ėl </w:t>
      </w:r>
      <w:r>
        <w:rPr>
          <w:noProof/>
        </w:rPr>
        <w:t>M</w:t>
      </w:r>
      <w:r w:rsidRPr="00AD472B">
        <w:rPr>
          <w:noProof/>
        </w:rPr>
        <w:t>olėtų rajono savivaldybės lankytinų vietų pavadinimų sąrašo patvirtinimo“</w:t>
      </w:r>
      <w:r>
        <w:t>,</w:t>
      </w:r>
      <w:r w:rsidRPr="006670D6">
        <w:t xml:space="preserve"> </w:t>
      </w:r>
      <w:r>
        <w:rPr>
          <w:noProof/>
        </w:rPr>
        <w:t xml:space="preserve"> 1.12, 1.13, 1.14, 1.15</w:t>
      </w:r>
      <w:r w:rsidR="00F26651">
        <w:rPr>
          <w:noProof/>
        </w:rPr>
        <w:t>, 1.16</w:t>
      </w:r>
      <w:r>
        <w:rPr>
          <w:noProof/>
        </w:rPr>
        <w:t xml:space="preserve"> eilutėmis ir jas išdėstyti taip:</w:t>
      </w:r>
    </w:p>
    <w:p w14:paraId="7E021014" w14:textId="77777777" w:rsidR="00757AE0" w:rsidRPr="00AD472B" w:rsidRDefault="00757AE0" w:rsidP="006511D0">
      <w:pPr>
        <w:spacing w:line="360" w:lineRule="auto"/>
        <w:ind w:firstLine="720"/>
        <w:jc w:val="both"/>
      </w:pPr>
      <w:r>
        <w:rPr>
          <w:noProof/>
        </w:rPr>
        <w:t>„</w:t>
      </w:r>
    </w:p>
    <w:tbl>
      <w:tblPr>
        <w:tblStyle w:val="Lentelstinklelis"/>
        <w:tblW w:w="9634" w:type="dxa"/>
        <w:tblLook w:val="04A0" w:firstRow="1" w:lastRow="0" w:firstColumn="1" w:lastColumn="0" w:noHBand="0" w:noVBand="1"/>
      </w:tblPr>
      <w:tblGrid>
        <w:gridCol w:w="805"/>
        <w:gridCol w:w="5711"/>
        <w:gridCol w:w="3118"/>
      </w:tblGrid>
      <w:tr w:rsidR="0047719E" w:rsidRPr="009D0BBB" w14:paraId="571F6DEE" w14:textId="77777777" w:rsidTr="002A0F72">
        <w:tc>
          <w:tcPr>
            <w:tcW w:w="805" w:type="dxa"/>
          </w:tcPr>
          <w:p w14:paraId="302FC1D5" w14:textId="66ABEF1E" w:rsidR="0047719E" w:rsidRPr="00F26651" w:rsidRDefault="0047719E" w:rsidP="0047719E">
            <w:pPr>
              <w:spacing w:line="360" w:lineRule="auto"/>
              <w:rPr>
                <w:rFonts w:ascii="Times New Roman" w:hAnsi="Times New Roman"/>
              </w:rPr>
            </w:pPr>
            <w:r w:rsidRPr="00F26651">
              <w:rPr>
                <w:rFonts w:ascii="Times New Roman" w:hAnsi="Times New Roman"/>
              </w:rPr>
              <w:t>1.1</w:t>
            </w:r>
            <w:r w:rsidR="00281CF7" w:rsidRPr="00F26651">
              <w:rPr>
                <w:rFonts w:ascii="Times New Roman" w:hAnsi="Times New Roman"/>
              </w:rPr>
              <w:t>2</w:t>
            </w:r>
            <w:r w:rsidRPr="00F26651">
              <w:rPr>
                <w:rFonts w:ascii="Times New Roman" w:hAnsi="Times New Roman"/>
              </w:rPr>
              <w:t>.</w:t>
            </w:r>
          </w:p>
        </w:tc>
        <w:tc>
          <w:tcPr>
            <w:tcW w:w="5711" w:type="dxa"/>
          </w:tcPr>
          <w:p w14:paraId="332BD7E1" w14:textId="01212182" w:rsidR="0047719E" w:rsidRPr="00281CF7" w:rsidRDefault="0047719E" w:rsidP="00281CF7">
            <w:pPr>
              <w:spacing w:line="360" w:lineRule="auto"/>
              <w:rPr>
                <w:rFonts w:ascii="Times New Roman" w:hAnsi="Times New Roman"/>
                <w:lang w:eastAsia="lt-LT"/>
              </w:rPr>
            </w:pPr>
            <w:r w:rsidRPr="00281CF7">
              <w:rPr>
                <w:rFonts w:ascii="Times New Roman" w:hAnsi="Times New Roman"/>
              </w:rPr>
              <w:t xml:space="preserve">Skulptūra „Kas paleido antį?“ </w:t>
            </w:r>
          </w:p>
        </w:tc>
        <w:tc>
          <w:tcPr>
            <w:tcW w:w="3118" w:type="dxa"/>
          </w:tcPr>
          <w:p w14:paraId="3405A1DD" w14:textId="6F0F1B97" w:rsidR="0047719E" w:rsidRPr="00281CF7" w:rsidRDefault="0047719E" w:rsidP="00281CF7">
            <w:pPr>
              <w:spacing w:line="360" w:lineRule="auto"/>
              <w:rPr>
                <w:rFonts w:ascii="Times New Roman" w:hAnsi="Times New Roman"/>
                <w:lang w:eastAsia="lt-LT"/>
              </w:rPr>
            </w:pPr>
            <w:r w:rsidRPr="00281CF7">
              <w:rPr>
                <w:rFonts w:ascii="Times New Roman" w:hAnsi="Times New Roman"/>
              </w:rPr>
              <w:t>Prie Pastovėlio ež. (šalia S. Nėries g. 16)</w:t>
            </w:r>
          </w:p>
        </w:tc>
      </w:tr>
      <w:tr w:rsidR="0047719E" w:rsidRPr="009D0BBB" w14:paraId="20D4EA46" w14:textId="77777777" w:rsidTr="002A0F72">
        <w:tc>
          <w:tcPr>
            <w:tcW w:w="805" w:type="dxa"/>
          </w:tcPr>
          <w:p w14:paraId="6BC92AB6" w14:textId="628D1118" w:rsidR="0047719E" w:rsidRPr="00F26651" w:rsidRDefault="0047719E" w:rsidP="0047719E">
            <w:pPr>
              <w:spacing w:line="360" w:lineRule="auto"/>
              <w:rPr>
                <w:rFonts w:ascii="Times New Roman" w:hAnsi="Times New Roman"/>
              </w:rPr>
            </w:pPr>
            <w:r w:rsidRPr="00F26651">
              <w:rPr>
                <w:rFonts w:ascii="Times New Roman" w:hAnsi="Times New Roman"/>
              </w:rPr>
              <w:t>1.1</w:t>
            </w:r>
            <w:r w:rsidR="00281CF7" w:rsidRPr="00F26651">
              <w:rPr>
                <w:rFonts w:ascii="Times New Roman" w:hAnsi="Times New Roman"/>
              </w:rPr>
              <w:t>3</w:t>
            </w:r>
            <w:r w:rsidRPr="00F26651">
              <w:rPr>
                <w:rFonts w:ascii="Times New Roman" w:hAnsi="Times New Roman"/>
              </w:rPr>
              <w:t>.</w:t>
            </w:r>
          </w:p>
        </w:tc>
        <w:tc>
          <w:tcPr>
            <w:tcW w:w="5711" w:type="dxa"/>
          </w:tcPr>
          <w:p w14:paraId="1F786D7F" w14:textId="2BCF05CF" w:rsidR="0047719E" w:rsidRPr="00281CF7" w:rsidRDefault="0047719E" w:rsidP="00281CF7">
            <w:pPr>
              <w:spacing w:line="360" w:lineRule="auto"/>
              <w:rPr>
                <w:rFonts w:ascii="Times New Roman" w:hAnsi="Times New Roman"/>
                <w:lang w:eastAsia="lt-LT"/>
              </w:rPr>
            </w:pPr>
            <w:r w:rsidRPr="00281CF7">
              <w:rPr>
                <w:rFonts w:ascii="Times New Roman" w:hAnsi="Times New Roman"/>
                <w:lang w:eastAsia="lt-LT"/>
              </w:rPr>
              <w:t>Skulptūra „Žvejo batai“</w:t>
            </w:r>
          </w:p>
        </w:tc>
        <w:tc>
          <w:tcPr>
            <w:tcW w:w="3118" w:type="dxa"/>
          </w:tcPr>
          <w:p w14:paraId="6A0D71D5" w14:textId="319D9694" w:rsidR="0047719E" w:rsidRPr="00281CF7" w:rsidRDefault="0047719E" w:rsidP="00281CF7">
            <w:pPr>
              <w:spacing w:line="360" w:lineRule="auto"/>
              <w:rPr>
                <w:rFonts w:ascii="Times New Roman" w:hAnsi="Times New Roman"/>
                <w:lang w:eastAsia="lt-LT"/>
              </w:rPr>
            </w:pPr>
            <w:r w:rsidRPr="00281CF7">
              <w:rPr>
                <w:rFonts w:ascii="Times New Roman" w:hAnsi="Times New Roman"/>
              </w:rPr>
              <w:t>Prie Pastovėlio ež. (Jaunimo</w:t>
            </w:r>
            <w:r w:rsidR="001F59D2">
              <w:rPr>
                <w:rFonts w:ascii="Times New Roman" w:hAnsi="Times New Roman"/>
              </w:rPr>
              <w:t xml:space="preserve"> g.</w:t>
            </w:r>
            <w:r w:rsidRPr="00281CF7">
              <w:rPr>
                <w:rFonts w:ascii="Times New Roman" w:hAnsi="Times New Roman"/>
              </w:rPr>
              <w:t xml:space="preserve"> ir Inturkės g. sankryža)</w:t>
            </w:r>
          </w:p>
        </w:tc>
      </w:tr>
      <w:tr w:rsidR="00F26651" w:rsidRPr="009D0BBB" w14:paraId="719FCC90" w14:textId="77777777" w:rsidTr="002A0F72">
        <w:tc>
          <w:tcPr>
            <w:tcW w:w="805" w:type="dxa"/>
          </w:tcPr>
          <w:p w14:paraId="621477BF" w14:textId="0B75AEBE" w:rsidR="00F26651" w:rsidRPr="00F26651" w:rsidRDefault="00F26651" w:rsidP="00F26651">
            <w:pPr>
              <w:spacing w:line="360" w:lineRule="auto"/>
              <w:rPr>
                <w:rFonts w:ascii="Times New Roman" w:hAnsi="Times New Roman"/>
              </w:rPr>
            </w:pPr>
            <w:r w:rsidRPr="00F26651">
              <w:rPr>
                <w:rFonts w:ascii="Times New Roman" w:hAnsi="Times New Roman"/>
              </w:rPr>
              <w:t>1.14.</w:t>
            </w:r>
          </w:p>
        </w:tc>
        <w:tc>
          <w:tcPr>
            <w:tcW w:w="5711" w:type="dxa"/>
          </w:tcPr>
          <w:p w14:paraId="4642C8AE" w14:textId="62CDB12F" w:rsidR="00F26651" w:rsidRPr="00281CF7" w:rsidRDefault="00F26651" w:rsidP="00F26651">
            <w:pPr>
              <w:spacing w:line="360" w:lineRule="auto"/>
              <w:rPr>
                <w:lang w:eastAsia="lt-LT"/>
              </w:rPr>
            </w:pPr>
            <w:r w:rsidRPr="00F26651">
              <w:rPr>
                <w:rFonts w:ascii="Times New Roman" w:hAnsi="Times New Roman"/>
              </w:rPr>
              <w:t>Skulptūra „Pabalnota žuvis“</w:t>
            </w:r>
          </w:p>
        </w:tc>
        <w:tc>
          <w:tcPr>
            <w:tcW w:w="3118" w:type="dxa"/>
          </w:tcPr>
          <w:p w14:paraId="0B19A371" w14:textId="6A7172EF" w:rsidR="00F26651" w:rsidRPr="00281CF7" w:rsidRDefault="00F26651" w:rsidP="00F26651">
            <w:pPr>
              <w:spacing w:line="360" w:lineRule="auto"/>
            </w:pPr>
            <w:r w:rsidRPr="00F26651">
              <w:rPr>
                <w:rFonts w:ascii="Times New Roman" w:hAnsi="Times New Roman"/>
              </w:rPr>
              <w:t xml:space="preserve">Prie Pastovėlio ež. (Jaunimo </w:t>
            </w:r>
            <w:r w:rsidR="001F59D2">
              <w:rPr>
                <w:rFonts w:ascii="Times New Roman" w:hAnsi="Times New Roman"/>
              </w:rPr>
              <w:t xml:space="preserve">g. </w:t>
            </w:r>
            <w:r w:rsidRPr="00F26651">
              <w:rPr>
                <w:rFonts w:ascii="Times New Roman" w:hAnsi="Times New Roman"/>
              </w:rPr>
              <w:t>ir Inturkės g. sankryža)</w:t>
            </w:r>
          </w:p>
        </w:tc>
      </w:tr>
      <w:tr w:rsidR="00F26651" w:rsidRPr="009D0BBB" w14:paraId="015683F1" w14:textId="77777777" w:rsidTr="002A0F72">
        <w:tc>
          <w:tcPr>
            <w:tcW w:w="805" w:type="dxa"/>
          </w:tcPr>
          <w:p w14:paraId="232C3681" w14:textId="48253DEC" w:rsidR="00F26651" w:rsidRPr="00F26651" w:rsidRDefault="00F26651" w:rsidP="00F26651">
            <w:pPr>
              <w:spacing w:line="360" w:lineRule="auto"/>
              <w:rPr>
                <w:rFonts w:ascii="Times New Roman" w:hAnsi="Times New Roman"/>
              </w:rPr>
            </w:pPr>
            <w:r w:rsidRPr="00F26651">
              <w:rPr>
                <w:rFonts w:ascii="Times New Roman" w:hAnsi="Times New Roman"/>
              </w:rPr>
              <w:t>1.15.</w:t>
            </w:r>
          </w:p>
        </w:tc>
        <w:tc>
          <w:tcPr>
            <w:tcW w:w="5711" w:type="dxa"/>
          </w:tcPr>
          <w:p w14:paraId="7233B9BE" w14:textId="67488B0B" w:rsidR="00F26651" w:rsidRPr="00281CF7" w:rsidRDefault="00F26651" w:rsidP="00F26651">
            <w:pPr>
              <w:spacing w:line="360" w:lineRule="auto"/>
              <w:rPr>
                <w:rFonts w:ascii="Times New Roman" w:hAnsi="Times New Roman"/>
                <w:bCs/>
              </w:rPr>
            </w:pPr>
            <w:r w:rsidRPr="00281CF7">
              <w:rPr>
                <w:rFonts w:ascii="Times New Roman" w:hAnsi="Times New Roman"/>
              </w:rPr>
              <w:t xml:space="preserve">Skulptūra „Molėtų vardas“ </w:t>
            </w:r>
          </w:p>
        </w:tc>
        <w:tc>
          <w:tcPr>
            <w:tcW w:w="3118" w:type="dxa"/>
          </w:tcPr>
          <w:p w14:paraId="4569A7C8" w14:textId="650B18E9" w:rsidR="00F26651" w:rsidRPr="00281CF7" w:rsidRDefault="00F26651" w:rsidP="00F26651">
            <w:pPr>
              <w:spacing w:line="360" w:lineRule="auto"/>
              <w:rPr>
                <w:rFonts w:ascii="Times New Roman" w:hAnsi="Times New Roman"/>
                <w:bCs/>
              </w:rPr>
            </w:pPr>
            <w:r w:rsidRPr="00281CF7">
              <w:rPr>
                <w:rFonts w:ascii="Times New Roman" w:hAnsi="Times New Roman"/>
              </w:rPr>
              <w:t xml:space="preserve">Inturkės g. 4 </w:t>
            </w:r>
          </w:p>
        </w:tc>
      </w:tr>
      <w:tr w:rsidR="00F26651" w14:paraId="1794C213" w14:textId="77777777" w:rsidTr="0047719E">
        <w:tc>
          <w:tcPr>
            <w:tcW w:w="805" w:type="dxa"/>
            <w:hideMark/>
          </w:tcPr>
          <w:p w14:paraId="6F1077AF" w14:textId="4AAF1238" w:rsidR="00F26651" w:rsidRPr="00F26651" w:rsidRDefault="00F26651" w:rsidP="00F26651">
            <w:pPr>
              <w:spacing w:line="360" w:lineRule="auto"/>
              <w:rPr>
                <w:rFonts w:ascii="Times New Roman" w:hAnsi="Times New Roman"/>
              </w:rPr>
            </w:pPr>
            <w:r w:rsidRPr="00F26651">
              <w:rPr>
                <w:rFonts w:ascii="Times New Roman" w:hAnsi="Times New Roman"/>
              </w:rPr>
              <w:t>1.16.</w:t>
            </w:r>
          </w:p>
        </w:tc>
        <w:tc>
          <w:tcPr>
            <w:tcW w:w="5711" w:type="dxa"/>
          </w:tcPr>
          <w:p w14:paraId="65CC6B2F" w14:textId="75C77C68" w:rsidR="00F26651" w:rsidRPr="00281CF7" w:rsidRDefault="00F26651" w:rsidP="00F26651">
            <w:pPr>
              <w:spacing w:line="360" w:lineRule="auto"/>
              <w:rPr>
                <w:rFonts w:ascii="Times New Roman" w:hAnsi="Times New Roman"/>
              </w:rPr>
            </w:pPr>
            <w:r w:rsidRPr="00281CF7">
              <w:rPr>
                <w:rFonts w:ascii="Times New Roman" w:hAnsi="Times New Roman"/>
              </w:rPr>
              <w:t>Skulptūra „Laiškas Lietuvai“</w:t>
            </w:r>
          </w:p>
        </w:tc>
        <w:tc>
          <w:tcPr>
            <w:tcW w:w="3118" w:type="dxa"/>
          </w:tcPr>
          <w:p w14:paraId="6E38E421" w14:textId="6D36E37E" w:rsidR="00F26651" w:rsidRPr="00281CF7" w:rsidRDefault="00F26651" w:rsidP="00F26651">
            <w:pPr>
              <w:spacing w:line="360" w:lineRule="auto"/>
              <w:rPr>
                <w:rFonts w:ascii="Times New Roman" w:hAnsi="Times New Roman"/>
              </w:rPr>
            </w:pPr>
            <w:r w:rsidRPr="00281CF7">
              <w:rPr>
                <w:rFonts w:ascii="Times New Roman" w:hAnsi="Times New Roman"/>
              </w:rPr>
              <w:t>Vilniaus</w:t>
            </w:r>
            <w:r w:rsidR="00D34AA0">
              <w:rPr>
                <w:rFonts w:ascii="Times New Roman" w:hAnsi="Times New Roman"/>
              </w:rPr>
              <w:t xml:space="preserve"> g.</w:t>
            </w:r>
            <w:r w:rsidRPr="00281CF7">
              <w:rPr>
                <w:rFonts w:ascii="Times New Roman" w:hAnsi="Times New Roman"/>
              </w:rPr>
              <w:t xml:space="preserve"> ir Inturkės g. sankryža</w:t>
            </w:r>
          </w:p>
        </w:tc>
      </w:tr>
    </w:tbl>
    <w:p w14:paraId="3B93B292" w14:textId="79804D14" w:rsidR="0053076D" w:rsidRDefault="00757AE0" w:rsidP="006511D0">
      <w:pPr>
        <w:spacing w:line="360" w:lineRule="auto"/>
        <w:ind w:firstLine="720"/>
        <w:jc w:val="right"/>
      </w:pPr>
      <w:r>
        <w:t>„</w:t>
      </w:r>
    </w:p>
    <w:p w14:paraId="070B2BEA" w14:textId="77777777" w:rsidR="0053076D" w:rsidRDefault="0053076D" w:rsidP="006511D0">
      <w:pPr>
        <w:spacing w:line="360" w:lineRule="auto"/>
        <w:ind w:firstLine="900"/>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04E841C" w14:textId="77777777" w:rsidR="006511D0" w:rsidRDefault="006511D0" w:rsidP="006511D0">
      <w:pPr>
        <w:spacing w:line="360" w:lineRule="auto"/>
        <w:ind w:firstLine="900"/>
        <w:jc w:val="both"/>
      </w:pPr>
    </w:p>
    <w:p w14:paraId="1D42153F" w14:textId="77777777" w:rsidR="006511D0" w:rsidRDefault="006511D0" w:rsidP="006511D0">
      <w:pPr>
        <w:spacing w:line="360" w:lineRule="auto"/>
        <w:ind w:firstLine="900"/>
        <w:jc w:val="both"/>
      </w:pPr>
    </w:p>
    <w:p w14:paraId="42379D6B" w14:textId="0F2F1B96" w:rsidR="006511D0" w:rsidRDefault="006511D0" w:rsidP="006511D0">
      <w:pPr>
        <w:spacing w:line="360" w:lineRule="auto"/>
        <w:ind w:firstLine="900"/>
        <w:jc w:val="both"/>
        <w:rPr>
          <w:lang w:eastAsia="lt-LT"/>
        </w:rPr>
        <w:sectPr w:rsidR="006511D0">
          <w:type w:val="continuous"/>
          <w:pgSz w:w="11906" w:h="16838" w:code="9"/>
          <w:pgMar w:top="1134" w:right="567" w:bottom="1134" w:left="1701" w:header="851" w:footer="454" w:gutter="0"/>
          <w:cols w:space="708"/>
          <w:formProt w:val="0"/>
          <w:docGrid w:linePitch="360"/>
        </w:sectPr>
      </w:pPr>
    </w:p>
    <w:p w14:paraId="6A9EF1D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6EB12C2F" w14:textId="77777777" w:rsidR="007951EA" w:rsidRDefault="007951EA" w:rsidP="007951EA">
      <w:pPr>
        <w:tabs>
          <w:tab w:val="left" w:pos="680"/>
          <w:tab w:val="left" w:pos="1674"/>
        </w:tabs>
        <w:spacing w:line="360" w:lineRule="auto"/>
      </w:pPr>
    </w:p>
    <w:p w14:paraId="1DF8E7C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E1B6D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C40C" w14:textId="77777777" w:rsidR="00502691" w:rsidRDefault="00502691">
      <w:r>
        <w:separator/>
      </w:r>
    </w:p>
  </w:endnote>
  <w:endnote w:type="continuationSeparator" w:id="0">
    <w:p w14:paraId="669A419A" w14:textId="77777777" w:rsidR="00502691" w:rsidRDefault="0050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2675" w14:textId="77777777" w:rsidR="00502691" w:rsidRDefault="00502691">
      <w:r>
        <w:separator/>
      </w:r>
    </w:p>
  </w:footnote>
  <w:footnote w:type="continuationSeparator" w:id="0">
    <w:p w14:paraId="5CD578F0" w14:textId="77777777" w:rsidR="00502691" w:rsidRDefault="0050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C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5770F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44B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6714B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9F2B" w14:textId="77777777" w:rsidR="00C16EA1" w:rsidRDefault="00384B4D">
    <w:pPr>
      <w:pStyle w:val="Antrats"/>
      <w:jc w:val="center"/>
    </w:pPr>
    <w:r>
      <w:rPr>
        <w:noProof/>
        <w:lang w:eastAsia="lt-LT"/>
      </w:rPr>
      <w:drawing>
        <wp:inline distT="0" distB="0" distL="0" distR="0" wp14:anchorId="77E3F54A" wp14:editId="7F46206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1156B7"/>
    <w:rsid w:val="0012091C"/>
    <w:rsid w:val="00132437"/>
    <w:rsid w:val="001F59D2"/>
    <w:rsid w:val="00211F14"/>
    <w:rsid w:val="00281CF7"/>
    <w:rsid w:val="00305758"/>
    <w:rsid w:val="00341D56"/>
    <w:rsid w:val="00384B4D"/>
    <w:rsid w:val="003975CE"/>
    <w:rsid w:val="003A762C"/>
    <w:rsid w:val="0047719E"/>
    <w:rsid w:val="004968FC"/>
    <w:rsid w:val="004D19A6"/>
    <w:rsid w:val="004F285B"/>
    <w:rsid w:val="00502691"/>
    <w:rsid w:val="00503B36"/>
    <w:rsid w:val="00504780"/>
    <w:rsid w:val="0053076D"/>
    <w:rsid w:val="00561916"/>
    <w:rsid w:val="005A4424"/>
    <w:rsid w:val="005F38B6"/>
    <w:rsid w:val="006213AE"/>
    <w:rsid w:val="006511D0"/>
    <w:rsid w:val="00723F0E"/>
    <w:rsid w:val="00757AE0"/>
    <w:rsid w:val="00776F64"/>
    <w:rsid w:val="00794407"/>
    <w:rsid w:val="00794C2F"/>
    <w:rsid w:val="007951EA"/>
    <w:rsid w:val="00796C66"/>
    <w:rsid w:val="007A3F5C"/>
    <w:rsid w:val="007E4516"/>
    <w:rsid w:val="00872337"/>
    <w:rsid w:val="008A401C"/>
    <w:rsid w:val="0093412A"/>
    <w:rsid w:val="009836EC"/>
    <w:rsid w:val="009A1335"/>
    <w:rsid w:val="009B4614"/>
    <w:rsid w:val="009E70D9"/>
    <w:rsid w:val="00AE325A"/>
    <w:rsid w:val="00B26DF8"/>
    <w:rsid w:val="00BA65BB"/>
    <w:rsid w:val="00BB70B1"/>
    <w:rsid w:val="00C16EA1"/>
    <w:rsid w:val="00CC1DF9"/>
    <w:rsid w:val="00D03D5A"/>
    <w:rsid w:val="00D34AA0"/>
    <w:rsid w:val="00D74773"/>
    <w:rsid w:val="00D8136A"/>
    <w:rsid w:val="00DB7660"/>
    <w:rsid w:val="00DC6469"/>
    <w:rsid w:val="00E032E8"/>
    <w:rsid w:val="00EE645F"/>
    <w:rsid w:val="00EF6A79"/>
    <w:rsid w:val="00F26651"/>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24A2C"/>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uiPriority w:val="59"/>
    <w:rsid w:val="00757A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757AE0"/>
  </w:style>
  <w:style w:type="paragraph" w:styleId="Sraopastraipa">
    <w:name w:val="List Paragraph"/>
    <w:basedOn w:val="prastasis"/>
    <w:uiPriority w:val="34"/>
    <w:qFormat/>
    <w:rsid w:val="00757AE0"/>
    <w:pPr>
      <w:ind w:left="720"/>
      <w:contextualSpacing/>
    </w:pPr>
  </w:style>
  <w:style w:type="character" w:customStyle="1" w:styleId="address">
    <w:name w:val="address"/>
    <w:rsid w:val="00757AE0"/>
  </w:style>
  <w:style w:type="paragraph" w:styleId="Betarp">
    <w:name w:val="No Spacing"/>
    <w:uiPriority w:val="1"/>
    <w:qFormat/>
    <w:rsid w:val="00757AE0"/>
    <w:rPr>
      <w:rFonts w:eastAsia="Calibri"/>
      <w:sz w:val="24"/>
      <w:szCs w:val="22"/>
      <w:lang w:eastAsia="en-US"/>
    </w:rPr>
  </w:style>
  <w:style w:type="character" w:styleId="Komentaronuoroda">
    <w:name w:val="annotation reference"/>
    <w:uiPriority w:val="99"/>
    <w:unhideWhenUsed/>
    <w:rsid w:val="0047719E"/>
    <w:rPr>
      <w:sz w:val="16"/>
      <w:szCs w:val="16"/>
    </w:rPr>
  </w:style>
  <w:style w:type="paragraph" w:styleId="Komentarotekstas">
    <w:name w:val="annotation text"/>
    <w:basedOn w:val="prastasis"/>
    <w:link w:val="KomentarotekstasDiagrama"/>
    <w:uiPriority w:val="99"/>
    <w:unhideWhenUsed/>
    <w:rsid w:val="0047719E"/>
    <w:rPr>
      <w:sz w:val="20"/>
      <w:szCs w:val="20"/>
      <w:lang w:eastAsia="lt-LT"/>
    </w:rPr>
  </w:style>
  <w:style w:type="character" w:customStyle="1" w:styleId="KomentarotekstasDiagrama">
    <w:name w:val="Komentaro tekstas Diagrama"/>
    <w:basedOn w:val="Numatytasispastraiposriftas"/>
    <w:link w:val="Komentarotekstas"/>
    <w:uiPriority w:val="99"/>
    <w:rsid w:val="0047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672E71"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321B0D"/>
    <w:rsid w:val="00672E71"/>
    <w:rsid w:val="00A1281B"/>
    <w:rsid w:val="00D33F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24</TotalTime>
  <Pages>2</Pages>
  <Words>1321</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8</cp:revision>
  <cp:lastPrinted>2001-06-05T13:05:00Z</cp:lastPrinted>
  <dcterms:created xsi:type="dcterms:W3CDTF">2021-04-19T07:27:00Z</dcterms:created>
  <dcterms:modified xsi:type="dcterms:W3CDTF">2021-04-19T10:41:00Z</dcterms:modified>
</cp:coreProperties>
</file>