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02" w:rsidRDefault="00375702" w:rsidP="00375702">
      <w:pPr>
        <w:ind w:left="2592"/>
        <w:jc w:val="center"/>
      </w:pPr>
      <w:r>
        <w:t>PRITARTA</w:t>
      </w:r>
    </w:p>
    <w:p w:rsidR="00375702" w:rsidRDefault="00375702" w:rsidP="00375702">
      <w:pPr>
        <w:jc w:val="center"/>
      </w:pPr>
      <w:r>
        <w:tab/>
      </w:r>
      <w:r>
        <w:tab/>
      </w:r>
      <w:r>
        <w:tab/>
        <w:t xml:space="preserve">                Molėtų rajono savivaldybės tarybos </w:t>
      </w:r>
    </w:p>
    <w:p w:rsidR="00375702" w:rsidRDefault="00375702" w:rsidP="00375702">
      <w:pPr>
        <w:ind w:left="3888" w:firstLine="1296"/>
      </w:pPr>
      <w:r>
        <w:t xml:space="preserve">      2021 m. kovo   d. sprendimu Nr. B1-</w:t>
      </w:r>
    </w:p>
    <w:p w:rsidR="00375702" w:rsidRDefault="00375702" w:rsidP="00375702">
      <w:pPr>
        <w:ind w:left="2592"/>
        <w:jc w:val="center"/>
        <w:rPr>
          <w:b/>
          <w:szCs w:val="24"/>
        </w:rPr>
      </w:pPr>
      <w:r>
        <w:t xml:space="preserve">     </w:t>
      </w:r>
    </w:p>
    <w:p w:rsidR="00520A27" w:rsidRDefault="00375702" w:rsidP="00520A27">
      <w:pPr>
        <w:jc w:val="center"/>
        <w:rPr>
          <w:b/>
          <w:szCs w:val="24"/>
          <w:lang w:eastAsia="lt-LT"/>
        </w:rPr>
      </w:pPr>
      <w:r>
        <w:rPr>
          <w:b/>
          <w:szCs w:val="24"/>
          <w:lang w:eastAsia="lt-LT"/>
        </w:rPr>
        <w:t xml:space="preserve">MOLĖTŲ „VYTURĖLIO“ VAIKŲ LOPŠELIO – DARŽELIO 2020 </w:t>
      </w:r>
      <w:r w:rsidR="00520A27">
        <w:rPr>
          <w:b/>
          <w:szCs w:val="24"/>
          <w:lang w:eastAsia="lt-LT"/>
        </w:rPr>
        <w:t>METŲ VEIKLOS ATASKAITA</w:t>
      </w:r>
    </w:p>
    <w:p w:rsidR="00375702" w:rsidRDefault="00375702" w:rsidP="00520A27">
      <w:pPr>
        <w:jc w:val="center"/>
        <w:rPr>
          <w:b/>
          <w:szCs w:val="24"/>
          <w:lang w:eastAsia="lt-LT"/>
        </w:rPr>
      </w:pPr>
    </w:p>
    <w:p w:rsidR="00520A27" w:rsidRDefault="00520A27" w:rsidP="00520A27">
      <w:pPr>
        <w:jc w:val="center"/>
        <w:rPr>
          <w:szCs w:val="24"/>
          <w:lang w:eastAsia="lt-LT"/>
        </w:rPr>
      </w:pPr>
      <w:r>
        <w:rPr>
          <w:szCs w:val="24"/>
          <w:lang w:eastAsia="lt-LT"/>
        </w:rPr>
        <w:t xml:space="preserve">  2021 m. sausio 20 d. Nr.  TSD-58</w:t>
      </w:r>
    </w:p>
    <w:p w:rsidR="00520A27" w:rsidRDefault="00520A27" w:rsidP="00520A27">
      <w:pPr>
        <w:tabs>
          <w:tab w:val="left" w:pos="3828"/>
        </w:tabs>
        <w:jc w:val="center"/>
        <w:rPr>
          <w:szCs w:val="24"/>
          <w:lang w:eastAsia="lt-LT"/>
        </w:rPr>
      </w:pPr>
      <w:r>
        <w:rPr>
          <w:szCs w:val="24"/>
          <w:lang w:eastAsia="lt-LT"/>
        </w:rPr>
        <w:t>Molėtai</w:t>
      </w:r>
    </w:p>
    <w:p w:rsidR="00520A27" w:rsidRDefault="00520A27" w:rsidP="00520A27">
      <w:pPr>
        <w:jc w:val="center"/>
        <w:rPr>
          <w:lang w:eastAsia="lt-LT"/>
        </w:rPr>
      </w:pPr>
    </w:p>
    <w:p w:rsidR="00520A27" w:rsidRPr="00520A27" w:rsidRDefault="00520A27" w:rsidP="00520A27">
      <w:pPr>
        <w:jc w:val="center"/>
        <w:rPr>
          <w:b/>
          <w:szCs w:val="24"/>
          <w:lang w:eastAsia="lt-LT"/>
        </w:rPr>
      </w:pPr>
      <w:r w:rsidRPr="00520A27">
        <w:rPr>
          <w:b/>
          <w:szCs w:val="24"/>
          <w:lang w:eastAsia="lt-LT"/>
        </w:rPr>
        <w:t>STRATEGINIO PLANO IR METINIO VEIKLOS PLANO ĮGYVENDINIMAS</w:t>
      </w:r>
    </w:p>
    <w:p w:rsidR="00520A27" w:rsidRPr="00520A27" w:rsidRDefault="00520A27" w:rsidP="00520A27">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520A27" w:rsidRPr="00520A27" w:rsidTr="00520A27">
        <w:tc>
          <w:tcPr>
            <w:tcW w:w="9775" w:type="dxa"/>
            <w:tcBorders>
              <w:top w:val="single" w:sz="4" w:space="0" w:color="auto"/>
              <w:left w:val="single" w:sz="4" w:space="0" w:color="auto"/>
              <w:bottom w:val="single" w:sz="4" w:space="0" w:color="auto"/>
              <w:right w:val="single" w:sz="4" w:space="0" w:color="auto"/>
            </w:tcBorders>
          </w:tcPr>
          <w:p w:rsidR="00520A27" w:rsidRPr="00520A27" w:rsidRDefault="00520A27">
            <w:pPr>
              <w:spacing w:line="360" w:lineRule="auto"/>
              <w:jc w:val="both"/>
              <w:rPr>
                <w:rFonts w:eastAsia="SimSun"/>
                <w:szCs w:val="24"/>
                <w:lang w:val="lt-LT" w:eastAsia="zh-CN"/>
              </w:rPr>
            </w:pPr>
            <w:r w:rsidRPr="00520A27">
              <w:rPr>
                <w:lang w:val="lt-LT" w:eastAsia="zh-CN"/>
              </w:rPr>
              <w:t xml:space="preserve">        Įgyvendinant lopšelio-darželio 2018-2020 m. veiklos strateginį planą, pasiekta gerų rezultatų </w:t>
            </w:r>
            <w:r w:rsidRPr="00520A27">
              <w:rPr>
                <w:rFonts w:eastAsia="SimSun"/>
                <w:szCs w:val="24"/>
                <w:lang w:val="lt-LT" w:eastAsia="zh-CN"/>
              </w:rPr>
              <w:t>didinant ikimokyklinio ugdymo prieinamumą, užtikrinant ikimokyklinio ugdymo poreikį (ypač kaimiškosiose vietovėse). Prieš tris metus atidaryta antra grupė A</w:t>
            </w:r>
            <w:r>
              <w:rPr>
                <w:rFonts w:eastAsia="SimSun"/>
                <w:szCs w:val="24"/>
                <w:lang w:val="lt-LT" w:eastAsia="zh-CN"/>
              </w:rPr>
              <w:t>l</w:t>
            </w:r>
            <w:r w:rsidRPr="00520A27">
              <w:rPr>
                <w:rFonts w:eastAsia="SimSun"/>
                <w:szCs w:val="24"/>
                <w:lang w:val="lt-LT" w:eastAsia="zh-CN"/>
              </w:rPr>
              <w:t>antoje, o praėjusiais metais ir Giedraičių ikimokyklinio ugdymo skyriuje. Lentelėje matyti, kaip nuosekliai didėjo grupių, vaikų ir etatų skaičius per trejus metus:</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994"/>
              <w:gridCol w:w="2126"/>
              <w:gridCol w:w="1920"/>
            </w:tblGrid>
            <w:tr w:rsidR="00520A27" w:rsidRPr="00520A27">
              <w:trPr>
                <w:trHeight w:val="400"/>
              </w:trPr>
              <w:tc>
                <w:tcPr>
                  <w:tcW w:w="251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textAlignment w:val="baseline"/>
                    <w:rPr>
                      <w:rFonts w:ascii="Arial" w:hAnsi="Arial" w:cs="Arial"/>
                      <w:color w:val="000000"/>
                      <w:sz w:val="20"/>
                      <w:lang w:eastAsia="lt-LT"/>
                    </w:rPr>
                  </w:pPr>
                  <w:r w:rsidRPr="00520A27">
                    <w:rPr>
                      <w:rFonts w:ascii="Arial" w:hAnsi="Arial" w:cs="Arial"/>
                      <w:color w:val="000000"/>
                      <w:sz w:val="20"/>
                      <w:lang w:eastAsia="lt-LT"/>
                    </w:rPr>
                    <w:t>Mokslo metai</w:t>
                  </w:r>
                </w:p>
              </w:tc>
              <w:tc>
                <w:tcPr>
                  <w:tcW w:w="1994"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textAlignment w:val="baseline"/>
                    <w:rPr>
                      <w:rFonts w:ascii="Arial" w:hAnsi="Arial" w:cs="Arial"/>
                      <w:color w:val="000000"/>
                      <w:sz w:val="20"/>
                      <w:lang w:eastAsia="lt-LT"/>
                    </w:rPr>
                  </w:pPr>
                  <w:r w:rsidRPr="00520A27">
                    <w:rPr>
                      <w:rFonts w:ascii="Arial" w:hAnsi="Arial" w:cs="Arial"/>
                      <w:color w:val="000000"/>
                      <w:sz w:val="20"/>
                      <w:lang w:eastAsia="lt-LT"/>
                    </w:rPr>
                    <w:t>Grupių skaičius</w:t>
                  </w:r>
                </w:p>
              </w:tc>
              <w:tc>
                <w:tcPr>
                  <w:tcW w:w="2126"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textAlignment w:val="baseline"/>
                    <w:rPr>
                      <w:rFonts w:ascii="Arial" w:hAnsi="Arial" w:cs="Arial"/>
                      <w:color w:val="000000"/>
                      <w:sz w:val="20"/>
                      <w:lang w:eastAsia="lt-LT"/>
                    </w:rPr>
                  </w:pPr>
                  <w:r w:rsidRPr="00520A27">
                    <w:rPr>
                      <w:rFonts w:ascii="Arial" w:hAnsi="Arial" w:cs="Arial"/>
                      <w:color w:val="000000"/>
                      <w:sz w:val="20"/>
                      <w:lang w:eastAsia="lt-LT"/>
                    </w:rPr>
                    <w:t>Vaikų skaičius</w:t>
                  </w:r>
                </w:p>
              </w:tc>
              <w:tc>
                <w:tcPr>
                  <w:tcW w:w="192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textAlignment w:val="baseline"/>
                    <w:rPr>
                      <w:rFonts w:ascii="Arial" w:hAnsi="Arial" w:cs="Arial"/>
                      <w:color w:val="000000"/>
                      <w:sz w:val="20"/>
                      <w:lang w:eastAsia="lt-LT"/>
                    </w:rPr>
                  </w:pPr>
                  <w:r w:rsidRPr="00520A27">
                    <w:rPr>
                      <w:rFonts w:ascii="Arial" w:hAnsi="Arial" w:cs="Arial"/>
                      <w:color w:val="000000"/>
                      <w:sz w:val="20"/>
                      <w:lang w:eastAsia="lt-LT"/>
                    </w:rPr>
                    <w:t>Mokytojų etatų sk.</w:t>
                  </w:r>
                </w:p>
              </w:tc>
            </w:tr>
            <w:tr w:rsidR="00520A27" w:rsidRPr="00520A27">
              <w:trPr>
                <w:trHeight w:val="191"/>
              </w:trPr>
              <w:tc>
                <w:tcPr>
                  <w:tcW w:w="251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2018/2019</w:t>
                  </w:r>
                </w:p>
              </w:tc>
              <w:tc>
                <w:tcPr>
                  <w:tcW w:w="1994"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13</w:t>
                  </w:r>
                </w:p>
              </w:tc>
              <w:tc>
                <w:tcPr>
                  <w:tcW w:w="2126"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240</w:t>
                  </w:r>
                </w:p>
              </w:tc>
              <w:tc>
                <w:tcPr>
                  <w:tcW w:w="192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21,5</w:t>
                  </w:r>
                </w:p>
              </w:tc>
            </w:tr>
            <w:tr w:rsidR="00520A27" w:rsidRPr="00520A27">
              <w:trPr>
                <w:trHeight w:val="238"/>
              </w:trPr>
              <w:tc>
                <w:tcPr>
                  <w:tcW w:w="251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2019/2020</w:t>
                  </w:r>
                </w:p>
              </w:tc>
              <w:tc>
                <w:tcPr>
                  <w:tcW w:w="1994"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13</w:t>
                  </w:r>
                </w:p>
              </w:tc>
              <w:tc>
                <w:tcPr>
                  <w:tcW w:w="2126"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246</w:t>
                  </w:r>
                </w:p>
              </w:tc>
              <w:tc>
                <w:tcPr>
                  <w:tcW w:w="192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22,66</w:t>
                  </w:r>
                </w:p>
              </w:tc>
            </w:tr>
            <w:tr w:rsidR="00520A27" w:rsidRPr="00520A27">
              <w:trPr>
                <w:trHeight w:val="280"/>
              </w:trPr>
              <w:tc>
                <w:tcPr>
                  <w:tcW w:w="251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2020/2021</w:t>
                  </w:r>
                </w:p>
              </w:tc>
              <w:tc>
                <w:tcPr>
                  <w:tcW w:w="1994"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14</w:t>
                  </w:r>
                </w:p>
              </w:tc>
              <w:tc>
                <w:tcPr>
                  <w:tcW w:w="2126"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254</w:t>
                  </w:r>
                </w:p>
              </w:tc>
              <w:tc>
                <w:tcPr>
                  <w:tcW w:w="1920" w:type="dxa"/>
                  <w:tcBorders>
                    <w:top w:val="single" w:sz="4" w:space="0" w:color="auto"/>
                    <w:left w:val="single" w:sz="4" w:space="0" w:color="auto"/>
                    <w:bottom w:val="single" w:sz="4" w:space="0" w:color="auto"/>
                    <w:right w:val="single" w:sz="4" w:space="0" w:color="auto"/>
                  </w:tcBorders>
                  <w:hideMark/>
                </w:tcPr>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eastAsia="lt-LT"/>
                    </w:rPr>
                  </w:pPr>
                  <w:r w:rsidRPr="00520A27">
                    <w:rPr>
                      <w:rFonts w:ascii="Arial" w:hAnsi="Arial" w:cs="Arial"/>
                      <w:color w:val="000000"/>
                      <w:sz w:val="20"/>
                      <w:lang w:eastAsia="lt-LT"/>
                    </w:rPr>
                    <w:t>24,28</w:t>
                  </w:r>
                </w:p>
              </w:tc>
            </w:tr>
          </w:tbl>
          <w:p w:rsidR="00520A27" w:rsidRPr="00520A27" w:rsidRDefault="00520A27">
            <w:pPr>
              <w:tabs>
                <w:tab w:val="left" w:pos="6237"/>
                <w:tab w:val="right" w:pos="8306"/>
              </w:tabs>
              <w:overflowPunct w:val="0"/>
              <w:spacing w:line="360" w:lineRule="auto"/>
              <w:jc w:val="both"/>
              <w:textAlignment w:val="baseline"/>
              <w:rPr>
                <w:rFonts w:ascii="Arial" w:hAnsi="Arial" w:cs="Arial"/>
                <w:color w:val="000000"/>
                <w:sz w:val="20"/>
                <w:lang w:val="lt-LT" w:eastAsia="lt-LT"/>
              </w:rPr>
            </w:pPr>
          </w:p>
          <w:p w:rsidR="00520A27" w:rsidRPr="00520A27" w:rsidRDefault="00520A27">
            <w:pPr>
              <w:overflowPunct w:val="0"/>
              <w:spacing w:line="360" w:lineRule="auto"/>
              <w:jc w:val="both"/>
              <w:textAlignment w:val="baseline"/>
              <w:rPr>
                <w:szCs w:val="24"/>
                <w:lang w:val="lt-LT" w:eastAsia="lt-LT"/>
              </w:rPr>
            </w:pPr>
            <w:r w:rsidRPr="00520A27">
              <w:rPr>
                <w:rFonts w:eastAsia="SimSun"/>
                <w:szCs w:val="24"/>
                <w:lang w:val="lt-LT" w:eastAsia="zh-CN"/>
              </w:rPr>
              <w:t>Įsteigta papildomi 3 mokytojų etatai ir 2 mokytojų padėjėjų etatai, patenkinti visi tėvų prašymai,</w:t>
            </w:r>
            <w:r w:rsidRPr="00520A27">
              <w:rPr>
                <w:szCs w:val="24"/>
                <w:lang w:val="lt-LT" w:eastAsia="lt-LT"/>
              </w:rPr>
              <w:t xml:space="preserve"> vaikų skaičius grupėse neviršija nustatyto. Naujai įsteigtos grupės aprūpintos reikiama įranga: įsigyta  nauji baldai, kompiuteris, ugdymo priemonės, šaldytuvas ir kitas, reikalingas inventorius.</w:t>
            </w:r>
          </w:p>
          <w:p w:rsidR="00520A27" w:rsidRPr="00520A27" w:rsidRDefault="00520A27">
            <w:pPr>
              <w:spacing w:line="360" w:lineRule="auto"/>
              <w:jc w:val="both"/>
              <w:rPr>
                <w:rFonts w:eastAsia="SimSun"/>
                <w:szCs w:val="24"/>
                <w:lang w:val="lt-LT" w:eastAsia="zh-CN"/>
              </w:rPr>
            </w:pPr>
            <w:r w:rsidRPr="00520A27">
              <w:rPr>
                <w:rFonts w:eastAsia="SimSun"/>
                <w:szCs w:val="24"/>
                <w:lang w:val="lt-LT" w:eastAsia="zh-CN"/>
              </w:rPr>
              <w:t xml:space="preserve"> Įgyvendintas </w:t>
            </w:r>
            <w:r w:rsidRPr="00520A27">
              <w:rPr>
                <w:rFonts w:eastAsia="SimSun"/>
                <w:b/>
                <w:bCs/>
                <w:szCs w:val="24"/>
                <w:lang w:val="lt-LT" w:eastAsia="zh-CN"/>
              </w:rPr>
              <w:t xml:space="preserve"> </w:t>
            </w:r>
            <w:r w:rsidRPr="00520A27">
              <w:rPr>
                <w:rFonts w:eastAsia="SimSun"/>
                <w:bCs/>
                <w:szCs w:val="24"/>
                <w:lang w:val="lt-LT" w:eastAsia="zh-CN"/>
              </w:rPr>
              <w:t>strateginis tikslas -</w:t>
            </w:r>
            <w:r w:rsidRPr="00520A27">
              <w:rPr>
                <w:rFonts w:eastAsia="Calibri"/>
                <w:bCs/>
                <w:szCs w:val="24"/>
                <w:lang w:val="lt-LT"/>
              </w:rPr>
              <w:t xml:space="preserve">  sukurti</w:t>
            </w:r>
            <w:r w:rsidRPr="00520A27">
              <w:rPr>
                <w:rFonts w:eastAsia="Calibri"/>
                <w:szCs w:val="24"/>
                <w:lang w:val="lt-LT"/>
              </w:rPr>
              <w:t xml:space="preserve"> palankią socialinę emocinę ugdymosi aplinką. Šis tikslas buvo ilgalaikis, tęstinis (nuo 2014 m.) ir davė puikių rezultatų. Pilnai įgyvendinama </w:t>
            </w:r>
            <w:proofErr w:type="spellStart"/>
            <w:r w:rsidRPr="00520A27">
              <w:rPr>
                <w:rFonts w:eastAsia="Calibri"/>
                <w:szCs w:val="24"/>
                <w:lang w:val="lt-LT"/>
              </w:rPr>
              <w:t>Kimočių</w:t>
            </w:r>
            <w:proofErr w:type="spellEnd"/>
            <w:r w:rsidRPr="00520A27">
              <w:rPr>
                <w:rFonts w:eastAsia="Calibri"/>
                <w:szCs w:val="24"/>
                <w:lang w:val="lt-LT"/>
              </w:rPr>
              <w:t xml:space="preserve"> emocinio intelekto ugdymo programa. Mokytojams įgijus socialinio emocinio  ugdymo kompetencijų  ir pozityvios disciplinos metodų, pagerėjo vaikų tarpusavio santykiai, adaptacija, vaikų savijauta, saugumas, sumažėjo netinkamo vaikų elgesio atvejų, pagerėjo vaikų pasiekimai.</w:t>
            </w:r>
            <w:r w:rsidRPr="00520A27">
              <w:rPr>
                <w:rFonts w:eastAsia="SimSun"/>
                <w:szCs w:val="24"/>
                <w:lang w:val="lt-LT" w:eastAsia="zh-CN"/>
              </w:rPr>
              <w:t xml:space="preserve"> </w:t>
            </w:r>
          </w:p>
          <w:p w:rsidR="00520A27" w:rsidRPr="00520A27" w:rsidRDefault="00520A27">
            <w:pPr>
              <w:spacing w:line="360" w:lineRule="auto"/>
              <w:jc w:val="both"/>
              <w:rPr>
                <w:rFonts w:eastAsia="SimSun"/>
                <w:szCs w:val="24"/>
                <w:lang w:val="lt-LT" w:eastAsia="zh-CN"/>
              </w:rPr>
            </w:pPr>
            <w:r w:rsidRPr="00520A27">
              <w:rPr>
                <w:rFonts w:eastAsia="SimSun"/>
                <w:szCs w:val="24"/>
                <w:lang w:val="lt-LT" w:eastAsia="zh-CN"/>
              </w:rPr>
              <w:t>Pavyko pasiekti ir įgyvendinti</w:t>
            </w:r>
            <w:r w:rsidRPr="00520A27">
              <w:rPr>
                <w:rFonts w:eastAsia="SimSun"/>
                <w:b/>
                <w:bCs/>
                <w:szCs w:val="24"/>
                <w:lang w:val="lt-LT" w:eastAsia="zh-CN"/>
              </w:rPr>
              <w:t xml:space="preserve"> </w:t>
            </w:r>
            <w:r w:rsidRPr="00520A27">
              <w:rPr>
                <w:rFonts w:eastAsia="SimSun"/>
                <w:bCs/>
                <w:szCs w:val="24"/>
                <w:lang w:val="lt-LT" w:eastAsia="zh-CN"/>
              </w:rPr>
              <w:t>strategijoje numatytą tikslą</w:t>
            </w:r>
            <w:r w:rsidRPr="00520A27">
              <w:rPr>
                <w:rFonts w:eastAsia="SimSun"/>
                <w:szCs w:val="24"/>
                <w:lang w:val="lt-LT" w:eastAsia="zh-CN"/>
              </w:rPr>
              <w:t xml:space="preserve"> – stiprinti vaikų sveikatą. Šiuo tikslu siekta  užtikrinti palankų vaikų sveikatai maitinimą, į</w:t>
            </w:r>
            <w:r w:rsidRPr="00520A27">
              <w:rPr>
                <w:szCs w:val="24"/>
                <w:lang w:val="lt-LT" w:eastAsia="lt-LT"/>
              </w:rPr>
              <w:t xml:space="preserve">diegti vieningą maisto apskaitos programą, apjungiant Giedraičių, Suginčių, Levaniškių ir Naujasodžio skyrius. </w:t>
            </w:r>
            <w:r w:rsidRPr="00520A27">
              <w:rPr>
                <w:rFonts w:eastAsia="SimSun"/>
                <w:szCs w:val="24"/>
                <w:lang w:val="lt-LT" w:eastAsia="zh-CN"/>
              </w:rPr>
              <w:t xml:space="preserve"> Vieninga maisto apskaitos programa įdiegta „Vyturėlio“ darželyje ir visuose skyriuose. Įgyvendinus programą galima dažnai ir lanksčiai keisti patiekalų asortimentą, atrenkant tuos, kuriuos didžioji dalis vaikų suvalgo, nuosekliai pratinti vaikus prie sveikatai palankaus maisto.  Žymiai sumažėjo maisto atliekų.  Perėjus prie programinės maisto apskaitos organizavimo,  darbuotojų laiko sąnaudos sumažėjo 50%. Šis rodiklis labai svarbus, nes ikimokyklinio ugdymo skyriuose šį papildomą darbą atlieka mokytojai.</w:t>
            </w:r>
          </w:p>
          <w:p w:rsidR="00520A27" w:rsidRPr="00520A27" w:rsidRDefault="00520A27">
            <w:pPr>
              <w:spacing w:line="360" w:lineRule="auto"/>
              <w:jc w:val="both"/>
              <w:rPr>
                <w:szCs w:val="24"/>
                <w:lang w:val="lt-LT" w:eastAsia="lt-LT"/>
              </w:rPr>
            </w:pPr>
            <w:r w:rsidRPr="00520A27">
              <w:rPr>
                <w:rFonts w:eastAsia="Calibri"/>
                <w:szCs w:val="24"/>
                <w:lang w:val="lt-LT"/>
              </w:rPr>
              <w:lastRenderedPageBreak/>
              <w:t xml:space="preserve">        </w:t>
            </w:r>
            <w:r w:rsidRPr="00520A27">
              <w:rPr>
                <w:szCs w:val="24"/>
                <w:lang w:val="lt-LT" w:eastAsia="lt-LT"/>
              </w:rPr>
              <w:t xml:space="preserve">Mūsų ilgalaikio strateginio siekio – </w:t>
            </w:r>
            <w:r w:rsidRPr="00520A27">
              <w:rPr>
                <w:rFonts w:eastAsia="Calibri"/>
                <w:szCs w:val="24"/>
                <w:lang w:val="lt-LT"/>
              </w:rPr>
              <w:t xml:space="preserve">tapti švietimo įstaiga, kai ir geras socialinis emocinis klimatas, ir gera programa, kai vaikai mokosi ir išmoksta, </w:t>
            </w:r>
            <w:r w:rsidRPr="00520A27">
              <w:rPr>
                <w:rFonts w:eastAsia="Calibri"/>
                <w:bCs/>
                <w:szCs w:val="24"/>
                <w:lang w:val="lt-LT"/>
              </w:rPr>
              <w:t xml:space="preserve">antros dalies, tai yra </w:t>
            </w:r>
            <w:r w:rsidRPr="00520A27">
              <w:rPr>
                <w:rFonts w:eastAsia="SimSun"/>
                <w:bCs/>
                <w:szCs w:val="24"/>
                <w:lang w:val="lt-LT" w:eastAsia="zh-CN"/>
              </w:rPr>
              <w:t xml:space="preserve"> strateginio</w:t>
            </w:r>
            <w:r w:rsidRPr="00520A27">
              <w:rPr>
                <w:rFonts w:eastAsia="SimSun"/>
                <w:szCs w:val="24"/>
                <w:lang w:val="lt-LT" w:eastAsia="zh-CN"/>
              </w:rPr>
              <w:t xml:space="preserve"> </w:t>
            </w:r>
            <w:r w:rsidRPr="00520A27">
              <w:rPr>
                <w:rFonts w:eastAsia="SimSun"/>
                <w:bCs/>
                <w:szCs w:val="24"/>
                <w:lang w:val="lt-LT" w:eastAsia="zh-CN"/>
              </w:rPr>
              <w:t>tikslo – užtikrinti ikimokyklinio ugdymo kokybę – tobulinti ikimokyklinio ugdymo programą</w:t>
            </w:r>
            <w:r w:rsidRPr="00520A27">
              <w:rPr>
                <w:rFonts w:eastAsia="SimSun"/>
                <w:szCs w:val="24"/>
                <w:lang w:val="lt-LT" w:eastAsia="zh-CN"/>
              </w:rPr>
              <w:t xml:space="preserve"> – nepavyko įgyvendinti. Šis strateginis tikslas buvo numatytas dvejiems metams ir pradėta</w:t>
            </w:r>
            <w:r>
              <w:rPr>
                <w:rFonts w:eastAsia="SimSun"/>
                <w:szCs w:val="24"/>
                <w:lang w:val="lt-LT" w:eastAsia="zh-CN"/>
              </w:rPr>
              <w:t>s įgyvendinti 2019 m. rugsėjo mė</w:t>
            </w:r>
            <w:r w:rsidRPr="00520A27">
              <w:rPr>
                <w:rFonts w:eastAsia="SimSun"/>
                <w:szCs w:val="24"/>
                <w:lang w:val="lt-LT" w:eastAsia="zh-CN"/>
              </w:rPr>
              <w:t xml:space="preserve">nesį. Jo esmė ugdymo programą atnaujinti taip, kad ji būtų konkreti, </w:t>
            </w:r>
            <w:r w:rsidRPr="00520A27">
              <w:rPr>
                <w:rFonts w:eastAsia="Calibri"/>
                <w:szCs w:val="24"/>
                <w:lang w:val="lt-LT"/>
              </w:rPr>
              <w:t>nuosekli ir tikslinga. Šiuo metu yra atnaujinta maždaug 50 %  programos.  Tai procesas, kuris reikalauja daug laiko ir visų mokytojų pastangų: bendradarbiavimo, tarimosi, nuolatinio sistemingo kontaktavimo. Pagrindinė priežastis, kodėl nepasiektas tikslas – karantinas, kurio metu taisyklės ribojo tokias veiklas. Kita pri</w:t>
            </w:r>
            <w:r>
              <w:rPr>
                <w:rFonts w:eastAsia="Calibri"/>
                <w:szCs w:val="24"/>
                <w:lang w:val="lt-LT"/>
              </w:rPr>
              <w:t>ežastis – esant tokiam ambicingam</w:t>
            </w:r>
            <w:r w:rsidRPr="00520A27">
              <w:rPr>
                <w:rFonts w:eastAsia="Calibri"/>
                <w:szCs w:val="24"/>
                <w:lang w:val="lt-LT"/>
              </w:rPr>
              <w:t xml:space="preserve"> tikslui ir reikalingų naujų žinių ir kompetencijų -  uždavinių įgyvendinimui, numatytas per trumpas laikas ir žmogiškieji resursai. Pandemijos sąlygomis tapo sudėtinga mokytis, o praktinių dalykų, net neįmanoma. Šį tikslą numatyta perkelti  į lopšelio-darželio 2021 - 2022 m. veiklos strateginį planą.</w:t>
            </w:r>
          </w:p>
        </w:tc>
      </w:tr>
    </w:tbl>
    <w:p w:rsidR="00375702" w:rsidRDefault="00375702"/>
    <w:p w:rsidR="00F9520A" w:rsidRDefault="00F9520A" w:rsidP="00375702"/>
    <w:p w:rsidR="00375702" w:rsidRPr="00375702" w:rsidRDefault="00375702" w:rsidP="00375702">
      <w:r>
        <w:t xml:space="preserve">Direktorė                                                                                                                    </w:t>
      </w:r>
      <w:bookmarkStart w:id="0" w:name="_GoBack"/>
      <w:bookmarkEnd w:id="0"/>
      <w:r>
        <w:t>Ona Kavalnienė</w:t>
      </w:r>
    </w:p>
    <w:sectPr w:rsidR="00375702" w:rsidRPr="003757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27"/>
    <w:rsid w:val="00375702"/>
    <w:rsid w:val="00520A27"/>
    <w:rsid w:val="008763B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F71B"/>
  <w15:chartTrackingRefBased/>
  <w15:docId w15:val="{F50116DB-4A4F-4F2D-A5BB-63025390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0A2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20A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8950">
      <w:bodyDiv w:val="1"/>
      <w:marLeft w:val="0"/>
      <w:marRight w:val="0"/>
      <w:marTop w:val="0"/>
      <w:marBottom w:val="0"/>
      <w:divBdr>
        <w:top w:val="none" w:sz="0" w:space="0" w:color="auto"/>
        <w:left w:val="none" w:sz="0" w:space="0" w:color="auto"/>
        <w:bottom w:val="none" w:sz="0" w:space="0" w:color="auto"/>
        <w:right w:val="none" w:sz="0" w:space="0" w:color="auto"/>
      </w:divBdr>
    </w:div>
    <w:div w:id="18764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2338</Words>
  <Characters>1333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2</cp:revision>
  <dcterms:created xsi:type="dcterms:W3CDTF">2021-03-11T18:19:00Z</dcterms:created>
  <dcterms:modified xsi:type="dcterms:W3CDTF">2021-03-12T14:42:00Z</dcterms:modified>
</cp:coreProperties>
</file>