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F1" w:rsidRDefault="00AA13F1" w:rsidP="00F34167">
      <w:pPr>
        <w:tabs>
          <w:tab w:val="left" w:pos="6804"/>
        </w:tabs>
        <w:ind w:left="5529"/>
        <w:rPr>
          <w:szCs w:val="24"/>
        </w:rPr>
      </w:pPr>
    </w:p>
    <w:p w:rsidR="00AA13F1" w:rsidRDefault="00AA13F1" w:rsidP="00AA13F1">
      <w:pPr>
        <w:ind w:left="2592"/>
        <w:jc w:val="center"/>
      </w:pPr>
      <w:r>
        <w:t xml:space="preserve">                                                          </w:t>
      </w:r>
      <w:r w:rsidR="00CE516E">
        <w:t xml:space="preserve">                         </w:t>
      </w:r>
      <w:r>
        <w:t>PRITARTA</w:t>
      </w:r>
    </w:p>
    <w:p w:rsidR="00AA13F1" w:rsidRDefault="00AA13F1" w:rsidP="00AA13F1">
      <w:pPr>
        <w:jc w:val="center"/>
      </w:pPr>
      <w:r>
        <w:tab/>
      </w:r>
      <w:r>
        <w:tab/>
      </w:r>
      <w:r>
        <w:tab/>
        <w:t xml:space="preserve">                                                                                                   Molėtų rajono savivaldybės tarybos </w:t>
      </w:r>
    </w:p>
    <w:p w:rsidR="00AA13F1" w:rsidRDefault="00AA13F1" w:rsidP="00AA13F1">
      <w:pPr>
        <w:ind w:left="3888" w:firstLine="1296"/>
      </w:pPr>
      <w:r>
        <w:t xml:space="preserve">                                                                                    2021 m. kovo   d. sprendimu Nr. B1-</w:t>
      </w:r>
    </w:p>
    <w:p w:rsidR="00AA13F1" w:rsidRDefault="00AA13F1" w:rsidP="00F34167">
      <w:pPr>
        <w:tabs>
          <w:tab w:val="left" w:pos="6804"/>
        </w:tabs>
        <w:ind w:left="5529"/>
        <w:rPr>
          <w:szCs w:val="24"/>
        </w:rPr>
      </w:pPr>
    </w:p>
    <w:p w:rsidR="00F34167" w:rsidRDefault="00F34167" w:rsidP="00F34167">
      <w:pPr>
        <w:jc w:val="center"/>
        <w:rPr>
          <w:szCs w:val="24"/>
          <w:lang w:eastAsia="lt-LT"/>
        </w:rPr>
      </w:pPr>
    </w:p>
    <w:p w:rsidR="00F34167" w:rsidRDefault="004803B0" w:rsidP="00F34167">
      <w:pPr>
        <w:jc w:val="center"/>
        <w:rPr>
          <w:b/>
          <w:szCs w:val="24"/>
          <w:lang w:eastAsia="lt-LT"/>
        </w:rPr>
      </w:pPr>
      <w:r>
        <w:rPr>
          <w:b/>
          <w:szCs w:val="24"/>
          <w:lang w:eastAsia="lt-LT"/>
        </w:rPr>
        <w:t>MOLĖTŲ R.</w:t>
      </w:r>
      <w:r w:rsidR="00AA13F1">
        <w:rPr>
          <w:b/>
          <w:szCs w:val="24"/>
          <w:lang w:eastAsia="lt-LT"/>
        </w:rPr>
        <w:t xml:space="preserve"> GIEDRAIČIŲ ANTANO JAROŠEVIČIAUS GIMNAZIJOS</w:t>
      </w:r>
      <w:r w:rsidR="00F34167">
        <w:rPr>
          <w:b/>
          <w:szCs w:val="24"/>
          <w:lang w:eastAsia="lt-LT"/>
        </w:rPr>
        <w:t xml:space="preserve"> </w:t>
      </w:r>
      <w:r w:rsidR="00CE516E">
        <w:rPr>
          <w:b/>
          <w:szCs w:val="24"/>
          <w:lang w:eastAsia="lt-LT"/>
        </w:rPr>
        <w:t>2020 METŲ</w:t>
      </w:r>
      <w:bookmarkStart w:id="0" w:name="_GoBack"/>
      <w:bookmarkEnd w:id="0"/>
      <w:r w:rsidR="001D1569">
        <w:rPr>
          <w:b/>
          <w:szCs w:val="24"/>
          <w:lang w:eastAsia="lt-LT"/>
        </w:rPr>
        <w:t xml:space="preserve"> </w:t>
      </w:r>
      <w:r w:rsidR="00F34167">
        <w:rPr>
          <w:b/>
          <w:szCs w:val="24"/>
          <w:lang w:eastAsia="lt-LT"/>
        </w:rPr>
        <w:t>VEIKLOS ATASKAITA</w:t>
      </w:r>
    </w:p>
    <w:p w:rsidR="00F34167" w:rsidRDefault="00F34167" w:rsidP="00F34167">
      <w:pPr>
        <w:jc w:val="center"/>
        <w:rPr>
          <w:szCs w:val="24"/>
          <w:lang w:eastAsia="lt-LT"/>
        </w:rPr>
      </w:pPr>
    </w:p>
    <w:p w:rsidR="00F34167" w:rsidRDefault="00F34167" w:rsidP="00F34167">
      <w:pPr>
        <w:jc w:val="center"/>
        <w:rPr>
          <w:szCs w:val="24"/>
        </w:rPr>
      </w:pPr>
      <w:r>
        <w:rPr>
          <w:szCs w:val="24"/>
          <w:lang w:val="en-US" w:eastAsia="lt-LT"/>
        </w:rPr>
        <w:t>2021-01-22</w:t>
      </w:r>
      <w:r>
        <w:rPr>
          <w:szCs w:val="24"/>
          <w:lang w:eastAsia="lt-LT"/>
        </w:rPr>
        <w:t xml:space="preserve"> Nr. L-12 </w:t>
      </w:r>
    </w:p>
    <w:p w:rsidR="00F34167" w:rsidRDefault="00F34167" w:rsidP="00F34167">
      <w:pPr>
        <w:jc w:val="center"/>
        <w:rPr>
          <w:szCs w:val="24"/>
          <w:lang w:eastAsia="lt-LT"/>
        </w:rPr>
      </w:pPr>
    </w:p>
    <w:p w:rsidR="00F34167" w:rsidRDefault="00F34167" w:rsidP="00F34167">
      <w:pPr>
        <w:tabs>
          <w:tab w:val="left" w:pos="3828"/>
        </w:tabs>
        <w:jc w:val="center"/>
        <w:rPr>
          <w:szCs w:val="24"/>
          <w:lang w:eastAsia="lt-LT"/>
        </w:rPr>
      </w:pPr>
      <w:r>
        <w:rPr>
          <w:szCs w:val="24"/>
          <w:lang w:eastAsia="lt-LT"/>
        </w:rPr>
        <w:t>Giedraičiai</w:t>
      </w:r>
    </w:p>
    <w:p w:rsidR="00F34167" w:rsidRDefault="00F34167" w:rsidP="00F34167">
      <w:pPr>
        <w:jc w:val="center"/>
        <w:rPr>
          <w:szCs w:val="24"/>
          <w:lang w:eastAsia="lt-LT"/>
        </w:rPr>
      </w:pPr>
    </w:p>
    <w:p w:rsidR="00F34167" w:rsidRDefault="00F34167" w:rsidP="00F34167">
      <w:pPr>
        <w:jc w:val="center"/>
        <w:rPr>
          <w:b/>
          <w:szCs w:val="24"/>
          <w:lang w:eastAsia="lt-LT"/>
        </w:rPr>
      </w:pPr>
      <w:r>
        <w:rPr>
          <w:b/>
          <w:szCs w:val="24"/>
          <w:lang w:eastAsia="lt-LT"/>
        </w:rPr>
        <w:t>STRATEGINIO PLANO IR METINIO VEIKLOS PLANO ĮGYVENDINIMAS</w:t>
      </w:r>
    </w:p>
    <w:p w:rsidR="00F34167" w:rsidRDefault="00F34167" w:rsidP="00F34167">
      <w:pPr>
        <w:jc w:val="center"/>
        <w:rPr>
          <w:b/>
          <w:szCs w:val="24"/>
          <w:lang w:eastAsia="lt-LT"/>
        </w:rPr>
      </w:pPr>
    </w:p>
    <w:tbl>
      <w:tblPr>
        <w:tblStyle w:val="Lentelstinklelis"/>
        <w:tblW w:w="15770" w:type="dxa"/>
        <w:tblInd w:w="-147" w:type="dxa"/>
        <w:tblLook w:val="04A0" w:firstRow="1" w:lastRow="0" w:firstColumn="1" w:lastColumn="0" w:noHBand="0" w:noVBand="1"/>
      </w:tblPr>
      <w:tblGrid>
        <w:gridCol w:w="15770"/>
      </w:tblGrid>
      <w:tr w:rsidR="00F34167" w:rsidRPr="00F34167" w:rsidTr="00F34167">
        <w:trPr>
          <w:trHeight w:val="1287"/>
        </w:trPr>
        <w:tc>
          <w:tcPr>
            <w:tcW w:w="15770" w:type="dxa"/>
            <w:tcBorders>
              <w:top w:val="single" w:sz="4" w:space="0" w:color="auto"/>
              <w:left w:val="single" w:sz="4" w:space="0" w:color="auto"/>
              <w:bottom w:val="single" w:sz="4" w:space="0" w:color="auto"/>
              <w:right w:val="single" w:sz="4" w:space="0" w:color="auto"/>
            </w:tcBorders>
          </w:tcPr>
          <w:p w:rsidR="00F34167" w:rsidRPr="00F34167" w:rsidRDefault="00F34167">
            <w:pPr>
              <w:jc w:val="center"/>
              <w:rPr>
                <w:szCs w:val="24"/>
                <w:lang w:eastAsia="lt-LT"/>
              </w:rPr>
            </w:pPr>
          </w:p>
          <w:p w:rsidR="00F34167" w:rsidRPr="00F34167" w:rsidRDefault="00F34167">
            <w:pPr>
              <w:jc w:val="center"/>
              <w:rPr>
                <w:szCs w:val="24"/>
                <w:lang w:eastAsia="lt-LT"/>
              </w:rPr>
            </w:pPr>
            <w:r w:rsidRPr="00F34167">
              <w:rPr>
                <w:szCs w:val="24"/>
                <w:lang w:eastAsia="lt-LT"/>
              </w:rPr>
              <w:t>(Švietimo įstaigos strateginio plano ir metinio veiklos plano įgyvendinimo kryptys ir svariausi rezultatai bei rodikliai)</w:t>
            </w:r>
          </w:p>
          <w:p w:rsidR="00F34167" w:rsidRPr="00F34167" w:rsidRDefault="00F34167">
            <w:pPr>
              <w:jc w:val="both"/>
              <w:rPr>
                <w:szCs w:val="24"/>
                <w:lang w:eastAsia="lt-LT"/>
              </w:rPr>
            </w:pPr>
            <w:r w:rsidRPr="00F34167">
              <w:rPr>
                <w:szCs w:val="24"/>
                <w:lang w:eastAsia="lt-LT"/>
              </w:rPr>
              <w:t xml:space="preserve">   Gimnazijos 2020-2023 metų strateginiai tikslai:</w:t>
            </w:r>
          </w:p>
          <w:p w:rsidR="00F34167" w:rsidRPr="00F34167" w:rsidRDefault="00F34167">
            <w:pPr>
              <w:jc w:val="both"/>
              <w:rPr>
                <w:szCs w:val="24"/>
                <w:lang w:eastAsia="lt-LT"/>
              </w:rPr>
            </w:pPr>
            <w:r w:rsidRPr="00F34167">
              <w:rPr>
                <w:szCs w:val="24"/>
                <w:lang w:eastAsia="lt-LT"/>
              </w:rPr>
              <w:t>1. Įgyvendinti šiuolaikinį ugdymo(si) turinį.</w:t>
            </w:r>
          </w:p>
          <w:p w:rsidR="00F34167" w:rsidRPr="00F34167" w:rsidRDefault="00F34167">
            <w:pPr>
              <w:jc w:val="both"/>
              <w:rPr>
                <w:szCs w:val="24"/>
                <w:lang w:eastAsia="lt-LT"/>
              </w:rPr>
            </w:pPr>
            <w:r w:rsidRPr="00F34167">
              <w:rPr>
                <w:szCs w:val="24"/>
                <w:lang w:eastAsia="lt-LT"/>
              </w:rPr>
              <w:t>2. Kurti modernią, mokymą(si) skatinančią aplinką.</w:t>
            </w:r>
          </w:p>
          <w:p w:rsidR="00F34167" w:rsidRPr="00F34167" w:rsidRDefault="00F34167">
            <w:pPr>
              <w:jc w:val="both"/>
              <w:rPr>
                <w:szCs w:val="24"/>
                <w:lang w:eastAsia="lt-LT"/>
              </w:rPr>
            </w:pPr>
            <w:r w:rsidRPr="00F34167">
              <w:rPr>
                <w:szCs w:val="24"/>
                <w:lang w:eastAsia="lt-LT"/>
              </w:rPr>
              <w:t>3. Formuoti pilietiškumu ir lyderyste grįstą gimnazijos bendruomenę.</w:t>
            </w:r>
          </w:p>
          <w:p w:rsidR="00F34167" w:rsidRPr="00F34167" w:rsidRDefault="00F34167">
            <w:pPr>
              <w:jc w:val="both"/>
              <w:rPr>
                <w:szCs w:val="24"/>
                <w:lang w:eastAsia="lt-LT"/>
              </w:rPr>
            </w:pPr>
            <w:r w:rsidRPr="00F34167">
              <w:rPr>
                <w:szCs w:val="24"/>
                <w:lang w:eastAsia="lt-LT"/>
              </w:rPr>
              <w:t xml:space="preserve">   Tikslų įgyvendinimas atsispindi Veiklos plane. 2019-2020 m.m. tikslas: tobulinant bendradarbiavimą ir grįžtamojo ryšio kokybę siekti savivaldžio kiekvieno mokinio mokymosi. Buvo kelti uždaviniai: 1. Savivaldžio mokymosi tobulinimas, 2. Profesinio dialogo stiprinimas bendradarbiaujant, 3. Aktyvus dalyvavimas socialinėje pilietinėje veikloje. </w:t>
            </w:r>
          </w:p>
          <w:p w:rsidR="00F34167" w:rsidRPr="00F34167" w:rsidRDefault="00F34167">
            <w:pPr>
              <w:jc w:val="both"/>
              <w:rPr>
                <w:szCs w:val="24"/>
                <w:lang w:eastAsia="lt-LT"/>
              </w:rPr>
            </w:pPr>
            <w:r w:rsidRPr="00F34167">
              <w:rPr>
                <w:szCs w:val="24"/>
                <w:lang w:eastAsia="lt-LT"/>
              </w:rPr>
              <w:t xml:space="preserve">   1. Siekiant įgyvendinti suformuluotus tikslus, stiprinome mokinių dalykines, komunikacinę (konstruktyvų bendravimą, pagalbą kitiems) ir asmeninę (pats organizuoja savo mokymąsi, planuoja tikslus, dirba kryptingai) kompetencijas.  Po I pusmečio mokiniai aptarė pažangą su dalykų mokytojais ir klasių vadovais, vyko trišaliai susirinkimai klasėse. Mokiniai asmeninę pažangą fiksavo pildydami Asmeninės pažangos lapus. Paaugo mokinių, užpildžiusių APL skaičius (iki 98%) bei APL pildymo kokybė (dalykiški mokytojų komentarai). </w:t>
            </w:r>
          </w:p>
          <w:p w:rsidR="00F34167" w:rsidRPr="00F34167" w:rsidRDefault="00F34167">
            <w:pPr>
              <w:jc w:val="both"/>
              <w:rPr>
                <w:szCs w:val="24"/>
              </w:rPr>
            </w:pPr>
            <w:r w:rsidRPr="00F34167">
              <w:rPr>
                <w:szCs w:val="24"/>
                <w:lang w:eastAsia="lt-LT"/>
              </w:rPr>
              <w:t xml:space="preserve">2.  Metodinių užsiėmimų metu vyko profesinis dialogas, kuriame mokytojai dalinosi išbandytais naujais mokinio savęs pažinimo metodais bei savivaldžio mokinių mokymosi patirtimis. Gimnazijos mokytojų komanda dalyvauja „Lyderių laikas 3” neformaliose studijose bei LEAN metodų diegime. Įsisavintas ASAICHI metodas leido  identifikuoti ir efektyviai spręsti ugdymo problemas. Perėjus prie nuotolinio mokymosi, iškilo būtinybė turėti vieningą mokymosi platformą. Apsisprendėme diegti Microsoft Office 365. 85% mokytojų dalyvavo </w:t>
            </w:r>
            <w:r w:rsidRPr="00F34167">
              <w:rPr>
                <w:szCs w:val="24"/>
              </w:rPr>
              <w:t>40 val. kvalifikacijos tobulinimo programoje “Skaitmeninių mokytojo kompetencijų tobulinimas dirbant Microsoft Office 365 aplinkoje“. Mokymuose atlikome savarankiškas užduotis ir patobulinome skaitmeninio raštingumo  kompetencijas. Mokytoja Vaida O., kaip LL3 kūrybinės grupės narė, dalyvavo stažuotėje Estijoje ir Suomijoje. Aš dalyvavau stažuotėje Šiaulių rajone: „Mokinio individualios pažangos matavimas. Partnerystės, ryšių kūrimas“.</w:t>
            </w:r>
          </w:p>
          <w:p w:rsidR="00F34167" w:rsidRPr="00F34167" w:rsidRDefault="00F34167">
            <w:pPr>
              <w:jc w:val="both"/>
              <w:rPr>
                <w:szCs w:val="24"/>
              </w:rPr>
            </w:pPr>
            <w:r w:rsidRPr="00F34167">
              <w:rPr>
                <w:szCs w:val="24"/>
              </w:rPr>
              <w:lastRenderedPageBreak/>
              <w:t xml:space="preserve">   Mokymų metu įgytas kompetencijas mokytojai panaudojo ugdymo procesui tobulinti. IQESonline atliktos apklausos duomenimis mokiniai teigia, kad mokytojai padeda pažinti jų gabumus (95%), kad yra skatinami bendradarbiauti (91%), kad su mokiniais yra aptariamos mokymosi sėkmės (93%), kad pasiekimų vertinimas yra aiškus (95%). Savivaldis mokymasis išryškėjo nuotolinio mokymosi metu. Tačiau mokiniai teigia, kad mokantis nuotoliniu būdu, jiems reikia daugiau pagalbos (68%) ir kad sekasi mokytis nuotoliniu būdu (60%).</w:t>
            </w:r>
          </w:p>
          <w:p w:rsidR="00F34167" w:rsidRPr="00F34167" w:rsidRDefault="00F34167">
            <w:pPr>
              <w:jc w:val="both"/>
              <w:rPr>
                <w:szCs w:val="24"/>
                <w:lang w:eastAsia="lt-LT"/>
              </w:rPr>
            </w:pPr>
            <w:r w:rsidRPr="00F34167">
              <w:rPr>
                <w:szCs w:val="24"/>
                <w:lang w:eastAsia="lt-LT"/>
              </w:rPr>
              <w:t>3. Gimnazija ir toliau vykdė tarptautinius projektus: „Mokyklos – Europos parlamento ambasadorės“ (laimėta kelionė į Strasbūrą, kuri neįvyko dėl karantino) ir Erasmus + “The Media. What Next?” (bendravimas vyko internetu, mobilumo veiklos atidėtos dėl karantino). Gimnazijos šimtmečiui sukurtas leidinys „Giedraičių gimnazijai -100”, kuris atiduotas spausdinimui (rėmėjų lėšomis). Gimnazijos mokiniai dalyvavo 3 respublikinio projekto „Nepamiršk parašiuto“ viktorinose. Pagal projektą „Sveikatiada“ įgyvendintos veiklos sveikai mitybai skatinti pradinėse ir 5-7 klasėse.</w:t>
            </w:r>
          </w:p>
          <w:p w:rsidR="00F34167" w:rsidRPr="00F34167" w:rsidRDefault="00F34167">
            <w:pPr>
              <w:jc w:val="both"/>
              <w:rPr>
                <w:szCs w:val="24"/>
                <w:lang w:eastAsia="lt-LT"/>
              </w:rPr>
            </w:pPr>
            <w:r w:rsidRPr="00F34167">
              <w:rPr>
                <w:szCs w:val="24"/>
                <w:lang w:eastAsia="lt-LT"/>
              </w:rPr>
              <w:t xml:space="preserve">   Nuo 2020 m. kovo 15 d. prasidėjus karantinui, teko persiorientuoti į nuotolinį mokymą ir darbą. Tuo tikslu buvo sukurtas „Giedraičių Antano Jaroševičiaus gimnazijos nuotolinio darbo tvarkos aprašas“ (2020-03-16 direktoriaus įsakymas Nr. V-26) ir  „Giedraičių Antano Jaroševičiaus gimnazijos ugdymo proceso organizavimo nuotoliniu būdu priemonių planas“ (2020-03-18 direktoriaus įsakymas Nr. V-30), mokiniai ir mokytojai buvo aprūpinti IT priemonėmis mokymui(si). Tarp mokytojų vyko nuolatinis bendradarbiavimas ir mokymasis kaip naudotis skaitmeninėmis priemonėmis. Mokinių mokymasis vyko nuotoliniu, kontaktiniu, mišriu būdais, nuolat juos keičiant dėl nestabilios epidemiologinės situacijos. </w:t>
            </w:r>
          </w:p>
          <w:p w:rsidR="00F34167" w:rsidRPr="00F34167" w:rsidRDefault="00F34167">
            <w:pPr>
              <w:jc w:val="both"/>
              <w:rPr>
                <w:szCs w:val="24"/>
                <w:lang w:eastAsia="lt-LT"/>
              </w:rPr>
            </w:pPr>
            <w:r w:rsidRPr="00F34167">
              <w:rPr>
                <w:szCs w:val="24"/>
                <w:lang w:eastAsia="lt-LT"/>
              </w:rPr>
              <w:t xml:space="preserve">   </w:t>
            </w:r>
          </w:p>
          <w:p w:rsidR="00F34167" w:rsidRPr="00F34167" w:rsidRDefault="00F34167">
            <w:pPr>
              <w:jc w:val="both"/>
              <w:rPr>
                <w:szCs w:val="24"/>
              </w:rPr>
            </w:pPr>
            <w:r w:rsidRPr="00F34167">
              <w:rPr>
                <w:szCs w:val="24"/>
                <w:lang w:eastAsia="lt-LT"/>
              </w:rPr>
              <w:t xml:space="preserve">   2019-2020 m.m. pradėjo 164 mokiniai 1-12 klasėse, baigė 162 mokiniai. Mokslo metus aukštesniuoju lygiu baigė – 13 mokinių (8%), aukštesniuoju ir pagrindiniu – 82 mokiniai. Kokybė 50,6%. Patenkinamu lygiu baigė 65 mokiniai. Patenkinamo lygio nepasiekė 15 mokinių, po papildomo darbo 6 mokiniai. Mokyklos pažangumas  90,7%, po papildomo darbo 96,3%. Du mokiniai palikti kurso kartoti. 5-8, I-IV klasių vadovų teigimu 86% (pernai 74%) mokinių padarė pažangą, o 1-8, I-IV kl. - 91% mokinių padarė pažangą. 3 mokiniai, padarę didžiausią pažangą, apdovanoti piniginėmis premijomis iš rėmėjų lėšų.</w:t>
            </w:r>
          </w:p>
          <w:p w:rsidR="00F34167" w:rsidRPr="00F34167" w:rsidRDefault="00F34167">
            <w:pPr>
              <w:jc w:val="both"/>
              <w:rPr>
                <w:szCs w:val="24"/>
                <w:lang w:eastAsia="lt-LT"/>
              </w:rPr>
            </w:pPr>
            <w:r w:rsidRPr="00F34167">
              <w:rPr>
                <w:szCs w:val="24"/>
                <w:lang w:eastAsia="lt-LT"/>
              </w:rPr>
              <w:t>Gimnazijos VBE rezultatų vidurkiai 2020 m.</w:t>
            </w:r>
          </w:p>
          <w:tbl>
            <w:tblPr>
              <w:tblW w:w="15548" w:type="dxa"/>
              <w:tblCellMar>
                <w:top w:w="55" w:type="dxa"/>
                <w:left w:w="55" w:type="dxa"/>
                <w:bottom w:w="55" w:type="dxa"/>
                <w:right w:w="55" w:type="dxa"/>
              </w:tblCellMar>
              <w:tblLook w:val="04A0" w:firstRow="1" w:lastRow="0" w:firstColumn="1" w:lastColumn="0" w:noHBand="0" w:noVBand="1"/>
            </w:tblPr>
            <w:tblGrid>
              <w:gridCol w:w="3888"/>
              <w:gridCol w:w="3887"/>
              <w:gridCol w:w="3887"/>
              <w:gridCol w:w="3886"/>
            </w:tblGrid>
            <w:tr w:rsidR="00F34167" w:rsidRPr="00F34167">
              <w:tc>
                <w:tcPr>
                  <w:tcW w:w="3887" w:type="dxa"/>
                  <w:tcBorders>
                    <w:top w:val="single" w:sz="2" w:space="0" w:color="000000"/>
                    <w:left w:val="single" w:sz="2" w:space="0" w:color="000000"/>
                    <w:bottom w:val="single" w:sz="2" w:space="0" w:color="000000"/>
                    <w:right w:val="nil"/>
                  </w:tcBorders>
                </w:tcPr>
                <w:p w:rsidR="00F34167" w:rsidRPr="00F34167" w:rsidRDefault="00F34167">
                  <w:pPr>
                    <w:pStyle w:val="TableContents"/>
                    <w:rPr>
                      <w:szCs w:val="24"/>
                    </w:rPr>
                  </w:pPr>
                </w:p>
              </w:tc>
              <w:tc>
                <w:tcPr>
                  <w:tcW w:w="3887" w:type="dxa"/>
                  <w:tcBorders>
                    <w:top w:val="single" w:sz="2" w:space="0" w:color="000000"/>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 xml:space="preserve">2020 </w:t>
                  </w:r>
                </w:p>
              </w:tc>
              <w:tc>
                <w:tcPr>
                  <w:tcW w:w="3887" w:type="dxa"/>
                  <w:tcBorders>
                    <w:top w:val="single" w:sz="2" w:space="0" w:color="000000"/>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2019</w:t>
                  </w:r>
                </w:p>
              </w:tc>
              <w:tc>
                <w:tcPr>
                  <w:tcW w:w="3886" w:type="dxa"/>
                  <w:tcBorders>
                    <w:top w:val="single" w:sz="2" w:space="0" w:color="000000"/>
                    <w:left w:val="single" w:sz="2" w:space="0" w:color="000000"/>
                    <w:bottom w:val="single" w:sz="2" w:space="0" w:color="000000"/>
                    <w:right w:val="single" w:sz="2" w:space="0" w:color="000000"/>
                  </w:tcBorders>
                  <w:hideMark/>
                </w:tcPr>
                <w:p w:rsidR="00F34167" w:rsidRPr="00F34167" w:rsidRDefault="00F34167">
                  <w:pPr>
                    <w:pStyle w:val="TableContents"/>
                    <w:jc w:val="center"/>
                    <w:rPr>
                      <w:szCs w:val="24"/>
                    </w:rPr>
                  </w:pPr>
                  <w:r w:rsidRPr="00F34167">
                    <w:rPr>
                      <w:szCs w:val="24"/>
                    </w:rPr>
                    <w:t>2018</w:t>
                  </w:r>
                </w:p>
              </w:tc>
            </w:tr>
            <w:tr w:rsidR="00F34167" w:rsidRPr="00F34167">
              <w:tc>
                <w:tcPr>
                  <w:tcW w:w="3887" w:type="dxa"/>
                  <w:tcBorders>
                    <w:top w:val="nil"/>
                    <w:left w:val="single" w:sz="2" w:space="0" w:color="000000"/>
                    <w:bottom w:val="single" w:sz="2" w:space="0" w:color="000000"/>
                    <w:right w:val="nil"/>
                  </w:tcBorders>
                  <w:hideMark/>
                </w:tcPr>
                <w:p w:rsidR="00F34167" w:rsidRPr="00F34167" w:rsidRDefault="00F34167">
                  <w:pPr>
                    <w:pStyle w:val="TableContents"/>
                    <w:rPr>
                      <w:szCs w:val="24"/>
                    </w:rPr>
                  </w:pPr>
                  <w:r w:rsidRPr="00F34167">
                    <w:rPr>
                      <w:szCs w:val="24"/>
                    </w:rPr>
                    <w:t>Lietuvių kalba</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42,9</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40,5</w:t>
                  </w:r>
                </w:p>
              </w:tc>
              <w:tc>
                <w:tcPr>
                  <w:tcW w:w="3886" w:type="dxa"/>
                  <w:tcBorders>
                    <w:top w:val="nil"/>
                    <w:left w:val="single" w:sz="2" w:space="0" w:color="000000"/>
                    <w:bottom w:val="single" w:sz="2" w:space="0" w:color="000000"/>
                    <w:right w:val="single" w:sz="2" w:space="0" w:color="000000"/>
                  </w:tcBorders>
                  <w:hideMark/>
                </w:tcPr>
                <w:p w:rsidR="00F34167" w:rsidRPr="00F34167" w:rsidRDefault="00F34167">
                  <w:pPr>
                    <w:pStyle w:val="TableContents"/>
                    <w:jc w:val="center"/>
                    <w:rPr>
                      <w:szCs w:val="24"/>
                    </w:rPr>
                  </w:pPr>
                  <w:r w:rsidRPr="00F34167">
                    <w:rPr>
                      <w:szCs w:val="24"/>
                    </w:rPr>
                    <w:t>41,2</w:t>
                  </w:r>
                </w:p>
              </w:tc>
            </w:tr>
            <w:tr w:rsidR="00F34167" w:rsidRPr="00F34167">
              <w:tc>
                <w:tcPr>
                  <w:tcW w:w="3887" w:type="dxa"/>
                  <w:tcBorders>
                    <w:top w:val="nil"/>
                    <w:left w:val="single" w:sz="2" w:space="0" w:color="000000"/>
                    <w:bottom w:val="single" w:sz="2" w:space="0" w:color="000000"/>
                    <w:right w:val="nil"/>
                  </w:tcBorders>
                  <w:hideMark/>
                </w:tcPr>
                <w:p w:rsidR="00F34167" w:rsidRPr="00F34167" w:rsidRDefault="00F34167">
                  <w:pPr>
                    <w:pStyle w:val="TableContents"/>
                    <w:rPr>
                      <w:szCs w:val="24"/>
                    </w:rPr>
                  </w:pPr>
                  <w:r w:rsidRPr="00F34167">
                    <w:rPr>
                      <w:szCs w:val="24"/>
                    </w:rPr>
                    <w:t>Užsienio (anglų) kalba</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54,25</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53,6</w:t>
                  </w:r>
                </w:p>
              </w:tc>
              <w:tc>
                <w:tcPr>
                  <w:tcW w:w="3886" w:type="dxa"/>
                  <w:tcBorders>
                    <w:top w:val="nil"/>
                    <w:left w:val="single" w:sz="2" w:space="0" w:color="000000"/>
                    <w:bottom w:val="single" w:sz="2" w:space="0" w:color="000000"/>
                    <w:right w:val="single" w:sz="2" w:space="0" w:color="000000"/>
                  </w:tcBorders>
                  <w:hideMark/>
                </w:tcPr>
                <w:p w:rsidR="00F34167" w:rsidRPr="00F34167" w:rsidRDefault="00F34167">
                  <w:pPr>
                    <w:pStyle w:val="TableContents"/>
                    <w:jc w:val="center"/>
                    <w:rPr>
                      <w:szCs w:val="24"/>
                    </w:rPr>
                  </w:pPr>
                  <w:r w:rsidRPr="00F34167">
                    <w:rPr>
                      <w:szCs w:val="24"/>
                    </w:rPr>
                    <w:t>41,8</w:t>
                  </w:r>
                </w:p>
              </w:tc>
            </w:tr>
            <w:tr w:rsidR="00F34167" w:rsidRPr="00F34167">
              <w:tc>
                <w:tcPr>
                  <w:tcW w:w="3887" w:type="dxa"/>
                  <w:tcBorders>
                    <w:top w:val="nil"/>
                    <w:left w:val="single" w:sz="2" w:space="0" w:color="000000"/>
                    <w:bottom w:val="single" w:sz="2" w:space="0" w:color="000000"/>
                    <w:right w:val="nil"/>
                  </w:tcBorders>
                  <w:hideMark/>
                </w:tcPr>
                <w:p w:rsidR="00F34167" w:rsidRPr="00F34167" w:rsidRDefault="00F34167">
                  <w:pPr>
                    <w:pStyle w:val="TableContents"/>
                    <w:rPr>
                      <w:szCs w:val="24"/>
                    </w:rPr>
                  </w:pPr>
                  <w:r w:rsidRPr="00F34167">
                    <w:rPr>
                      <w:szCs w:val="24"/>
                    </w:rPr>
                    <w:t>Užsienio (rusų) kalba</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64</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w:t>
                  </w:r>
                </w:p>
              </w:tc>
              <w:tc>
                <w:tcPr>
                  <w:tcW w:w="3886" w:type="dxa"/>
                  <w:tcBorders>
                    <w:top w:val="nil"/>
                    <w:left w:val="single" w:sz="2" w:space="0" w:color="000000"/>
                    <w:bottom w:val="single" w:sz="2" w:space="0" w:color="000000"/>
                    <w:right w:val="single" w:sz="2" w:space="0" w:color="000000"/>
                  </w:tcBorders>
                  <w:hideMark/>
                </w:tcPr>
                <w:p w:rsidR="00F34167" w:rsidRPr="00F34167" w:rsidRDefault="00F34167">
                  <w:pPr>
                    <w:pStyle w:val="TableContents"/>
                    <w:jc w:val="center"/>
                    <w:rPr>
                      <w:szCs w:val="24"/>
                    </w:rPr>
                  </w:pPr>
                  <w:r w:rsidRPr="00F34167">
                    <w:rPr>
                      <w:szCs w:val="24"/>
                    </w:rPr>
                    <w:t>-</w:t>
                  </w:r>
                </w:p>
              </w:tc>
            </w:tr>
            <w:tr w:rsidR="00F34167" w:rsidRPr="00F34167">
              <w:tc>
                <w:tcPr>
                  <w:tcW w:w="3887" w:type="dxa"/>
                  <w:tcBorders>
                    <w:top w:val="nil"/>
                    <w:left w:val="single" w:sz="2" w:space="0" w:color="000000"/>
                    <w:bottom w:val="single" w:sz="2" w:space="0" w:color="000000"/>
                    <w:right w:val="nil"/>
                  </w:tcBorders>
                  <w:hideMark/>
                </w:tcPr>
                <w:p w:rsidR="00F34167" w:rsidRPr="00F34167" w:rsidRDefault="00F34167">
                  <w:pPr>
                    <w:pStyle w:val="TableContents"/>
                    <w:rPr>
                      <w:szCs w:val="24"/>
                    </w:rPr>
                  </w:pPr>
                  <w:r w:rsidRPr="00F34167">
                    <w:rPr>
                      <w:szCs w:val="24"/>
                    </w:rPr>
                    <w:t>Matematika</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16</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26,4</w:t>
                  </w:r>
                </w:p>
              </w:tc>
              <w:tc>
                <w:tcPr>
                  <w:tcW w:w="3886" w:type="dxa"/>
                  <w:tcBorders>
                    <w:top w:val="nil"/>
                    <w:left w:val="single" w:sz="2" w:space="0" w:color="000000"/>
                    <w:bottom w:val="single" w:sz="2" w:space="0" w:color="000000"/>
                    <w:right w:val="single" w:sz="2" w:space="0" w:color="000000"/>
                  </w:tcBorders>
                  <w:hideMark/>
                </w:tcPr>
                <w:p w:rsidR="00F34167" w:rsidRPr="00F34167" w:rsidRDefault="00F34167">
                  <w:pPr>
                    <w:pStyle w:val="TableContents"/>
                    <w:jc w:val="center"/>
                    <w:rPr>
                      <w:szCs w:val="24"/>
                    </w:rPr>
                  </w:pPr>
                  <w:r w:rsidRPr="00F34167">
                    <w:rPr>
                      <w:szCs w:val="24"/>
                    </w:rPr>
                    <w:t>43,3</w:t>
                  </w:r>
                </w:p>
              </w:tc>
            </w:tr>
            <w:tr w:rsidR="00F34167" w:rsidRPr="00F34167">
              <w:tc>
                <w:tcPr>
                  <w:tcW w:w="3887" w:type="dxa"/>
                  <w:tcBorders>
                    <w:top w:val="nil"/>
                    <w:left w:val="single" w:sz="2" w:space="0" w:color="000000"/>
                    <w:bottom w:val="single" w:sz="2" w:space="0" w:color="000000"/>
                    <w:right w:val="nil"/>
                  </w:tcBorders>
                  <w:hideMark/>
                </w:tcPr>
                <w:p w:rsidR="00F34167" w:rsidRPr="00F34167" w:rsidRDefault="00F34167">
                  <w:pPr>
                    <w:pStyle w:val="TableContents"/>
                    <w:rPr>
                      <w:szCs w:val="24"/>
                    </w:rPr>
                  </w:pPr>
                  <w:r w:rsidRPr="00F34167">
                    <w:rPr>
                      <w:szCs w:val="24"/>
                    </w:rPr>
                    <w:t>IT</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25,5</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31</w:t>
                  </w:r>
                </w:p>
              </w:tc>
              <w:tc>
                <w:tcPr>
                  <w:tcW w:w="3886" w:type="dxa"/>
                  <w:tcBorders>
                    <w:top w:val="nil"/>
                    <w:left w:val="single" w:sz="2" w:space="0" w:color="000000"/>
                    <w:bottom w:val="single" w:sz="2" w:space="0" w:color="000000"/>
                    <w:right w:val="single" w:sz="2" w:space="0" w:color="000000"/>
                  </w:tcBorders>
                  <w:hideMark/>
                </w:tcPr>
                <w:p w:rsidR="00F34167" w:rsidRPr="00F34167" w:rsidRDefault="00F34167">
                  <w:pPr>
                    <w:pStyle w:val="TableContents"/>
                    <w:jc w:val="center"/>
                    <w:rPr>
                      <w:szCs w:val="24"/>
                    </w:rPr>
                  </w:pPr>
                  <w:r w:rsidRPr="00F34167">
                    <w:rPr>
                      <w:szCs w:val="24"/>
                    </w:rPr>
                    <w:t>59</w:t>
                  </w:r>
                </w:p>
              </w:tc>
            </w:tr>
            <w:tr w:rsidR="00F34167" w:rsidRPr="00F34167">
              <w:tc>
                <w:tcPr>
                  <w:tcW w:w="3887" w:type="dxa"/>
                  <w:tcBorders>
                    <w:top w:val="nil"/>
                    <w:left w:val="single" w:sz="2" w:space="0" w:color="000000"/>
                    <w:bottom w:val="single" w:sz="2" w:space="0" w:color="000000"/>
                    <w:right w:val="nil"/>
                  </w:tcBorders>
                  <w:hideMark/>
                </w:tcPr>
                <w:p w:rsidR="00F34167" w:rsidRPr="00F34167" w:rsidRDefault="00F34167">
                  <w:pPr>
                    <w:pStyle w:val="TableContents"/>
                    <w:rPr>
                      <w:szCs w:val="24"/>
                    </w:rPr>
                  </w:pPr>
                  <w:r w:rsidRPr="00F34167">
                    <w:rPr>
                      <w:szCs w:val="24"/>
                    </w:rPr>
                    <w:t xml:space="preserve">Biologija </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61</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70,3</w:t>
                  </w:r>
                </w:p>
              </w:tc>
              <w:tc>
                <w:tcPr>
                  <w:tcW w:w="3886" w:type="dxa"/>
                  <w:tcBorders>
                    <w:top w:val="nil"/>
                    <w:left w:val="single" w:sz="2" w:space="0" w:color="000000"/>
                    <w:bottom w:val="single" w:sz="2" w:space="0" w:color="000000"/>
                    <w:right w:val="single" w:sz="2" w:space="0" w:color="000000"/>
                  </w:tcBorders>
                  <w:hideMark/>
                </w:tcPr>
                <w:p w:rsidR="00F34167" w:rsidRPr="00F34167" w:rsidRDefault="00F34167">
                  <w:pPr>
                    <w:pStyle w:val="TableContents"/>
                    <w:jc w:val="center"/>
                    <w:rPr>
                      <w:szCs w:val="24"/>
                    </w:rPr>
                  </w:pPr>
                  <w:r w:rsidRPr="00F34167">
                    <w:rPr>
                      <w:szCs w:val="24"/>
                    </w:rPr>
                    <w:t>51</w:t>
                  </w:r>
                </w:p>
              </w:tc>
            </w:tr>
            <w:tr w:rsidR="00F34167" w:rsidRPr="00F34167">
              <w:tc>
                <w:tcPr>
                  <w:tcW w:w="3887" w:type="dxa"/>
                  <w:tcBorders>
                    <w:top w:val="nil"/>
                    <w:left w:val="single" w:sz="2" w:space="0" w:color="000000"/>
                    <w:bottom w:val="single" w:sz="2" w:space="0" w:color="000000"/>
                    <w:right w:val="nil"/>
                  </w:tcBorders>
                  <w:hideMark/>
                </w:tcPr>
                <w:p w:rsidR="00F34167" w:rsidRPr="00F34167" w:rsidRDefault="00F34167">
                  <w:pPr>
                    <w:pStyle w:val="TableContents"/>
                    <w:rPr>
                      <w:szCs w:val="24"/>
                    </w:rPr>
                  </w:pPr>
                  <w:r w:rsidRPr="00F34167">
                    <w:rPr>
                      <w:szCs w:val="24"/>
                    </w:rPr>
                    <w:t>Chemija</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36</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29,3</w:t>
                  </w:r>
                </w:p>
              </w:tc>
              <w:tc>
                <w:tcPr>
                  <w:tcW w:w="3886" w:type="dxa"/>
                  <w:tcBorders>
                    <w:top w:val="nil"/>
                    <w:left w:val="single" w:sz="2" w:space="0" w:color="000000"/>
                    <w:bottom w:val="single" w:sz="2" w:space="0" w:color="000000"/>
                    <w:right w:val="single" w:sz="2" w:space="0" w:color="000000"/>
                  </w:tcBorders>
                  <w:hideMark/>
                </w:tcPr>
                <w:p w:rsidR="00F34167" w:rsidRPr="00F34167" w:rsidRDefault="00F34167">
                  <w:pPr>
                    <w:pStyle w:val="TableContents"/>
                    <w:jc w:val="center"/>
                    <w:rPr>
                      <w:szCs w:val="24"/>
                    </w:rPr>
                  </w:pPr>
                  <w:r w:rsidRPr="00F34167">
                    <w:rPr>
                      <w:szCs w:val="24"/>
                    </w:rPr>
                    <w:t>71</w:t>
                  </w:r>
                </w:p>
              </w:tc>
            </w:tr>
            <w:tr w:rsidR="00F34167" w:rsidRPr="00F34167">
              <w:tc>
                <w:tcPr>
                  <w:tcW w:w="3887" w:type="dxa"/>
                  <w:tcBorders>
                    <w:top w:val="nil"/>
                    <w:left w:val="single" w:sz="2" w:space="0" w:color="000000"/>
                    <w:bottom w:val="single" w:sz="2" w:space="0" w:color="000000"/>
                    <w:right w:val="nil"/>
                  </w:tcBorders>
                  <w:hideMark/>
                </w:tcPr>
                <w:p w:rsidR="00F34167" w:rsidRPr="00F34167" w:rsidRDefault="00F34167">
                  <w:pPr>
                    <w:pStyle w:val="TableContents"/>
                    <w:rPr>
                      <w:szCs w:val="24"/>
                    </w:rPr>
                  </w:pPr>
                  <w:r w:rsidRPr="00F34167">
                    <w:rPr>
                      <w:szCs w:val="24"/>
                    </w:rPr>
                    <w:t>Fizika</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34,7</w:t>
                  </w:r>
                </w:p>
              </w:tc>
              <w:tc>
                <w:tcPr>
                  <w:tcW w:w="3886" w:type="dxa"/>
                  <w:tcBorders>
                    <w:top w:val="nil"/>
                    <w:left w:val="single" w:sz="2" w:space="0" w:color="000000"/>
                    <w:bottom w:val="single" w:sz="2" w:space="0" w:color="000000"/>
                    <w:right w:val="single" w:sz="2" w:space="0" w:color="000000"/>
                  </w:tcBorders>
                  <w:hideMark/>
                </w:tcPr>
                <w:p w:rsidR="00F34167" w:rsidRPr="00F34167" w:rsidRDefault="00F34167">
                  <w:pPr>
                    <w:pStyle w:val="TableContents"/>
                    <w:jc w:val="center"/>
                    <w:rPr>
                      <w:szCs w:val="24"/>
                    </w:rPr>
                  </w:pPr>
                  <w:r w:rsidRPr="00F34167">
                    <w:rPr>
                      <w:szCs w:val="24"/>
                    </w:rPr>
                    <w:t>46</w:t>
                  </w:r>
                </w:p>
              </w:tc>
            </w:tr>
            <w:tr w:rsidR="00F34167" w:rsidRPr="00F34167">
              <w:tc>
                <w:tcPr>
                  <w:tcW w:w="3887" w:type="dxa"/>
                  <w:tcBorders>
                    <w:top w:val="nil"/>
                    <w:left w:val="single" w:sz="2" w:space="0" w:color="000000"/>
                    <w:bottom w:val="single" w:sz="2" w:space="0" w:color="000000"/>
                    <w:right w:val="nil"/>
                  </w:tcBorders>
                  <w:hideMark/>
                </w:tcPr>
                <w:p w:rsidR="00F34167" w:rsidRPr="00F34167" w:rsidRDefault="00F34167">
                  <w:pPr>
                    <w:pStyle w:val="TableContents"/>
                    <w:rPr>
                      <w:szCs w:val="24"/>
                    </w:rPr>
                  </w:pPr>
                  <w:r w:rsidRPr="00F34167">
                    <w:rPr>
                      <w:szCs w:val="24"/>
                    </w:rPr>
                    <w:t>Istorija</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49.25</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54,8</w:t>
                  </w:r>
                </w:p>
              </w:tc>
              <w:tc>
                <w:tcPr>
                  <w:tcW w:w="3886" w:type="dxa"/>
                  <w:tcBorders>
                    <w:top w:val="nil"/>
                    <w:left w:val="single" w:sz="2" w:space="0" w:color="000000"/>
                    <w:bottom w:val="single" w:sz="2" w:space="0" w:color="000000"/>
                    <w:right w:val="single" w:sz="2" w:space="0" w:color="000000"/>
                  </w:tcBorders>
                  <w:hideMark/>
                </w:tcPr>
                <w:p w:rsidR="00F34167" w:rsidRPr="00F34167" w:rsidRDefault="00F34167">
                  <w:pPr>
                    <w:pStyle w:val="TableContents"/>
                    <w:jc w:val="center"/>
                    <w:rPr>
                      <w:szCs w:val="24"/>
                    </w:rPr>
                  </w:pPr>
                  <w:r w:rsidRPr="00F34167">
                    <w:rPr>
                      <w:szCs w:val="24"/>
                    </w:rPr>
                    <w:t>36,6</w:t>
                  </w:r>
                </w:p>
              </w:tc>
            </w:tr>
            <w:tr w:rsidR="00F34167" w:rsidRPr="00F34167">
              <w:tc>
                <w:tcPr>
                  <w:tcW w:w="3887" w:type="dxa"/>
                  <w:tcBorders>
                    <w:top w:val="nil"/>
                    <w:left w:val="single" w:sz="2" w:space="0" w:color="000000"/>
                    <w:bottom w:val="single" w:sz="2" w:space="0" w:color="000000"/>
                    <w:right w:val="nil"/>
                  </w:tcBorders>
                  <w:hideMark/>
                </w:tcPr>
                <w:p w:rsidR="00F34167" w:rsidRPr="00F34167" w:rsidRDefault="00F34167">
                  <w:pPr>
                    <w:pStyle w:val="TableContents"/>
                    <w:rPr>
                      <w:szCs w:val="24"/>
                    </w:rPr>
                  </w:pPr>
                  <w:r w:rsidRPr="00F34167">
                    <w:rPr>
                      <w:szCs w:val="24"/>
                    </w:rPr>
                    <w:t>Geografija</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27,8</w:t>
                  </w:r>
                </w:p>
              </w:tc>
              <w:tc>
                <w:tcPr>
                  <w:tcW w:w="3887" w:type="dxa"/>
                  <w:tcBorders>
                    <w:top w:val="nil"/>
                    <w:left w:val="single" w:sz="2" w:space="0" w:color="000000"/>
                    <w:bottom w:val="single" w:sz="2" w:space="0" w:color="000000"/>
                    <w:right w:val="nil"/>
                  </w:tcBorders>
                  <w:hideMark/>
                </w:tcPr>
                <w:p w:rsidR="00F34167" w:rsidRPr="00F34167" w:rsidRDefault="00F34167">
                  <w:pPr>
                    <w:pStyle w:val="TableContents"/>
                    <w:jc w:val="center"/>
                    <w:rPr>
                      <w:szCs w:val="24"/>
                    </w:rPr>
                  </w:pPr>
                  <w:r w:rsidRPr="00F34167">
                    <w:rPr>
                      <w:szCs w:val="24"/>
                    </w:rPr>
                    <w:t>16</w:t>
                  </w:r>
                </w:p>
              </w:tc>
              <w:tc>
                <w:tcPr>
                  <w:tcW w:w="3886" w:type="dxa"/>
                  <w:tcBorders>
                    <w:top w:val="nil"/>
                    <w:left w:val="single" w:sz="2" w:space="0" w:color="000000"/>
                    <w:bottom w:val="single" w:sz="2" w:space="0" w:color="000000"/>
                    <w:right w:val="single" w:sz="2" w:space="0" w:color="000000"/>
                  </w:tcBorders>
                  <w:hideMark/>
                </w:tcPr>
                <w:p w:rsidR="00F34167" w:rsidRPr="00F34167" w:rsidRDefault="00F34167">
                  <w:pPr>
                    <w:pStyle w:val="TableContents"/>
                    <w:jc w:val="center"/>
                    <w:rPr>
                      <w:szCs w:val="24"/>
                    </w:rPr>
                  </w:pPr>
                  <w:r w:rsidRPr="00F34167">
                    <w:rPr>
                      <w:szCs w:val="24"/>
                    </w:rPr>
                    <w:t>21,7</w:t>
                  </w:r>
                </w:p>
              </w:tc>
            </w:tr>
          </w:tbl>
          <w:p w:rsidR="00F34167" w:rsidRPr="00F34167" w:rsidRDefault="00F34167">
            <w:pPr>
              <w:rPr>
                <w:szCs w:val="24"/>
                <w:lang w:eastAsia="lt-LT"/>
              </w:rPr>
            </w:pPr>
          </w:p>
          <w:p w:rsidR="00F34167" w:rsidRPr="00F34167" w:rsidRDefault="00F34167">
            <w:pPr>
              <w:rPr>
                <w:szCs w:val="24"/>
              </w:rPr>
            </w:pPr>
            <w:r w:rsidRPr="00F34167">
              <w:rPr>
                <w:szCs w:val="24"/>
              </w:rPr>
              <w:t xml:space="preserve">   Bendras laikytų VBE vidurkis 41,85 (šalies – 54,42, savivaldybės – 49,58).</w:t>
            </w:r>
          </w:p>
          <w:p w:rsidR="00F34167" w:rsidRPr="00F34167" w:rsidRDefault="00F34167">
            <w:pPr>
              <w:rPr>
                <w:szCs w:val="24"/>
                <w:lang w:eastAsia="lt-LT"/>
              </w:rPr>
            </w:pPr>
            <w:r w:rsidRPr="00F34167">
              <w:rPr>
                <w:szCs w:val="24"/>
                <w:lang w:eastAsia="lt-LT"/>
              </w:rPr>
              <w:t xml:space="preserve">   Gimnaziją baigė 16 abiturientų, visi įgijo vidurinį išsilavinimą. Valstybinius egzaminus laikė visi. Iš viso laikė 19 mokyklinių egzaminų ir 43 valstybinius egzaminus. Aukščiausi pasiekimai G.K. anglų k. VBE 100 ir A.A. rusų k. VBE 96.</w:t>
            </w:r>
          </w:p>
          <w:p w:rsidR="00F34167" w:rsidRPr="00F34167" w:rsidRDefault="00F34167">
            <w:pPr>
              <w:rPr>
                <w:szCs w:val="24"/>
              </w:rPr>
            </w:pPr>
            <w:r w:rsidRPr="00F34167">
              <w:rPr>
                <w:szCs w:val="24"/>
                <w:lang w:eastAsia="lt-LT"/>
              </w:rPr>
              <w:t>4 abiturientai mokosi aukštosiose mokyklose, 4 - profesinėse ar kursuose, 3 – tarnauja kariuomenėje, 3 – dirba.</w:t>
            </w:r>
          </w:p>
          <w:p w:rsidR="00F34167" w:rsidRPr="00F34167" w:rsidRDefault="00F34167">
            <w:pPr>
              <w:jc w:val="both"/>
              <w:rPr>
                <w:szCs w:val="24"/>
                <w:lang w:eastAsia="lt-LT"/>
              </w:rPr>
            </w:pPr>
            <w:r w:rsidRPr="00F34167">
              <w:rPr>
                <w:szCs w:val="24"/>
                <w:lang w:eastAsia="lt-LT"/>
              </w:rPr>
              <w:t>PUPP patikros nevyko dėl pandemijos. Visi (10) II klasės mokiniai gavo Pagrindinio išsilavinimo pažymėjimus. 6 mokiniai tęsia mokslą mūsų gimnazijoje, kiti pasirinko kitas mokymosi įstaigas.</w:t>
            </w:r>
          </w:p>
          <w:p w:rsidR="00F34167" w:rsidRPr="00F34167" w:rsidRDefault="00F34167">
            <w:pPr>
              <w:rPr>
                <w:szCs w:val="24"/>
                <w:lang w:eastAsia="lt-LT"/>
              </w:rPr>
            </w:pPr>
            <w:r w:rsidRPr="00F34167">
              <w:rPr>
                <w:szCs w:val="24"/>
                <w:lang w:eastAsia="lt-LT"/>
              </w:rPr>
              <w:t xml:space="preserve">  Priešmokyklinėje grupėje ir pradinėse klasėse pradėta įgyvendinti socialinio ir emocinių įgūdžių ugdymo programos Lions Quest dalis „Laikas kartu“, 5-8, I-IV klasėse – psichoaktyviųjų medžiagų vartojimo prevencinė programa „Savu keliu“. Mokinių saugumui užtikrinti ir patyčių prevencijai gimnazijoje įrengtos 8 stebėjimo kameros (iš viso reikia 12). </w:t>
            </w:r>
          </w:p>
          <w:p w:rsidR="00F34167" w:rsidRPr="00F34167" w:rsidRDefault="00F34167">
            <w:pPr>
              <w:rPr>
                <w:rFonts w:asciiTheme="minorHAnsi" w:hAnsiTheme="minorHAnsi" w:cstheme="minorBidi"/>
                <w:szCs w:val="24"/>
              </w:rPr>
            </w:pPr>
            <w:r w:rsidRPr="00F34167">
              <w:rPr>
                <w:szCs w:val="24"/>
                <w:lang w:eastAsia="lt-LT"/>
              </w:rPr>
              <w:t xml:space="preserve">   Nuo 2020 m. rugsėjo 1 d. reorganizavimo būdu prijungta Joniškio mokykla-daugiafunkcis centras, kuriame mokosi 46 mokiniai. </w:t>
            </w:r>
          </w:p>
          <w:p w:rsidR="00F34167" w:rsidRPr="00F34167" w:rsidRDefault="00F34167">
            <w:pPr>
              <w:jc w:val="center"/>
              <w:rPr>
                <w:szCs w:val="24"/>
                <w:lang w:eastAsia="lt-LT"/>
              </w:rPr>
            </w:pPr>
          </w:p>
        </w:tc>
      </w:tr>
    </w:tbl>
    <w:p w:rsidR="00AA13F1" w:rsidRDefault="00AA13F1" w:rsidP="00AA13F1">
      <w:pPr>
        <w:tabs>
          <w:tab w:val="left" w:pos="4845"/>
        </w:tabs>
      </w:pPr>
    </w:p>
    <w:p w:rsidR="00AA13F1" w:rsidRDefault="00AA13F1" w:rsidP="00AA13F1">
      <w:pPr>
        <w:tabs>
          <w:tab w:val="left" w:pos="4845"/>
        </w:tabs>
      </w:pPr>
    </w:p>
    <w:p w:rsidR="00F9520A" w:rsidRPr="00AA13F1" w:rsidRDefault="00AA13F1" w:rsidP="00AA13F1">
      <w:pPr>
        <w:tabs>
          <w:tab w:val="left" w:pos="4845"/>
        </w:tabs>
      </w:pPr>
      <w:r>
        <w:t>Direktorė                                                                                                                                                                                                Irina Žiupkienė</w:t>
      </w:r>
    </w:p>
    <w:sectPr w:rsidR="00F9520A" w:rsidRPr="00AA13F1" w:rsidSect="00F3416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67"/>
    <w:rsid w:val="001D1569"/>
    <w:rsid w:val="004803B0"/>
    <w:rsid w:val="008763BE"/>
    <w:rsid w:val="00932799"/>
    <w:rsid w:val="00AA13F1"/>
    <w:rsid w:val="00CE516E"/>
    <w:rsid w:val="00F34167"/>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4A13"/>
  <w15:chartTrackingRefBased/>
  <w15:docId w15:val="{0CC0FD76-98A5-4635-9B4A-0C7D0A23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416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bleContents">
    <w:name w:val="Table Contents"/>
    <w:basedOn w:val="prastasis"/>
    <w:qFormat/>
    <w:rsid w:val="00F34167"/>
    <w:pPr>
      <w:suppressLineNumbers/>
    </w:pPr>
  </w:style>
  <w:style w:type="table" w:styleId="Lentelstinklelis">
    <w:name w:val="Table Grid"/>
    <w:basedOn w:val="prastojilentel"/>
    <w:uiPriority w:val="39"/>
    <w:rsid w:val="00F341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4704">
      <w:bodyDiv w:val="1"/>
      <w:marLeft w:val="0"/>
      <w:marRight w:val="0"/>
      <w:marTop w:val="0"/>
      <w:marBottom w:val="0"/>
      <w:divBdr>
        <w:top w:val="none" w:sz="0" w:space="0" w:color="auto"/>
        <w:left w:val="none" w:sz="0" w:space="0" w:color="auto"/>
        <w:bottom w:val="none" w:sz="0" w:space="0" w:color="auto"/>
        <w:right w:val="none" w:sz="0" w:space="0" w:color="auto"/>
      </w:divBdr>
    </w:div>
    <w:div w:id="12935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4285</Words>
  <Characters>2443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6</cp:revision>
  <dcterms:created xsi:type="dcterms:W3CDTF">2021-03-11T18:58:00Z</dcterms:created>
  <dcterms:modified xsi:type="dcterms:W3CDTF">2021-03-12T14:44:00Z</dcterms:modified>
</cp:coreProperties>
</file>