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BE" w:rsidRDefault="00856104" w:rsidP="0085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04">
        <w:rPr>
          <w:rFonts w:ascii="Times New Roman" w:hAnsi="Times New Roman" w:cs="Times New Roman"/>
          <w:b/>
          <w:sz w:val="24"/>
          <w:szCs w:val="24"/>
        </w:rPr>
        <w:t>VŠĮ „SUGINČIŲ BENDROSIOS PRAKTIKOS GYDYTOJO KABINETAS“</w:t>
      </w:r>
    </w:p>
    <w:p w:rsidR="00856104" w:rsidRDefault="0033231E" w:rsidP="0085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METŲ VADOVO </w:t>
      </w:r>
      <w:bookmarkStart w:id="0" w:name="_GoBack"/>
      <w:bookmarkEnd w:id="0"/>
      <w:r w:rsidR="00856104">
        <w:rPr>
          <w:rFonts w:ascii="Times New Roman" w:hAnsi="Times New Roman" w:cs="Times New Roman"/>
          <w:b/>
          <w:sz w:val="24"/>
          <w:szCs w:val="24"/>
        </w:rPr>
        <w:t>ATASKAITA</w:t>
      </w:r>
    </w:p>
    <w:p w:rsidR="009206C7" w:rsidRDefault="009206C7" w:rsidP="009206C7">
      <w:pPr>
        <w:pStyle w:val="Betarp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C7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9206C7" w:rsidRPr="009206C7" w:rsidRDefault="009206C7" w:rsidP="009206C7">
      <w:pPr>
        <w:pStyle w:val="Betarp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206C7" w:rsidRDefault="00D30628" w:rsidP="009206C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Viešoji įstaiga „Suginčių</w:t>
      </w:r>
      <w:r w:rsidR="009206C7" w:rsidRPr="009206C7">
        <w:rPr>
          <w:rFonts w:ascii="Times New Roman" w:hAnsi="Times New Roman" w:cs="Times New Roman"/>
          <w:sz w:val="24"/>
          <w:szCs w:val="24"/>
        </w:rPr>
        <w:t xml:space="preserve"> bendrosios praktikos gydytojo kabinetas“ yra Lietuvos nacionalinės sveikatos sistemos Molėtų rajono savivaldybės viešoji asmens sveikatos priežiūros ne pelno įstaiga, teikianti asmens sveikatos paslaugas pagal sutartis su užsakovais. </w:t>
      </w:r>
    </w:p>
    <w:p w:rsidR="009206C7" w:rsidRPr="009206C7" w:rsidRDefault="009206C7" w:rsidP="009206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6C7">
        <w:rPr>
          <w:rFonts w:ascii="Times New Roman" w:hAnsi="Times New Roman" w:cs="Times New Roman"/>
          <w:sz w:val="24"/>
          <w:szCs w:val="24"/>
        </w:rPr>
        <w:t>Įstaigos adresas: Darželio g. 1, Suginčių k. Molėtų rajonas. Įstaigos kodas 300047864.</w:t>
      </w:r>
    </w:p>
    <w:p w:rsidR="009206C7" w:rsidRPr="009206C7" w:rsidRDefault="009206C7" w:rsidP="009206C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>Pagrindinis įstaigos veiklos tikslas yra gyventojų sveikatos atkūrimas, prieinamas ir tinkamas įstaigos licencijoje nurodytų sveikatos priežiūros paslaugų suteikimas.</w:t>
      </w:r>
    </w:p>
    <w:p w:rsidR="009206C7" w:rsidRDefault="009206C7" w:rsidP="009206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206C7" w:rsidRDefault="009206C7" w:rsidP="009206C7">
      <w:pPr>
        <w:pStyle w:val="Betarp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VIEŠOSIOS ĮSTAIGOS DALININKAI IR JŲ ĮNAŠŲ VERTĖ</w:t>
      </w:r>
    </w:p>
    <w:p w:rsidR="009206C7" w:rsidRDefault="009206C7" w:rsidP="00D30628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D30628" w:rsidRDefault="00D30628" w:rsidP="00D3062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>Įstaigos steigėjas ir dalininkas yra Molėtų rajono savivaldybė.</w:t>
      </w:r>
      <w:r>
        <w:rPr>
          <w:rFonts w:ascii="Times New Roman" w:hAnsi="Times New Roman" w:cs="Times New Roman"/>
          <w:sz w:val="24"/>
          <w:szCs w:val="24"/>
        </w:rPr>
        <w:t xml:space="preserve"> Dalininko įnašo vertė finansinių metų pradžioje yra 289,62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finansinių metų pabaigoje- 6189,62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0628" w:rsidRDefault="00D30628" w:rsidP="00D3062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30628" w:rsidRPr="00D30628" w:rsidRDefault="00D30628" w:rsidP="00D30628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28">
        <w:rPr>
          <w:rFonts w:ascii="Times New Roman" w:hAnsi="Times New Roman" w:cs="Times New Roman"/>
          <w:b/>
          <w:sz w:val="24"/>
          <w:szCs w:val="24"/>
        </w:rPr>
        <w:t xml:space="preserve">ĮSTAIGOS GAUTOS LĖŠOS IR JŲ ŠALTINIAI PER FINANSINIUS METUS </w:t>
      </w:r>
    </w:p>
    <w:p w:rsidR="00D30628" w:rsidRPr="009206C7" w:rsidRDefault="00D30628" w:rsidP="00D30628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9206C7" w:rsidRDefault="00D30628" w:rsidP="00D30628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m. įstaiga gavo </w:t>
      </w:r>
      <w:r w:rsidR="007F02A7">
        <w:rPr>
          <w:rFonts w:ascii="Times New Roman" w:hAnsi="Times New Roman" w:cs="Times New Roman"/>
          <w:sz w:val="24"/>
          <w:szCs w:val="24"/>
        </w:rPr>
        <w:t>lėšų pagal šiuos finansavimo šaltinius:</w:t>
      </w:r>
    </w:p>
    <w:p w:rsidR="007F02A7" w:rsidRDefault="007F02A7" w:rsidP="007F02A7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pajamos už suteiktas paslaugas;</w:t>
      </w:r>
    </w:p>
    <w:p w:rsidR="007F02A7" w:rsidRDefault="007F02A7" w:rsidP="007F02A7">
      <w:pPr>
        <w:pStyle w:val="Betarp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Iš Panevėžio teritorinės ligonių kasos (Privalomojo sveikatos draudimo fondo lėšos):</w:t>
      </w:r>
    </w:p>
    <w:tbl>
      <w:tblPr>
        <w:tblW w:w="6880" w:type="dxa"/>
        <w:tblInd w:w="824" w:type="dxa"/>
        <w:tblLook w:val="04A0" w:firstRow="1" w:lastRow="0" w:firstColumn="1" w:lastColumn="0" w:noHBand="0" w:noVBand="1"/>
      </w:tblPr>
      <w:tblGrid>
        <w:gridCol w:w="700"/>
        <w:gridCol w:w="4240"/>
        <w:gridCol w:w="1940"/>
      </w:tblGrid>
      <w:tr w:rsidR="004F07B5" w:rsidRPr="004F07B5" w:rsidTr="004F07B5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Eil. </w:t>
            </w:r>
            <w:r w:rsidRPr="004F07B5">
              <w:rPr>
                <w:rFonts w:ascii="Arial" w:eastAsia="Times New Roman" w:hAnsi="Arial" w:cs="Arial"/>
                <w:b/>
                <w:bCs/>
                <w:lang w:eastAsia="lt-LT"/>
              </w:rPr>
              <w:br/>
              <w:t xml:space="preserve">Nr.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Suteiktų paslaugų pavadinimas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Lėšų suma, </w:t>
            </w:r>
            <w:proofErr w:type="spellStart"/>
            <w:r w:rsidRPr="004F07B5">
              <w:rPr>
                <w:rFonts w:ascii="Arial" w:eastAsia="Times New Roman" w:hAnsi="Arial" w:cs="Arial"/>
                <w:b/>
                <w:bCs/>
                <w:lang w:eastAsia="lt-LT"/>
              </w:rPr>
              <w:t>Eur</w:t>
            </w:r>
            <w:proofErr w:type="spellEnd"/>
          </w:p>
        </w:tc>
      </w:tr>
      <w:tr w:rsidR="004F07B5" w:rsidRPr="004F07B5" w:rsidTr="004F07B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Pirminės ambulatorinės asmens</w:t>
            </w: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 xml:space="preserve"> sveikatos priežiūros paslaugos iš viso: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42378,51</w:t>
            </w:r>
          </w:p>
        </w:tc>
      </w:tr>
      <w:tr w:rsidR="004F07B5" w:rsidRPr="004F07B5" w:rsidTr="004F07B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Pirminės ambulatorinės sveikatos </w:t>
            </w: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priežiūros paslaugos (bazinis mokėjimas už prirašytą gyventoją)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28255</w:t>
            </w:r>
          </w:p>
        </w:tc>
      </w:tr>
      <w:tr w:rsidR="004F07B5" w:rsidRPr="004F07B5" w:rsidTr="004F07B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Pirminės ambulatorijos sveikatos priežiūros skatinamosios paslaugos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10329,11</w:t>
            </w:r>
          </w:p>
        </w:tc>
      </w:tr>
      <w:tr w:rsidR="004F07B5" w:rsidRPr="004F07B5" w:rsidTr="004F07B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Slaugos paslaugos namuose </w:t>
            </w: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(sausis, vasaris, kovas)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689,4</w:t>
            </w:r>
          </w:p>
        </w:tc>
      </w:tr>
      <w:tr w:rsidR="004F07B5" w:rsidRPr="004F07B5" w:rsidTr="004F07B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Pirminės ambulatorinės asmens </w:t>
            </w: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sveikatos priežiūros geri darbo rezultatai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3105</w:t>
            </w:r>
          </w:p>
        </w:tc>
      </w:tr>
      <w:tr w:rsidR="004F07B5" w:rsidRPr="004F07B5" w:rsidTr="004F07B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Prevencinės programos iš viso: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2017,01</w:t>
            </w:r>
          </w:p>
        </w:tc>
      </w:tr>
      <w:tr w:rsidR="004F07B5" w:rsidRPr="004F07B5" w:rsidTr="004F07B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Gimdos kaklelio piktybinių navikų prevencinių </w:t>
            </w: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priemonių  programai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93,42</w:t>
            </w:r>
          </w:p>
        </w:tc>
      </w:tr>
      <w:tr w:rsidR="004F07B5" w:rsidRPr="004F07B5" w:rsidTr="004F07B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Atrankinės </w:t>
            </w:r>
            <w:proofErr w:type="spellStart"/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mamografinės</w:t>
            </w:r>
            <w:proofErr w:type="spellEnd"/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patikros</w:t>
            </w: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dėl krūties vėžio finansavimo programa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</w:tr>
      <w:tr w:rsidR="004F07B5" w:rsidRPr="004F07B5" w:rsidTr="004F07B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Asmenų, priskirtinų širdies ir kraujagyslių ligų didelės rizikos grupei, atrankos ir prevencijos priemonių finansavimo programa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1109,6</w:t>
            </w:r>
          </w:p>
        </w:tc>
      </w:tr>
      <w:tr w:rsidR="004F07B5" w:rsidRPr="004F07B5" w:rsidTr="004F07B5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Informavimo apie ankstyvąją priešinės liaukos vėžio diagnostikos ir PAS nustatymo paslauga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328,32</w:t>
            </w:r>
          </w:p>
        </w:tc>
      </w:tr>
      <w:tr w:rsidR="004F07B5" w:rsidRPr="004F07B5" w:rsidTr="004F07B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Storosios žarnos vėžio ankstyvosios diagnostikos finansavimo programa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455,67</w:t>
            </w:r>
          </w:p>
        </w:tc>
      </w:tr>
      <w:tr w:rsidR="004F07B5" w:rsidRPr="004F07B5" w:rsidTr="004F07B5">
        <w:trPr>
          <w:trHeight w:val="2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Iš viso gauta lėšų: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B5" w:rsidRPr="004F07B5" w:rsidRDefault="004F07B5" w:rsidP="004F0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F07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44395,52</w:t>
            </w:r>
          </w:p>
        </w:tc>
      </w:tr>
    </w:tbl>
    <w:p w:rsidR="004F07B5" w:rsidRDefault="004F07B5" w:rsidP="004F07B5">
      <w:pPr>
        <w:pStyle w:val="Betarp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Iš fizinių ir juridinių asmenų už suteiktas paslaugas – </w:t>
      </w:r>
      <w:r w:rsidRPr="004F07B5">
        <w:rPr>
          <w:rFonts w:ascii="Times New Roman" w:hAnsi="Times New Roman" w:cs="Times New Roman"/>
          <w:b/>
          <w:sz w:val="24"/>
          <w:szCs w:val="24"/>
        </w:rPr>
        <w:t xml:space="preserve">398,59 </w:t>
      </w:r>
      <w:proofErr w:type="spellStart"/>
      <w:r w:rsidRPr="004F07B5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4F07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07B5" w:rsidRPr="004F07B5" w:rsidRDefault="004F07B5" w:rsidP="004F07B5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  <w:r w:rsidRPr="004F07B5">
        <w:rPr>
          <w:rFonts w:ascii="Times New Roman" w:hAnsi="Times New Roman" w:cs="Times New Roman"/>
          <w:sz w:val="24"/>
          <w:szCs w:val="24"/>
        </w:rPr>
        <w:t xml:space="preserve">Iš viso gauta </w:t>
      </w:r>
      <w:r w:rsidRPr="004F07B5">
        <w:rPr>
          <w:rFonts w:ascii="Times New Roman" w:hAnsi="Times New Roman" w:cs="Times New Roman"/>
          <w:b/>
          <w:sz w:val="24"/>
          <w:szCs w:val="24"/>
        </w:rPr>
        <w:t xml:space="preserve">44794,11 </w:t>
      </w:r>
      <w:proofErr w:type="spellStart"/>
      <w:r w:rsidRPr="004F07B5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4F07B5">
        <w:rPr>
          <w:rFonts w:ascii="Times New Roman" w:hAnsi="Times New Roman" w:cs="Times New Roman"/>
          <w:sz w:val="24"/>
          <w:szCs w:val="24"/>
        </w:rPr>
        <w:t xml:space="preserve"> pajamų už suteiktas paslaugas.</w:t>
      </w:r>
    </w:p>
    <w:p w:rsidR="007F02A7" w:rsidRPr="004F07B5" w:rsidRDefault="007F02A7" w:rsidP="007F02A7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</w:p>
    <w:p w:rsidR="007F02A7" w:rsidRPr="009206C7" w:rsidRDefault="007F02A7" w:rsidP="007F02A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C2098" w:rsidRDefault="00BC2098" w:rsidP="00BC2098">
      <w:pPr>
        <w:pStyle w:val="Betarp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2.Paramos lėšos. Per 2015 m. gauta 231,07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 paramos lėšų (kiti finansavimo šaltiniai).</w:t>
      </w:r>
    </w:p>
    <w:p w:rsidR="00BC2098" w:rsidRPr="003E2EF6" w:rsidRDefault="00BC2098" w:rsidP="00BC2098">
      <w:pPr>
        <w:pStyle w:val="Betarp"/>
        <w:ind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3.Dalininko įnašas. Per 2015 m. gautas 5900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 dalininko įnašas kreditoriniam įsiskolinimui dengti.</w:t>
      </w:r>
    </w:p>
    <w:p w:rsidR="00BC2098" w:rsidRPr="003E2EF6" w:rsidRDefault="00BC2098" w:rsidP="00BC2098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BC2098" w:rsidRPr="003E2EF6" w:rsidRDefault="003E2EF6" w:rsidP="003E2EF6">
      <w:pPr>
        <w:pStyle w:val="Betarp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F6">
        <w:rPr>
          <w:rFonts w:ascii="Times New Roman" w:hAnsi="Times New Roman" w:cs="Times New Roman"/>
          <w:b/>
          <w:sz w:val="24"/>
          <w:szCs w:val="24"/>
        </w:rPr>
        <w:t>VIEŠOSIOS ĮSTAIGOS SĄNAUDOS</w:t>
      </w:r>
    </w:p>
    <w:p w:rsidR="003E2EF6" w:rsidRPr="003E2EF6" w:rsidRDefault="003E2EF6" w:rsidP="003E2EF6">
      <w:pPr>
        <w:pStyle w:val="Betarp"/>
      </w:pPr>
    </w:p>
    <w:p w:rsidR="003E2EF6" w:rsidRDefault="003E2EF6" w:rsidP="00D1629A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3E2EF6">
        <w:rPr>
          <w:rFonts w:ascii="Times New Roman" w:hAnsi="Times New Roman" w:cs="Times New Roman"/>
          <w:sz w:val="24"/>
          <w:szCs w:val="24"/>
        </w:rPr>
        <w:t xml:space="preserve">2015 m. įstaiga neviršijo 85 </w:t>
      </w:r>
      <w:r w:rsidRPr="003E2EF6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Pr="003E2EF6">
        <w:rPr>
          <w:rFonts w:ascii="Times New Roman" w:hAnsi="Times New Roman" w:cs="Times New Roman"/>
          <w:sz w:val="24"/>
          <w:szCs w:val="24"/>
          <w:lang w:val="en-US"/>
        </w:rPr>
        <w:t>patvirtinto</w:t>
      </w:r>
      <w:proofErr w:type="spellEnd"/>
      <w:r w:rsidRPr="003E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EF6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3E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EF6">
        <w:rPr>
          <w:rFonts w:ascii="Times New Roman" w:hAnsi="Times New Roman" w:cs="Times New Roman"/>
          <w:sz w:val="24"/>
          <w:szCs w:val="24"/>
          <w:lang w:val="en-US"/>
        </w:rPr>
        <w:t>užmokesčio</w:t>
      </w:r>
      <w:proofErr w:type="spellEnd"/>
      <w:r w:rsidRPr="003E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EF6">
        <w:rPr>
          <w:rFonts w:ascii="Times New Roman" w:hAnsi="Times New Roman" w:cs="Times New Roman"/>
          <w:sz w:val="24"/>
          <w:szCs w:val="24"/>
          <w:lang w:val="en-US"/>
        </w:rPr>
        <w:t>normatyvo</w:t>
      </w:r>
      <w:proofErr w:type="spellEnd"/>
      <w:r w:rsidRPr="003E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EF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3E2EF6">
        <w:rPr>
          <w:rFonts w:ascii="Times New Roman" w:hAnsi="Times New Roman" w:cs="Times New Roman"/>
          <w:sz w:val="24"/>
          <w:szCs w:val="24"/>
          <w:lang w:val="en-US"/>
        </w:rPr>
        <w:t xml:space="preserve"> 2 % </w:t>
      </w:r>
      <w:proofErr w:type="spellStart"/>
      <w:r w:rsidRPr="003E2EF6">
        <w:rPr>
          <w:rFonts w:ascii="Times New Roman" w:hAnsi="Times New Roman" w:cs="Times New Roman"/>
          <w:sz w:val="24"/>
          <w:szCs w:val="24"/>
          <w:lang w:val="en-US"/>
        </w:rPr>
        <w:t>medikamentų</w:t>
      </w:r>
      <w:proofErr w:type="spellEnd"/>
      <w:r w:rsidRPr="003E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EF6">
        <w:rPr>
          <w:rFonts w:ascii="Times New Roman" w:hAnsi="Times New Roman" w:cs="Times New Roman"/>
          <w:sz w:val="24"/>
          <w:szCs w:val="24"/>
          <w:lang w:val="en-US"/>
        </w:rPr>
        <w:t>normatyvo</w:t>
      </w:r>
      <w:proofErr w:type="spellEnd"/>
      <w:r w:rsidRPr="003E2E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E2EF6" w:rsidRDefault="003E2EF6" w:rsidP="00D1629A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sąnaudų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pasiskirstymas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629A">
        <w:rPr>
          <w:rFonts w:ascii="Times New Roman" w:hAnsi="Times New Roman" w:cs="Times New Roman"/>
          <w:sz w:val="24"/>
          <w:szCs w:val="24"/>
          <w:lang w:val="en-US"/>
        </w:rPr>
        <w:t>ekokonominės</w:t>
      </w:r>
      <w:proofErr w:type="spellEnd"/>
      <w:r w:rsidR="00D16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629A">
        <w:rPr>
          <w:rFonts w:ascii="Times New Roman" w:hAnsi="Times New Roman" w:cs="Times New Roman"/>
          <w:sz w:val="24"/>
          <w:szCs w:val="24"/>
          <w:lang w:val="en-US"/>
        </w:rPr>
        <w:t>klasifikacijos</w:t>
      </w:r>
      <w:proofErr w:type="spellEnd"/>
      <w:r w:rsidR="00D16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629A">
        <w:rPr>
          <w:rFonts w:ascii="Times New Roman" w:hAnsi="Times New Roman" w:cs="Times New Roman"/>
          <w:sz w:val="24"/>
          <w:szCs w:val="24"/>
          <w:lang w:val="en-US"/>
        </w:rPr>
        <w:t>straipsnius</w:t>
      </w:r>
      <w:proofErr w:type="spellEnd"/>
      <w:r w:rsidR="00D162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page" w:tblpX="2698" w:tblpY="90"/>
        <w:tblW w:w="5920" w:type="dxa"/>
        <w:tblLook w:val="04A0" w:firstRow="1" w:lastRow="0" w:firstColumn="1" w:lastColumn="0" w:noHBand="0" w:noVBand="1"/>
      </w:tblPr>
      <w:tblGrid>
        <w:gridCol w:w="600"/>
        <w:gridCol w:w="4044"/>
        <w:gridCol w:w="1276"/>
      </w:tblGrid>
      <w:tr w:rsidR="00BC5C43" w:rsidRPr="00F665D6" w:rsidTr="00BC5C43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Eil. </w:t>
            </w:r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 xml:space="preserve">Nr.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Veiklos sąnaudos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Suma,</w:t>
            </w:r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 xml:space="preserve"> </w:t>
            </w:r>
            <w:proofErr w:type="spellStart"/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Eur</w:t>
            </w:r>
            <w:proofErr w:type="spellEnd"/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BC5C43" w:rsidRPr="00F665D6" w:rsidTr="00BC5C4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Darbo užmokesčio ir socialinio draudimo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43658,35</w:t>
            </w:r>
          </w:p>
        </w:tc>
      </w:tr>
      <w:tr w:rsidR="00BC5C43" w:rsidRPr="00F665D6" w:rsidTr="00BC5C4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Komunalinių paslaugų ir ryšių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697,6</w:t>
            </w:r>
          </w:p>
        </w:tc>
      </w:tr>
      <w:tr w:rsidR="00BC5C43" w:rsidRPr="00F665D6" w:rsidTr="00BC5C4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Transporto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1326,38</w:t>
            </w:r>
          </w:p>
        </w:tc>
      </w:tr>
      <w:tr w:rsidR="00BC5C43" w:rsidRPr="00F665D6" w:rsidTr="00BC5C4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Kvalifikacijos kėlimo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260</w:t>
            </w:r>
          </w:p>
        </w:tc>
      </w:tr>
      <w:tr w:rsidR="00BC5C43" w:rsidRPr="00F665D6" w:rsidTr="00BC5C4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Sunaudotų atsargų savikaina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4756,06</w:t>
            </w:r>
          </w:p>
        </w:tc>
      </w:tr>
      <w:tr w:rsidR="00BC5C43" w:rsidRPr="00F665D6" w:rsidTr="00BC5C4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Kitų paslaugų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583,83</w:t>
            </w:r>
          </w:p>
        </w:tc>
      </w:tr>
      <w:tr w:rsidR="00BC5C43" w:rsidRPr="00F665D6" w:rsidTr="00BC5C4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Kitos sąnaudos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113,56</w:t>
            </w:r>
          </w:p>
        </w:tc>
      </w:tr>
      <w:tr w:rsidR="00BC5C43" w:rsidRPr="00F665D6" w:rsidTr="00BC5C43">
        <w:trPr>
          <w:trHeight w:val="25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43" w:rsidRPr="00F665D6" w:rsidRDefault="00BC5C43" w:rsidP="00BC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66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51395,78</w:t>
            </w:r>
          </w:p>
        </w:tc>
      </w:tr>
    </w:tbl>
    <w:p w:rsidR="00D1629A" w:rsidRDefault="00D1629A" w:rsidP="00D1629A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C5C43" w:rsidRDefault="00BC5C43" w:rsidP="00D1629A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C5C43" w:rsidRPr="00BC5C43" w:rsidRDefault="00BC5C43" w:rsidP="00BC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5C43" w:rsidRPr="00BC5C43" w:rsidRDefault="00BC5C43" w:rsidP="00BC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5C43" w:rsidRPr="00BC5C43" w:rsidRDefault="00BC5C43" w:rsidP="00BC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5C43" w:rsidRDefault="00BC5C43" w:rsidP="00BC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5C43" w:rsidRDefault="00BC5C43" w:rsidP="00BC5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29A" w:rsidRDefault="00BC5C43" w:rsidP="00BC5C43">
      <w:pPr>
        <w:pStyle w:val="Sraopastraipa"/>
        <w:numPr>
          <w:ilvl w:val="0"/>
          <w:numId w:val="2"/>
        </w:num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5C43">
        <w:rPr>
          <w:rFonts w:ascii="Times New Roman" w:hAnsi="Times New Roman" w:cs="Times New Roman"/>
          <w:b/>
          <w:sz w:val="24"/>
          <w:szCs w:val="24"/>
          <w:lang w:val="en-US"/>
        </w:rPr>
        <w:t>VIEŠOSIOS ĮSTAIGOS DARBUOTOJŲ SKAIČIUS</w:t>
      </w:r>
    </w:p>
    <w:p w:rsidR="00BC5C43" w:rsidRDefault="00BC5C43" w:rsidP="00BC5C43">
      <w:pPr>
        <w:pStyle w:val="Sraopastraipa"/>
        <w:tabs>
          <w:tab w:val="left" w:pos="303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2015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pradžioje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darbuotojos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eigoje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pasikeitė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darbuotojos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direktorė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šeimos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gydytoja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finansininkė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2015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pabaigoje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darbuotojos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5C43" w:rsidRDefault="00BC5C43" w:rsidP="00BC5C43">
      <w:pPr>
        <w:pStyle w:val="Sraopastraipa"/>
        <w:tabs>
          <w:tab w:val="left" w:pos="303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C5C43" w:rsidRDefault="00BC5C43" w:rsidP="00BC5C43">
      <w:pPr>
        <w:pStyle w:val="Sraopastraipa"/>
        <w:numPr>
          <w:ilvl w:val="0"/>
          <w:numId w:val="2"/>
        </w:num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5C43">
        <w:rPr>
          <w:rFonts w:ascii="Times New Roman" w:hAnsi="Times New Roman" w:cs="Times New Roman"/>
          <w:b/>
          <w:sz w:val="24"/>
          <w:szCs w:val="24"/>
          <w:lang w:val="en-US"/>
        </w:rPr>
        <w:t>VIEŠOSIOS ĮSTAIGOS SĄNAUDOS VALDYMO IŠLAIDOMS IR DUOMENYS APIE ĮSTAIGOS VADOVĄ</w:t>
      </w:r>
    </w:p>
    <w:p w:rsidR="00BC5C43" w:rsidRDefault="005046DC" w:rsidP="000A12DB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pasikeitė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šeimos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gydytoja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laikinai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einančios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pareigose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d. 0,5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šeimos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gydytojos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pareigose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Išlaidos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išlaidoms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EF6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nustatyto</w:t>
      </w:r>
      <w:proofErr w:type="spellEnd"/>
      <w:r w:rsidR="000A1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2DB">
        <w:rPr>
          <w:rFonts w:ascii="Times New Roman" w:hAnsi="Times New Roman" w:cs="Times New Roman"/>
          <w:sz w:val="24"/>
          <w:szCs w:val="24"/>
          <w:lang w:val="en-US"/>
        </w:rPr>
        <w:t>normatyvo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išmokų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mokėta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12DB" w:rsidRDefault="000A12DB" w:rsidP="000A12DB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2015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sumokėta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9045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,96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Eur.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užmokesčio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lėšų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8DD" w:rsidRDefault="004338DD" w:rsidP="000A12DB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38DD" w:rsidRDefault="004338DD" w:rsidP="004338DD">
      <w:pPr>
        <w:pStyle w:val="Sraopastraipa"/>
        <w:numPr>
          <w:ilvl w:val="0"/>
          <w:numId w:val="2"/>
        </w:num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8DD">
        <w:rPr>
          <w:rFonts w:ascii="Times New Roman" w:hAnsi="Times New Roman" w:cs="Times New Roman"/>
          <w:b/>
          <w:sz w:val="24"/>
          <w:szCs w:val="24"/>
          <w:lang w:val="en-US"/>
        </w:rPr>
        <w:t>VEIKLOS UŽDUOČIŲ ĮVYKDYMAS</w:t>
      </w:r>
    </w:p>
    <w:p w:rsidR="004338DD" w:rsidRDefault="004338DD" w:rsidP="004338DD">
      <w:pPr>
        <w:pStyle w:val="Sraopastraipa"/>
        <w:tabs>
          <w:tab w:val="left" w:pos="303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38DD" w:rsidRPr="004338DD" w:rsidRDefault="004338DD" w:rsidP="004338DD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2015 m.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rezultatas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neigiamas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t.y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>. -4215</w:t>
      </w:r>
      <w:proofErr w:type="gramStart"/>
      <w:r w:rsidRPr="004338DD">
        <w:rPr>
          <w:rFonts w:ascii="Times New Roman" w:hAnsi="Times New Roman" w:cs="Times New Roman"/>
          <w:sz w:val="24"/>
          <w:szCs w:val="24"/>
          <w:lang w:val="en-US"/>
        </w:rPr>
        <w:t>,65</w:t>
      </w:r>
      <w:proofErr w:type="gram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 Eur.,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darbuotojų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8DD">
        <w:rPr>
          <w:rFonts w:ascii="Times New Roman" w:hAnsi="Times New Roman" w:cs="Times New Roman"/>
          <w:sz w:val="24"/>
          <w:szCs w:val="24"/>
          <w:lang w:val="en-US"/>
        </w:rPr>
        <w:t>kaitos</w:t>
      </w:r>
      <w:proofErr w:type="spellEnd"/>
      <w:r w:rsidRPr="00433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jiems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išmokėtų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kompensacijų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nepanaudotas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atostogas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patyrė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daugiau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sąnaudų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sukaupusi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pajamų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pabaigoje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kreditorinio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įsiskolinimo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sukaupė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5341</w:t>
      </w:r>
      <w:proofErr w:type="gramStart"/>
      <w:r w:rsidR="008909A2">
        <w:rPr>
          <w:rFonts w:ascii="Times New Roman" w:hAnsi="Times New Roman" w:cs="Times New Roman"/>
          <w:sz w:val="24"/>
          <w:szCs w:val="24"/>
          <w:lang w:val="en-US"/>
        </w:rPr>
        <w:t>,88</w:t>
      </w:r>
      <w:proofErr w:type="gram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Eur.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piniginių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lėšų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Ilgalaikio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turto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įstaiga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neįsigijo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9A2">
        <w:rPr>
          <w:rFonts w:ascii="Times New Roman" w:hAnsi="Times New Roman" w:cs="Times New Roman"/>
          <w:sz w:val="24"/>
          <w:szCs w:val="24"/>
          <w:lang w:val="en-US"/>
        </w:rPr>
        <w:t>neperleido</w:t>
      </w:r>
      <w:proofErr w:type="spellEnd"/>
      <w:r w:rsidR="008909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12DB" w:rsidRDefault="000A12DB" w:rsidP="000A12DB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2DB" w:rsidRDefault="000A12DB" w:rsidP="000A12DB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9A2" w:rsidRDefault="008909A2" w:rsidP="000A12DB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9A2" w:rsidRDefault="008909A2" w:rsidP="000A12DB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2DB" w:rsidRDefault="000A12DB" w:rsidP="000A12DB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L.e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Rima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Tijūnėlienė</w:t>
      </w:r>
      <w:proofErr w:type="spellEnd"/>
    </w:p>
    <w:p w:rsidR="000A12DB" w:rsidRDefault="000A12DB" w:rsidP="000A12DB">
      <w:pPr>
        <w:tabs>
          <w:tab w:val="left" w:pos="303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A12DB" w:rsidRDefault="000A12DB" w:rsidP="005046DC">
      <w:pPr>
        <w:tabs>
          <w:tab w:val="left" w:pos="303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046DC" w:rsidRPr="00BC5C43" w:rsidRDefault="005046DC" w:rsidP="005046DC">
      <w:pPr>
        <w:tabs>
          <w:tab w:val="left" w:pos="3030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46DC" w:rsidRPr="00BC5C43" w:rsidSect="008561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9A"/>
    <w:multiLevelType w:val="hybridMultilevel"/>
    <w:tmpl w:val="83640360"/>
    <w:lvl w:ilvl="0" w:tplc="EDF8D0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504D"/>
    <w:multiLevelType w:val="multilevel"/>
    <w:tmpl w:val="16946C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7617257F"/>
    <w:multiLevelType w:val="hybridMultilevel"/>
    <w:tmpl w:val="A21A2DC6"/>
    <w:lvl w:ilvl="0" w:tplc="3B9E9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0"/>
    <w:rsid w:val="000A12DB"/>
    <w:rsid w:val="000F48A0"/>
    <w:rsid w:val="002B52BE"/>
    <w:rsid w:val="0033231E"/>
    <w:rsid w:val="003E2EF6"/>
    <w:rsid w:val="004338DD"/>
    <w:rsid w:val="004F07B5"/>
    <w:rsid w:val="005046DC"/>
    <w:rsid w:val="007F02A7"/>
    <w:rsid w:val="00856104"/>
    <w:rsid w:val="008909A2"/>
    <w:rsid w:val="009206C7"/>
    <w:rsid w:val="00BC2098"/>
    <w:rsid w:val="00BC5C43"/>
    <w:rsid w:val="00D1629A"/>
    <w:rsid w:val="00D30628"/>
    <w:rsid w:val="00F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4724-6695-416F-9B5E-628D6F1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206C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BC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2679</Words>
  <Characters>1528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Bareikytė Miglė</cp:lastModifiedBy>
  <cp:revision>2</cp:revision>
  <dcterms:created xsi:type="dcterms:W3CDTF">2016-03-21T13:01:00Z</dcterms:created>
  <dcterms:modified xsi:type="dcterms:W3CDTF">2016-03-21T13:01:00Z</dcterms:modified>
</cp:coreProperties>
</file>