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439A5" w14:textId="77777777" w:rsidR="00615035" w:rsidRDefault="00615035" w:rsidP="00677583">
      <w:pPr>
        <w:rPr>
          <w:b/>
        </w:rPr>
      </w:pPr>
    </w:p>
    <w:p w14:paraId="02D424F8" w14:textId="77777777" w:rsidR="00472AE8" w:rsidRDefault="00472AE8" w:rsidP="00D81959">
      <w:pPr>
        <w:ind w:left="3888" w:firstLine="1296"/>
        <w:jc w:val="center"/>
        <w:rPr>
          <w:b/>
        </w:rPr>
      </w:pPr>
      <w:r w:rsidRPr="00813CF5">
        <w:rPr>
          <w:b/>
        </w:rPr>
        <w:t>Projekto lyginamasis variantas</w:t>
      </w:r>
    </w:p>
    <w:p w14:paraId="1F9AF026" w14:textId="77777777" w:rsidR="00D81959" w:rsidRDefault="00D81959" w:rsidP="00472AE8">
      <w:pPr>
        <w:jc w:val="right"/>
        <w:rPr>
          <w:b/>
        </w:rPr>
      </w:pPr>
    </w:p>
    <w:p w14:paraId="15FBA22C" w14:textId="77777777" w:rsidR="00D81959" w:rsidRPr="004E72E3" w:rsidRDefault="00D81959" w:rsidP="00D81959">
      <w:pPr>
        <w:pStyle w:val="Patvirtinta"/>
        <w:outlineLvl w:val="0"/>
        <w:rPr>
          <w:sz w:val="24"/>
          <w:szCs w:val="24"/>
        </w:rPr>
      </w:pPr>
      <w:r w:rsidRPr="004E72E3">
        <w:rPr>
          <w:sz w:val="24"/>
          <w:szCs w:val="24"/>
        </w:rPr>
        <w:t>PATVIRTINTA</w:t>
      </w:r>
    </w:p>
    <w:p w14:paraId="71893D96" w14:textId="77777777" w:rsidR="00D81959" w:rsidRDefault="00D81959" w:rsidP="00D81959">
      <w:pPr>
        <w:pStyle w:val="Patvirtinta"/>
        <w:rPr>
          <w:sz w:val="24"/>
          <w:szCs w:val="24"/>
        </w:rPr>
      </w:pPr>
      <w:r w:rsidRPr="004E72E3">
        <w:rPr>
          <w:sz w:val="24"/>
          <w:szCs w:val="24"/>
        </w:rPr>
        <w:t>Molėtų rajono savivaldybės tarybos 201</w:t>
      </w:r>
      <w:r>
        <w:rPr>
          <w:sz w:val="24"/>
          <w:szCs w:val="24"/>
        </w:rPr>
        <w:t>9</w:t>
      </w:r>
      <w:r w:rsidRPr="004E72E3">
        <w:rPr>
          <w:sz w:val="24"/>
          <w:szCs w:val="24"/>
        </w:rPr>
        <w:t xml:space="preserve"> m. </w:t>
      </w:r>
      <w:r>
        <w:rPr>
          <w:sz w:val="24"/>
          <w:szCs w:val="24"/>
        </w:rPr>
        <w:t xml:space="preserve">sausio 24 </w:t>
      </w:r>
      <w:r w:rsidRPr="004E72E3">
        <w:rPr>
          <w:sz w:val="24"/>
          <w:szCs w:val="24"/>
        </w:rPr>
        <w:t xml:space="preserve">d. </w:t>
      </w:r>
    </w:p>
    <w:p w14:paraId="390C87E6" w14:textId="77777777" w:rsidR="00D81959" w:rsidRDefault="00D81959" w:rsidP="00D81959">
      <w:pPr>
        <w:pStyle w:val="Patvirtinta"/>
        <w:rPr>
          <w:sz w:val="24"/>
          <w:szCs w:val="24"/>
        </w:rPr>
      </w:pPr>
      <w:r w:rsidRPr="004E72E3">
        <w:rPr>
          <w:sz w:val="24"/>
          <w:szCs w:val="24"/>
        </w:rPr>
        <w:t xml:space="preserve">sprendimu Nr. </w:t>
      </w:r>
      <w:r>
        <w:rPr>
          <w:sz w:val="24"/>
          <w:szCs w:val="24"/>
        </w:rPr>
        <w:t>B1</w:t>
      </w:r>
      <w:r w:rsidRPr="004E72E3">
        <w:rPr>
          <w:sz w:val="24"/>
          <w:szCs w:val="24"/>
        </w:rPr>
        <w:t>-</w:t>
      </w:r>
      <w:r>
        <w:rPr>
          <w:sz w:val="24"/>
          <w:szCs w:val="24"/>
        </w:rPr>
        <w:t>13</w:t>
      </w:r>
    </w:p>
    <w:p w14:paraId="30C64551" w14:textId="77777777" w:rsidR="00D81959" w:rsidRDefault="00D81959" w:rsidP="00D81959">
      <w:pPr>
        <w:pStyle w:val="Patvirtinta"/>
        <w:rPr>
          <w:sz w:val="24"/>
          <w:szCs w:val="24"/>
        </w:rPr>
      </w:pPr>
      <w:r>
        <w:rPr>
          <w:sz w:val="24"/>
          <w:szCs w:val="24"/>
        </w:rPr>
        <w:t>(Molėtų rajono savivaldybės tarybos</w:t>
      </w:r>
    </w:p>
    <w:p w14:paraId="415E0832" w14:textId="598CFC0D" w:rsidR="00D81959" w:rsidRDefault="00D81959" w:rsidP="00D81959">
      <w:pPr>
        <w:pStyle w:val="Patvirtinta"/>
        <w:rPr>
          <w:sz w:val="24"/>
          <w:szCs w:val="24"/>
        </w:rPr>
      </w:pPr>
      <w:r>
        <w:rPr>
          <w:sz w:val="24"/>
          <w:szCs w:val="24"/>
        </w:rPr>
        <w:t>2019 m. spali</w:t>
      </w:r>
      <w:r w:rsidR="00323501">
        <w:rPr>
          <w:sz w:val="24"/>
          <w:szCs w:val="24"/>
        </w:rPr>
        <w:t>o 31</w:t>
      </w:r>
      <w:r>
        <w:rPr>
          <w:sz w:val="24"/>
          <w:szCs w:val="24"/>
        </w:rPr>
        <w:t xml:space="preserve"> d.</w:t>
      </w:r>
    </w:p>
    <w:p w14:paraId="0CBD27C3" w14:textId="4AF83473" w:rsidR="00677583" w:rsidRDefault="00D81959" w:rsidP="00D37F8B">
      <w:pPr>
        <w:ind w:left="4657" w:firstLine="527"/>
        <w:jc w:val="center"/>
      </w:pPr>
      <w:r>
        <w:rPr>
          <w:szCs w:val="24"/>
        </w:rPr>
        <w:t xml:space="preserve">       sprendimo Nr. B1-</w:t>
      </w:r>
      <w:r w:rsidR="00323501">
        <w:rPr>
          <w:szCs w:val="24"/>
        </w:rPr>
        <w:t xml:space="preserve">240 </w:t>
      </w:r>
      <w:r>
        <w:rPr>
          <w:szCs w:val="24"/>
        </w:rPr>
        <w:t>redakcija)</w:t>
      </w:r>
      <w:r>
        <w:t xml:space="preserve">  </w:t>
      </w:r>
    </w:p>
    <w:p w14:paraId="4FAB0A34" w14:textId="77777777" w:rsidR="00677583" w:rsidRDefault="00677583" w:rsidP="00677583">
      <w:pPr>
        <w:pStyle w:val="Patvirtinta"/>
        <w:rPr>
          <w:sz w:val="24"/>
          <w:szCs w:val="24"/>
        </w:rPr>
      </w:pPr>
      <w:r>
        <w:rPr>
          <w:sz w:val="24"/>
          <w:szCs w:val="24"/>
        </w:rPr>
        <w:t>(Molėtų rajono savivaldybės tarybos</w:t>
      </w:r>
    </w:p>
    <w:p w14:paraId="6FB346BA" w14:textId="2A6B65E4" w:rsidR="00677583" w:rsidRDefault="00677583" w:rsidP="00677583">
      <w:pPr>
        <w:pStyle w:val="Patvirtinta"/>
        <w:rPr>
          <w:sz w:val="24"/>
          <w:szCs w:val="24"/>
        </w:rPr>
      </w:pPr>
      <w:r>
        <w:rPr>
          <w:sz w:val="24"/>
          <w:szCs w:val="24"/>
        </w:rPr>
        <w:t>20</w:t>
      </w:r>
      <w:r w:rsidR="00323501">
        <w:rPr>
          <w:sz w:val="24"/>
          <w:szCs w:val="24"/>
        </w:rPr>
        <w:t>20</w:t>
      </w:r>
      <w:r>
        <w:rPr>
          <w:sz w:val="24"/>
          <w:szCs w:val="24"/>
        </w:rPr>
        <w:t xml:space="preserve"> m. </w:t>
      </w:r>
      <w:r w:rsidR="00323501">
        <w:rPr>
          <w:sz w:val="24"/>
          <w:szCs w:val="24"/>
        </w:rPr>
        <w:t xml:space="preserve">lapkričio </w:t>
      </w:r>
      <w:r>
        <w:rPr>
          <w:sz w:val="24"/>
          <w:szCs w:val="24"/>
        </w:rPr>
        <w:t>d.</w:t>
      </w:r>
    </w:p>
    <w:p w14:paraId="4BAD459B" w14:textId="042F25FF" w:rsidR="00677583" w:rsidRPr="00D37F8B" w:rsidRDefault="00677583" w:rsidP="00677583">
      <w:pPr>
        <w:ind w:left="4657" w:firstLine="527"/>
        <w:jc w:val="center"/>
        <w:rPr>
          <w:b/>
        </w:rPr>
      </w:pPr>
      <w:r>
        <w:rPr>
          <w:szCs w:val="24"/>
        </w:rPr>
        <w:t xml:space="preserve">       sprendimo Nr. B1-</w:t>
      </w:r>
      <w:r w:rsidR="00323501">
        <w:rPr>
          <w:szCs w:val="24"/>
        </w:rPr>
        <w:t xml:space="preserve"> </w:t>
      </w:r>
      <w:r>
        <w:rPr>
          <w:szCs w:val="24"/>
        </w:rPr>
        <w:t>redakcija)</w:t>
      </w:r>
      <w:r>
        <w:t xml:space="preserve">                                  </w:t>
      </w:r>
    </w:p>
    <w:p w14:paraId="4F6D42DA" w14:textId="1CB9534B" w:rsidR="00D81959" w:rsidRPr="00D37F8B" w:rsidRDefault="00D81959" w:rsidP="00D37F8B">
      <w:pPr>
        <w:ind w:left="4657" w:firstLine="527"/>
        <w:jc w:val="center"/>
        <w:rPr>
          <w:b/>
        </w:rPr>
      </w:pPr>
      <w:r>
        <w:t xml:space="preserve">                                </w:t>
      </w:r>
    </w:p>
    <w:p w14:paraId="2DAA731F" w14:textId="77777777" w:rsidR="00D81959" w:rsidRDefault="00D81959" w:rsidP="00D81959">
      <w:pPr>
        <w:ind w:left="5670"/>
      </w:pPr>
    </w:p>
    <w:p w14:paraId="7F0F4280" w14:textId="77777777" w:rsidR="00D81959" w:rsidRDefault="00D81959" w:rsidP="00D81959">
      <w:pPr>
        <w:spacing w:after="120"/>
        <w:jc w:val="center"/>
        <w:rPr>
          <w:b/>
          <w:bCs/>
        </w:rPr>
      </w:pPr>
      <w:r>
        <w:rPr>
          <w:b/>
        </w:rPr>
        <w:t xml:space="preserve">MOLĖTŲ RAJONO SAVIVALDYBĖS TURTO </w:t>
      </w:r>
      <w:r>
        <w:rPr>
          <w:b/>
          <w:bCs/>
        </w:rPr>
        <w:t>PERDAVIMO PANAUDOS PAGRINDAIS LAIKINAI NEATLYGINTINAI VALDYTI IR NAUDOTIS TVARKOS APRAŠAS</w:t>
      </w:r>
    </w:p>
    <w:p w14:paraId="07772B54" w14:textId="341165BE" w:rsidR="00D81959" w:rsidRDefault="00D81959" w:rsidP="00D81959">
      <w:pPr>
        <w:spacing w:after="120"/>
        <w:contextualSpacing/>
        <w:jc w:val="center"/>
        <w:rPr>
          <w:b/>
          <w:bCs/>
        </w:rPr>
      </w:pPr>
    </w:p>
    <w:p w14:paraId="1566450F" w14:textId="264B9671" w:rsidR="009074D0" w:rsidRDefault="009074D0" w:rsidP="009074D0">
      <w:pPr>
        <w:spacing w:line="360" w:lineRule="auto"/>
        <w:ind w:firstLine="720"/>
        <w:contextualSpacing/>
        <w:jc w:val="both"/>
      </w:pPr>
      <w:r>
        <w:rPr>
          <w:noProof/>
        </w:rPr>
        <w:t>„</w:t>
      </w:r>
      <w:r>
        <w:t xml:space="preserve">2. Savivaldybei nuosavybės teise priklausantis turtas gali būti </w:t>
      </w:r>
      <w:r w:rsidR="00F4653D">
        <w:t>perduodamas</w:t>
      </w:r>
      <w:r>
        <w:t xml:space="preserve"> panaudos pagrindais šiems subjektams:</w:t>
      </w:r>
    </w:p>
    <w:p w14:paraId="0F7401FB" w14:textId="097D70D2" w:rsidR="009074D0" w:rsidRDefault="009074D0" w:rsidP="009074D0">
      <w:pPr>
        <w:spacing w:line="360" w:lineRule="auto"/>
        <w:ind w:firstLine="720"/>
        <w:contextualSpacing/>
        <w:jc w:val="both"/>
      </w:pPr>
      <w:r>
        <w:t xml:space="preserve">2.1. </w:t>
      </w:r>
      <w:r w:rsidRPr="009074D0">
        <w:rPr>
          <w:strike/>
        </w:rPr>
        <w:t>savivaldybės</w:t>
      </w:r>
      <w:r>
        <w:t xml:space="preserve"> biudžetinėms įstaigoms;</w:t>
      </w:r>
    </w:p>
    <w:p w14:paraId="707CB021" w14:textId="77777777" w:rsidR="009074D0" w:rsidRDefault="009074D0" w:rsidP="009074D0">
      <w:pPr>
        <w:spacing w:line="360" w:lineRule="auto"/>
        <w:ind w:firstLine="720"/>
        <w:contextualSpacing/>
        <w:jc w:val="both"/>
      </w:pPr>
      <w:r>
        <w:t>2.2. viešosioms įstaigoms,</w:t>
      </w:r>
      <w:r>
        <w:rPr>
          <w:color w:val="FF0000"/>
        </w:rPr>
        <w:t xml:space="preserve"> </w:t>
      </w:r>
      <w:r>
        <w:t xml:space="preserve">kurios pagal Lietuvos Respublikos viešojo sektoriaus atskaitomybės įstatymą laikomos viešojo sektoriaus subjektais, </w:t>
      </w:r>
      <w:r w:rsidRPr="009074D0">
        <w:rPr>
          <w:b/>
          <w:bCs/>
        </w:rPr>
        <w:t>viešosioms įstaigoms - mokykloms</w:t>
      </w:r>
      <w:r>
        <w:t>;</w:t>
      </w:r>
    </w:p>
    <w:p w14:paraId="7A7DD9CC" w14:textId="77777777" w:rsidR="009074D0" w:rsidRDefault="009074D0" w:rsidP="009074D0">
      <w:pPr>
        <w:spacing w:line="360" w:lineRule="auto"/>
        <w:ind w:firstLine="720"/>
        <w:contextualSpacing/>
        <w:jc w:val="both"/>
        <w:rPr>
          <w:i/>
          <w:strike/>
          <w:sz w:val="16"/>
        </w:rPr>
      </w:pPr>
      <w:r>
        <w:t>2.3. asociacijoms (tik 3 punkte nustatytiems veiklos tikslams);</w:t>
      </w:r>
    </w:p>
    <w:p w14:paraId="49195208" w14:textId="77777777" w:rsidR="009074D0" w:rsidRDefault="009074D0" w:rsidP="009074D0">
      <w:pPr>
        <w:spacing w:line="360" w:lineRule="auto"/>
        <w:ind w:firstLine="720"/>
        <w:contextualSpacing/>
        <w:jc w:val="both"/>
      </w:pPr>
      <w:r>
        <w:t>2.4. labdaros ir paramos fondams (tik 3 punkte nustatytiems veiklos tikslams);</w:t>
      </w:r>
    </w:p>
    <w:p w14:paraId="6B6CDE89" w14:textId="77777777" w:rsidR="009074D0" w:rsidRPr="009074D0" w:rsidRDefault="009074D0" w:rsidP="009074D0">
      <w:pPr>
        <w:spacing w:line="360" w:lineRule="auto"/>
        <w:ind w:firstLine="720"/>
        <w:contextualSpacing/>
        <w:jc w:val="both"/>
        <w:rPr>
          <w:b/>
          <w:bCs/>
          <w:strike/>
        </w:rPr>
      </w:pPr>
      <w:r>
        <w:t xml:space="preserve">2.5. </w:t>
      </w:r>
      <w:r w:rsidRPr="009074D0">
        <w:rPr>
          <w:b/>
          <w:bCs/>
        </w:rPr>
        <w:t>viešosios naudos nevyriausybinėms organizacijoms, teikiančioms nemokamą kompleksinę pagalbą krizinį nėštumą išgyvenančioms moterims ir jų artimiesiems, arba viešosios naudos nevyriausybinėms organizacijoms, teikiančioms nemokamą paliatyviąją pagalbą;</w:t>
      </w:r>
    </w:p>
    <w:p w14:paraId="4AA2219C" w14:textId="77777777" w:rsidR="009074D0" w:rsidRDefault="009074D0" w:rsidP="009074D0">
      <w:pPr>
        <w:spacing w:line="360" w:lineRule="auto"/>
        <w:ind w:firstLine="720"/>
        <w:contextualSpacing/>
        <w:jc w:val="both"/>
      </w:pPr>
      <w:r>
        <w:t>2.6. egzilio sąlygomis veikiančioms aukštosioms mokykloms;</w:t>
      </w:r>
    </w:p>
    <w:p w14:paraId="48F0309E" w14:textId="77777777" w:rsidR="009074D0" w:rsidRDefault="009074D0" w:rsidP="009074D0">
      <w:pPr>
        <w:spacing w:line="360" w:lineRule="auto"/>
        <w:ind w:firstLine="720"/>
        <w:contextualSpacing/>
        <w:jc w:val="both"/>
      </w:pPr>
      <w:r>
        <w:t xml:space="preserve">2.7. </w:t>
      </w:r>
      <w:r w:rsidRPr="009074D0">
        <w:rPr>
          <w:b/>
          <w:bCs/>
        </w:rPr>
        <w:t>regionų plėtros taryboms;</w:t>
      </w:r>
    </w:p>
    <w:p w14:paraId="4185FA29" w14:textId="77777777" w:rsidR="009074D0" w:rsidRDefault="009074D0" w:rsidP="009074D0">
      <w:pPr>
        <w:spacing w:line="360" w:lineRule="auto"/>
        <w:ind w:firstLine="720"/>
        <w:contextualSpacing/>
        <w:jc w:val="both"/>
      </w:pPr>
      <w:r>
        <w:t xml:space="preserve">2.8. kitiems subjektams, </w:t>
      </w:r>
      <w:r>
        <w:rPr>
          <w:lang w:eastAsia="lt-LT"/>
        </w:rPr>
        <w:t xml:space="preserve">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w:t>
      </w:r>
      <w:r>
        <w:t>valstybės įmonės Lietuvos oro uostų valdomų oro uostų koncesijos įstatyme,</w:t>
      </w:r>
      <w:r>
        <w:rPr>
          <w:lang w:eastAsia="lt-LT"/>
        </w:rPr>
        <w:t xml:space="preserve"> tarptautinėse sutartyse ar tarptautiniuose susitarimuose.“;</w:t>
      </w:r>
    </w:p>
    <w:p w14:paraId="5DEB6A70" w14:textId="77777777" w:rsidR="009074D0" w:rsidRDefault="009074D0" w:rsidP="00081FB4">
      <w:pPr>
        <w:spacing w:after="0" w:line="360" w:lineRule="auto"/>
        <w:ind w:firstLine="720"/>
        <w:jc w:val="both"/>
        <w:rPr>
          <w:rFonts w:eastAsia="Times New Roman" w:cs="Times New Roman"/>
          <w:szCs w:val="24"/>
          <w:lang w:eastAsia="lt-LT"/>
        </w:rPr>
      </w:pPr>
    </w:p>
    <w:p w14:paraId="28C4EC0C" w14:textId="614544C9" w:rsidR="00081FB4" w:rsidRDefault="00081FB4" w:rsidP="009074D0">
      <w:pPr>
        <w:spacing w:after="0" w:line="360" w:lineRule="auto"/>
        <w:jc w:val="both"/>
        <w:rPr>
          <w:rFonts w:eastAsia="Times New Roman" w:cs="Times New Roman"/>
          <w:szCs w:val="24"/>
          <w:lang w:val="en-US" w:eastAsia="lt-LT"/>
        </w:rPr>
      </w:pPr>
    </w:p>
    <w:p w14:paraId="6214B4CE" w14:textId="77777777" w:rsidR="00081FB4" w:rsidRDefault="00081FB4" w:rsidP="00081FB4">
      <w:pPr>
        <w:spacing w:after="0" w:line="240" w:lineRule="auto"/>
        <w:rPr>
          <w:rFonts w:eastAsia="Times New Roman" w:cs="Times New Roman"/>
          <w:szCs w:val="24"/>
          <w:lang w:val="en-US" w:eastAsia="lt-LT"/>
        </w:rPr>
      </w:pPr>
      <w:bookmarkStart w:id="0" w:name="part_5b4652fd047549439e456cfd1854b90e"/>
      <w:bookmarkEnd w:id="0"/>
      <w:r>
        <w:rPr>
          <w:rFonts w:eastAsia="Times New Roman" w:cs="Times New Roman"/>
          <w:szCs w:val="24"/>
          <w:lang w:eastAsia="lt-LT"/>
        </w:rPr>
        <w:lastRenderedPageBreak/>
        <w:t> </w:t>
      </w:r>
    </w:p>
    <w:p w14:paraId="756BDB99" w14:textId="77777777" w:rsidR="00081FB4" w:rsidRDefault="00081FB4" w:rsidP="00081FB4">
      <w:pPr>
        <w:spacing w:after="0" w:line="240" w:lineRule="auto"/>
        <w:rPr>
          <w:rFonts w:eastAsia="Times New Roman" w:cs="Times New Roman"/>
          <w:szCs w:val="24"/>
          <w:lang w:val="en-US" w:eastAsia="lt-LT"/>
        </w:rPr>
      </w:pPr>
      <w:bookmarkStart w:id="1" w:name="part_f1b1c00c50024b00811fd7f0c9658f2c"/>
      <w:bookmarkEnd w:id="1"/>
      <w:r>
        <w:rPr>
          <w:rFonts w:eastAsia="Times New Roman" w:cs="Times New Roman"/>
          <w:szCs w:val="24"/>
          <w:lang w:eastAsia="lt-LT"/>
        </w:rPr>
        <w:t> </w:t>
      </w:r>
    </w:p>
    <w:p w14:paraId="2F4EE8C3" w14:textId="28CAD21C" w:rsidR="009074D0" w:rsidRDefault="009074D0" w:rsidP="009074D0">
      <w:pPr>
        <w:spacing w:line="360" w:lineRule="auto"/>
        <w:ind w:firstLine="720"/>
        <w:contextualSpacing/>
        <w:jc w:val="both"/>
      </w:pPr>
      <w:bookmarkStart w:id="2" w:name="part_047d7cd75fb24bcc843e58ca5a007a71"/>
      <w:bookmarkEnd w:id="2"/>
      <w:r>
        <w:rPr>
          <w:lang w:eastAsia="lt-LT"/>
        </w:rPr>
        <w:t>„</w:t>
      </w:r>
      <w:r>
        <w:t xml:space="preserve">4.2. Aprašo 2.2 – </w:t>
      </w:r>
      <w:r w:rsidRPr="009074D0">
        <w:rPr>
          <w:strike/>
        </w:rPr>
        <w:t>2.6</w:t>
      </w:r>
      <w:r>
        <w:t xml:space="preserve"> </w:t>
      </w:r>
      <w:r w:rsidRPr="009074D0">
        <w:rPr>
          <w:b/>
          <w:bCs/>
        </w:rPr>
        <w:t>2.8</w:t>
      </w:r>
      <w:r>
        <w:t xml:space="preserve"> punktuose nurodytiems subjektams – ne ilgesniam kaip 10 metų terminui.“;</w:t>
      </w:r>
    </w:p>
    <w:p w14:paraId="6589D9B9" w14:textId="0CAC966B" w:rsidR="009074D0" w:rsidRDefault="009074D0" w:rsidP="009074D0">
      <w:pPr>
        <w:spacing w:line="360" w:lineRule="auto"/>
        <w:ind w:firstLine="720"/>
        <w:contextualSpacing/>
        <w:jc w:val="both"/>
      </w:pPr>
      <w:r>
        <w:t xml:space="preserve">„5.1.1. kai perduodami Savivaldybės nekilnojamieji daiktai Aprašo 2.2 – </w:t>
      </w:r>
      <w:r w:rsidRPr="009074D0">
        <w:rPr>
          <w:strike/>
        </w:rPr>
        <w:t>2.6</w:t>
      </w:r>
      <w:r>
        <w:t xml:space="preserve"> </w:t>
      </w:r>
      <w:r w:rsidRPr="009074D0">
        <w:rPr>
          <w:b/>
          <w:bCs/>
        </w:rPr>
        <w:t>2.8</w:t>
      </w:r>
      <w:r>
        <w:t xml:space="preserve"> punktuose nurodytiems subjektams;“;</w:t>
      </w:r>
    </w:p>
    <w:p w14:paraId="028F648A" w14:textId="4EE27D54" w:rsidR="009074D0" w:rsidRDefault="009074D0" w:rsidP="009074D0">
      <w:pPr>
        <w:spacing w:line="360" w:lineRule="auto"/>
        <w:ind w:firstLine="720"/>
        <w:contextualSpacing/>
        <w:jc w:val="both"/>
      </w:pPr>
      <w:r>
        <w:t xml:space="preserve">„5.1.2. kai perduodamas Savivaldybės nematerialusis (išskyrus savivaldybių heraldikos objektus), kitas ilgalaikis materialusis ir trumpalaikis materialusis turtas (išskyrus nekilnojamąjį turtą) Aprašo 2.4 – </w:t>
      </w:r>
      <w:r w:rsidRPr="009074D0">
        <w:rPr>
          <w:strike/>
        </w:rPr>
        <w:t>2.6</w:t>
      </w:r>
      <w:r>
        <w:t xml:space="preserve"> </w:t>
      </w:r>
      <w:r w:rsidRPr="009074D0">
        <w:rPr>
          <w:b/>
          <w:bCs/>
        </w:rPr>
        <w:t>2.8</w:t>
      </w:r>
      <w:r>
        <w:t xml:space="preserve"> punktuose nurodytiems subjektams;“;</w:t>
      </w:r>
    </w:p>
    <w:p w14:paraId="234BE746" w14:textId="6DB708BB" w:rsidR="009074D0" w:rsidRDefault="009074D0" w:rsidP="009074D0">
      <w:pPr>
        <w:spacing w:line="360" w:lineRule="auto"/>
        <w:ind w:firstLine="720"/>
        <w:contextualSpacing/>
        <w:jc w:val="both"/>
      </w:pPr>
      <w:r>
        <w:t xml:space="preserve">„6. Savivaldybės turtas Aprašo 2 punkte nurodytiems subjektams (išskyrus 2.1. ir </w:t>
      </w:r>
      <w:r w:rsidRPr="009074D0">
        <w:rPr>
          <w:strike/>
        </w:rPr>
        <w:t>2.6</w:t>
      </w:r>
      <w:r>
        <w:t xml:space="preserve"> </w:t>
      </w:r>
      <w:r w:rsidRPr="009074D0">
        <w:rPr>
          <w:b/>
          <w:bCs/>
        </w:rPr>
        <w:t>2.8</w:t>
      </w:r>
      <w:r>
        <w:t xml:space="preserve">  punktuose nurodytus subjektus) gali būti perduodamas panaudos pagrindais laikinai neatlygintinai valdyti ir naudotis, jeigu:</w:t>
      </w:r>
    </w:p>
    <w:p w14:paraId="31F4403F" w14:textId="77777777" w:rsidR="009074D0" w:rsidRDefault="009074D0" w:rsidP="009074D0">
      <w:pPr>
        <w:spacing w:line="360" w:lineRule="auto"/>
        <w:ind w:firstLine="720"/>
        <w:contextualSpacing/>
        <w:jc w:val="both"/>
        <w:rPr>
          <w:lang w:eastAsia="lt-LT"/>
        </w:rPr>
      </w:pPr>
      <w:r>
        <w:t xml:space="preserve">6.1. </w:t>
      </w:r>
      <w:r>
        <w:rPr>
          <w:lang w:eastAsia="lt-LT"/>
        </w:rPr>
        <w:t xml:space="preserve">panaudos subjektas pagrindžia, kad prašomas panaudos pagrindais suteikti turtas reikalingas jo vykdomai veiklai (jeigu subjektas yra asociacija ar labdaros ir paramos fondas, – šio Aprašo 3 punkte nustatytiems veiklos tikslams), dėl kurios turtas galėtų būti perduotas, ir jo naudojimo paskirtis atitinka šio subjekto steigimo dokumentuose nustatytus veiklos sritis ir tikslus; </w:t>
      </w:r>
    </w:p>
    <w:p w14:paraId="0251863C" w14:textId="77777777" w:rsidR="009074D0" w:rsidRDefault="009074D0" w:rsidP="009074D0">
      <w:pPr>
        <w:spacing w:line="360" w:lineRule="auto"/>
        <w:ind w:firstLine="720"/>
        <w:contextualSpacing/>
        <w:jc w:val="both"/>
        <w:rPr>
          <w:lang w:eastAsia="lt-LT"/>
        </w:rPr>
      </w:pPr>
      <w:r>
        <w:t xml:space="preserve">6.2. </w:t>
      </w:r>
      <w:r>
        <w:rPr>
          <w:lang w:eastAsia="lt-LT"/>
        </w:rPr>
        <w:t>Vyriausybės nustatyta tvarka yra įvertintas poveikis konkurencijai ir atitiktis valstybės pagalbos reikalavimams.“.</w:t>
      </w:r>
    </w:p>
    <w:p w14:paraId="61EEDAC7" w14:textId="77777777" w:rsidR="009074D0" w:rsidRDefault="009074D0" w:rsidP="009074D0">
      <w:pPr>
        <w:spacing w:line="360" w:lineRule="auto"/>
        <w:ind w:firstLine="720"/>
        <w:contextualSpacing/>
        <w:jc w:val="both"/>
      </w:pPr>
    </w:p>
    <w:p w14:paraId="07EB362C" w14:textId="77777777" w:rsidR="009074D0" w:rsidRDefault="009074D0" w:rsidP="009074D0">
      <w:pPr>
        <w:spacing w:line="360" w:lineRule="auto"/>
        <w:ind w:firstLine="720"/>
        <w:contextualSpacing/>
        <w:jc w:val="both"/>
      </w:pPr>
    </w:p>
    <w:p w14:paraId="7FF4BF23" w14:textId="77777777" w:rsidR="009074D0" w:rsidRDefault="009074D0" w:rsidP="00081FB4">
      <w:pPr>
        <w:spacing w:after="0" w:line="360" w:lineRule="auto"/>
        <w:ind w:firstLine="720"/>
        <w:contextualSpacing/>
        <w:jc w:val="both"/>
        <w:rPr>
          <w:rFonts w:eastAsia="Times New Roman" w:cs="Times New Roman"/>
          <w:szCs w:val="24"/>
          <w:lang w:eastAsia="lt-LT"/>
        </w:rPr>
      </w:pPr>
    </w:p>
    <w:p w14:paraId="4E00D3D3" w14:textId="77777777" w:rsidR="009074D0" w:rsidRDefault="009074D0" w:rsidP="00081FB4">
      <w:pPr>
        <w:spacing w:after="0" w:line="360" w:lineRule="auto"/>
        <w:ind w:firstLine="720"/>
        <w:contextualSpacing/>
        <w:jc w:val="both"/>
        <w:rPr>
          <w:rFonts w:eastAsia="Times New Roman" w:cs="Times New Roman"/>
          <w:szCs w:val="24"/>
          <w:lang w:eastAsia="lt-LT"/>
        </w:rPr>
      </w:pPr>
    </w:p>
    <w:p w14:paraId="5EBA1175" w14:textId="77777777" w:rsidR="009074D0" w:rsidRDefault="009074D0" w:rsidP="00081FB4">
      <w:pPr>
        <w:spacing w:after="0" w:line="360" w:lineRule="auto"/>
        <w:ind w:firstLine="720"/>
        <w:contextualSpacing/>
        <w:jc w:val="both"/>
        <w:rPr>
          <w:rFonts w:eastAsia="Times New Roman" w:cs="Times New Roman"/>
          <w:szCs w:val="24"/>
          <w:lang w:eastAsia="lt-LT"/>
        </w:rPr>
      </w:pPr>
    </w:p>
    <w:p w14:paraId="66DAE30D" w14:textId="77777777" w:rsidR="009074D0" w:rsidRDefault="009074D0" w:rsidP="00081FB4">
      <w:pPr>
        <w:spacing w:after="0" w:line="360" w:lineRule="auto"/>
        <w:ind w:firstLine="720"/>
        <w:contextualSpacing/>
        <w:jc w:val="both"/>
        <w:rPr>
          <w:rFonts w:eastAsia="Times New Roman" w:cs="Times New Roman"/>
          <w:szCs w:val="24"/>
          <w:lang w:eastAsia="lt-LT"/>
        </w:rPr>
      </w:pPr>
    </w:p>
    <w:p w14:paraId="5C6B63E5" w14:textId="77777777" w:rsidR="009074D0" w:rsidRDefault="009074D0" w:rsidP="00081FB4">
      <w:pPr>
        <w:spacing w:after="0" w:line="360" w:lineRule="auto"/>
        <w:ind w:firstLine="720"/>
        <w:contextualSpacing/>
        <w:jc w:val="both"/>
        <w:rPr>
          <w:rFonts w:eastAsia="Times New Roman" w:cs="Times New Roman"/>
          <w:szCs w:val="24"/>
          <w:lang w:eastAsia="lt-LT"/>
        </w:rPr>
      </w:pPr>
    </w:p>
    <w:p w14:paraId="31D4D4C0" w14:textId="77777777" w:rsidR="009074D0" w:rsidRDefault="009074D0" w:rsidP="00081FB4">
      <w:pPr>
        <w:spacing w:after="0" w:line="360" w:lineRule="auto"/>
        <w:ind w:firstLine="720"/>
        <w:contextualSpacing/>
        <w:jc w:val="both"/>
        <w:rPr>
          <w:rFonts w:eastAsia="Times New Roman" w:cs="Times New Roman"/>
          <w:szCs w:val="24"/>
          <w:lang w:eastAsia="lt-LT"/>
        </w:rPr>
      </w:pPr>
    </w:p>
    <w:p w14:paraId="1277F52B" w14:textId="77777777" w:rsidR="009074D0" w:rsidRDefault="009074D0" w:rsidP="00081FB4">
      <w:pPr>
        <w:spacing w:after="0" w:line="360" w:lineRule="auto"/>
        <w:ind w:firstLine="720"/>
        <w:contextualSpacing/>
        <w:jc w:val="both"/>
        <w:rPr>
          <w:rFonts w:eastAsia="Times New Roman" w:cs="Times New Roman"/>
          <w:szCs w:val="24"/>
          <w:lang w:eastAsia="lt-LT"/>
        </w:rPr>
      </w:pPr>
    </w:p>
    <w:p w14:paraId="54B0AC78" w14:textId="77777777" w:rsidR="00081FB4" w:rsidRDefault="00081FB4" w:rsidP="00081FB4">
      <w:pPr>
        <w:spacing w:after="0" w:line="240" w:lineRule="auto"/>
        <w:contextualSpacing/>
        <w:rPr>
          <w:rFonts w:eastAsia="Times New Roman" w:cs="Times New Roman"/>
          <w:szCs w:val="24"/>
          <w:lang w:val="en-US" w:eastAsia="lt-LT"/>
        </w:rPr>
      </w:pPr>
      <w:bookmarkStart w:id="3" w:name="part_a2b6efea7d9d49f78401a8471f8ae09c"/>
      <w:bookmarkEnd w:id="3"/>
      <w:r>
        <w:rPr>
          <w:rFonts w:eastAsia="Times New Roman" w:cs="Times New Roman"/>
          <w:szCs w:val="24"/>
          <w:lang w:eastAsia="lt-LT"/>
        </w:rPr>
        <w:t> </w:t>
      </w:r>
    </w:p>
    <w:p w14:paraId="52FAA929" w14:textId="77777777" w:rsidR="00D81959" w:rsidRDefault="00D81959" w:rsidP="00D81959">
      <w:pPr>
        <w:tabs>
          <w:tab w:val="left" w:pos="680"/>
          <w:tab w:val="left" w:pos="1206"/>
        </w:tabs>
        <w:spacing w:line="360" w:lineRule="auto"/>
        <w:contextualSpacing/>
        <w:jc w:val="both"/>
      </w:pPr>
      <w:bookmarkStart w:id="4" w:name="part_94686e62881944149d7e863a06e8d95a"/>
      <w:bookmarkStart w:id="5" w:name="part_86633fea25274571a810fcd1f519a0aa"/>
      <w:bookmarkEnd w:id="4"/>
      <w:bookmarkEnd w:id="5"/>
    </w:p>
    <w:sectPr w:rsidR="00D81959" w:rsidSect="00677583">
      <w:pgSz w:w="11906" w:h="16838"/>
      <w:pgMar w:top="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15BA5"/>
    <w:multiLevelType w:val="hybridMultilevel"/>
    <w:tmpl w:val="1F8C8F44"/>
    <w:lvl w:ilvl="0" w:tplc="71EAB996">
      <w:start w:val="1"/>
      <w:numFmt w:val="decimal"/>
      <w:lvlText w:val="%1."/>
      <w:lvlJc w:val="left"/>
      <w:pPr>
        <w:ind w:left="2042" w:hanging="795"/>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E8"/>
    <w:rsid w:val="00081FB4"/>
    <w:rsid w:val="0019377E"/>
    <w:rsid w:val="00323501"/>
    <w:rsid w:val="003C2DD7"/>
    <w:rsid w:val="00472AE8"/>
    <w:rsid w:val="005D0753"/>
    <w:rsid w:val="00615035"/>
    <w:rsid w:val="00677583"/>
    <w:rsid w:val="009074D0"/>
    <w:rsid w:val="009302F8"/>
    <w:rsid w:val="00A1744B"/>
    <w:rsid w:val="00A64FD1"/>
    <w:rsid w:val="00D35502"/>
    <w:rsid w:val="00D37F8B"/>
    <w:rsid w:val="00D81959"/>
    <w:rsid w:val="00E07EA0"/>
    <w:rsid w:val="00EB42DC"/>
    <w:rsid w:val="00F465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5885"/>
  <w15:chartTrackingRefBased/>
  <w15:docId w15:val="{D03C102F-EC6F-4FDD-91C4-0EB4EA4E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2AE8"/>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472AE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paragraph" w:customStyle="1" w:styleId="CentrBold">
    <w:name w:val="CentrBold"/>
    <w:basedOn w:val="prastasis"/>
    <w:rsid w:val="00472AE8"/>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rPr>
  </w:style>
  <w:style w:type="paragraph" w:customStyle="1" w:styleId="Patvirtinta">
    <w:name w:val="Patvirtinta"/>
    <w:basedOn w:val="prastasis"/>
    <w:rsid w:val="00472AE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rPr>
  </w:style>
  <w:style w:type="paragraph" w:styleId="Sraopastraipa">
    <w:name w:val="List Paragraph"/>
    <w:basedOn w:val="prastasis"/>
    <w:uiPriority w:val="34"/>
    <w:qFormat/>
    <w:rsid w:val="00472AE8"/>
    <w:pPr>
      <w:spacing w:after="0" w:line="240" w:lineRule="auto"/>
      <w:ind w:left="720"/>
      <w:contextualSpacing/>
    </w:pPr>
    <w:rPr>
      <w:rFonts w:eastAsia="Times New Roman" w:cs="Times New Roman"/>
      <w:szCs w:val="24"/>
    </w:rPr>
  </w:style>
  <w:style w:type="character" w:styleId="Hipersaitas">
    <w:name w:val="Hyperlink"/>
    <w:basedOn w:val="Numatytasispastraiposriftas"/>
    <w:uiPriority w:val="99"/>
    <w:semiHidden/>
    <w:unhideWhenUsed/>
    <w:rsid w:val="00081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956118">
      <w:bodyDiv w:val="1"/>
      <w:marLeft w:val="0"/>
      <w:marRight w:val="0"/>
      <w:marTop w:val="0"/>
      <w:marBottom w:val="0"/>
      <w:divBdr>
        <w:top w:val="none" w:sz="0" w:space="0" w:color="auto"/>
        <w:left w:val="none" w:sz="0" w:space="0" w:color="auto"/>
        <w:bottom w:val="none" w:sz="0" w:space="0" w:color="auto"/>
        <w:right w:val="none" w:sz="0" w:space="0" w:color="auto"/>
      </w:divBdr>
    </w:div>
    <w:div w:id="1111625051">
      <w:bodyDiv w:val="1"/>
      <w:marLeft w:val="0"/>
      <w:marRight w:val="0"/>
      <w:marTop w:val="0"/>
      <w:marBottom w:val="0"/>
      <w:divBdr>
        <w:top w:val="none" w:sz="0" w:space="0" w:color="auto"/>
        <w:left w:val="none" w:sz="0" w:space="0" w:color="auto"/>
        <w:bottom w:val="none" w:sz="0" w:space="0" w:color="auto"/>
        <w:right w:val="none" w:sz="0" w:space="0" w:color="auto"/>
      </w:divBdr>
    </w:div>
    <w:div w:id="20439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1969</Words>
  <Characters>1123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Tamošiūnas Remigijus</dc:creator>
  <cp:keywords/>
  <dc:description/>
  <cp:lastModifiedBy>Vanda Aleksiejūnienė</cp:lastModifiedBy>
  <cp:revision>20</cp:revision>
  <dcterms:created xsi:type="dcterms:W3CDTF">2019-10-22T05:19:00Z</dcterms:created>
  <dcterms:modified xsi:type="dcterms:W3CDTF">2020-11-12T14:28:00Z</dcterms:modified>
</cp:coreProperties>
</file>