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C7" w:rsidRPr="00CC5C79" w:rsidRDefault="00586CC7" w:rsidP="00586CC7">
      <w:pPr>
        <w:jc w:val="center"/>
        <w:rPr>
          <w:caps/>
        </w:rPr>
      </w:pPr>
      <w:r w:rsidRPr="00CC5C79">
        <w:rPr>
          <w:caps/>
        </w:rPr>
        <w:t>Aiškinamasis raštas</w:t>
      </w:r>
    </w:p>
    <w:p w:rsidR="00586CC7" w:rsidRDefault="00586CC7" w:rsidP="00586CC7">
      <w:pPr>
        <w:jc w:val="center"/>
        <w:rPr>
          <w:b/>
        </w:rPr>
      </w:pPr>
    </w:p>
    <w:p w:rsidR="00586CC7" w:rsidRDefault="00586CC7" w:rsidP="00586CC7">
      <w:pPr>
        <w:jc w:val="center"/>
      </w:pPr>
      <w:r>
        <w:t>Dėl</w:t>
      </w:r>
      <w:r w:rsidR="00AC1770">
        <w:t xml:space="preserve"> Molėtų rajono savivaldybės </w:t>
      </w:r>
      <w:r w:rsidR="00A2110B">
        <w:t xml:space="preserve">specialiosios tikslinės dotacijos mokymo lėšų </w:t>
      </w:r>
      <w:r w:rsidR="00CC5C79" w:rsidRPr="00CC5C79">
        <w:t>dalies</w:t>
      </w:r>
      <w:r w:rsidR="00CC5C79">
        <w:t xml:space="preserve"> </w:t>
      </w:r>
      <w:r w:rsidR="00A2110B">
        <w:t>apskaičiavimo, paskirstymo ir panaudojimo tvarkos aprašo patvirtinimo</w:t>
      </w:r>
    </w:p>
    <w:p w:rsidR="00CC5C79" w:rsidRDefault="00CC5C79" w:rsidP="00586CC7">
      <w:pPr>
        <w:spacing w:line="360" w:lineRule="auto"/>
        <w:ind w:firstLine="720"/>
        <w:jc w:val="both"/>
        <w:rPr>
          <w:b/>
        </w:rPr>
      </w:pPr>
    </w:p>
    <w:p w:rsidR="00586CC7" w:rsidRDefault="00CC5C79" w:rsidP="00CC5C79">
      <w:pPr>
        <w:spacing w:line="360" w:lineRule="auto"/>
        <w:jc w:val="both"/>
        <w:rPr>
          <w:b/>
        </w:rPr>
      </w:pPr>
      <w:r>
        <w:rPr>
          <w:b/>
        </w:rPr>
        <w:t xml:space="preserve">1. </w:t>
      </w:r>
      <w:r w:rsidR="00586CC7">
        <w:rPr>
          <w:b/>
        </w:rPr>
        <w:t>Parengto tarybos sprendimo projekto tikslai ir uždaviniai</w:t>
      </w:r>
    </w:p>
    <w:p w:rsidR="00B22F07" w:rsidRDefault="00586CC7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>Teikiamu sprendimo projektu bus pa</w:t>
      </w:r>
      <w:r w:rsidR="0037202B">
        <w:t>tvirtintas</w:t>
      </w:r>
      <w:r>
        <w:t xml:space="preserve"> </w:t>
      </w:r>
      <w:r w:rsidR="0037202B">
        <w:t xml:space="preserve">Molėtų rajono savivaldybės </w:t>
      </w:r>
      <w:r w:rsidR="00A2110B">
        <w:t xml:space="preserve">specialiosios tikslinės dotacijos mokymo lėšų dalies apskaičiavimo, paskirstymo ir panaudojimo </w:t>
      </w:r>
      <w:r>
        <w:t xml:space="preserve"> tvarkos aprašas.</w:t>
      </w:r>
    </w:p>
    <w:p w:rsidR="00586CC7" w:rsidRDefault="0037202B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 xml:space="preserve">Teikiamas tvirtinti sprendimas parengtas vadovaujantis Mokymo lėšų apskaičiavimo, paskirstymo ir panaudojimo tvarkos aprašo, patvirtinto Lietuvos Respublikos Vyriausybės 2018 m. liepos 11 d. nutarimu Nr. 679 „Dėl </w:t>
      </w:r>
      <w:r w:rsidR="00CC5C79">
        <w:t>M</w:t>
      </w:r>
      <w:r>
        <w:t>okymo lėšų apskaičiavimo, paskirstymo ir panaudojimo tvarkos aprašo patvirtinimo“</w:t>
      </w:r>
      <w:r w:rsidR="00B22F07">
        <w:t xml:space="preserve"> (toliau – Aprašas)</w:t>
      </w:r>
      <w:r>
        <w:t xml:space="preserve"> 1</w:t>
      </w:r>
      <w:r w:rsidR="00BB4472">
        <w:t>2 punktu ir vėlesniais Aprašo pakeitimais ir papildymais.</w:t>
      </w:r>
    </w:p>
    <w:p w:rsidR="00B355AC" w:rsidRDefault="00B22F07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 xml:space="preserve">Aprašas bus taikomas paskirstant mokymo lėšas </w:t>
      </w:r>
      <w:r w:rsidR="00B355AC">
        <w:t>Savivaldybės ugdymo įstaigoms</w:t>
      </w:r>
      <w:r>
        <w:t>.</w:t>
      </w:r>
    </w:p>
    <w:p w:rsidR="00586CC7" w:rsidRDefault="00586CC7" w:rsidP="00CC5C79">
      <w:pPr>
        <w:pStyle w:val="Pagrindiniotekstotrauka3"/>
        <w:tabs>
          <w:tab w:val="left" w:pos="900"/>
        </w:tabs>
        <w:spacing w:line="360" w:lineRule="auto"/>
        <w:ind w:firstLine="0"/>
        <w:jc w:val="both"/>
        <w:rPr>
          <w:b/>
        </w:rPr>
      </w:pPr>
      <w:r>
        <w:rPr>
          <w:b/>
        </w:rPr>
        <w:t>2. Šiuo metu esantis teisinis reglamentavimas</w:t>
      </w:r>
    </w:p>
    <w:p w:rsidR="000E30F8" w:rsidRDefault="000E30F8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>Lietuvos Respublikos vietos savivaldos įstatymas</w:t>
      </w:r>
      <w:r w:rsidR="00CC5C79">
        <w:t>;</w:t>
      </w:r>
    </w:p>
    <w:p w:rsidR="00B22F07" w:rsidRDefault="000E30F8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 xml:space="preserve">Mokymo lėšų apskaičiavimo, paskirstymo ir panaudojimo tvarkos aprašas, patvirtintas Lietuvos Respublikos Vyriausybės 2018 m. liepos 11 d. nutarimu Nr. 679 „Dėl </w:t>
      </w:r>
      <w:r w:rsidR="00CC5C79">
        <w:t>M</w:t>
      </w:r>
      <w:r>
        <w:t>okymo lėšų apskaičiavimo, paskirstymo ir panaudojimo tvarkos aprašo patvirtinimo“.</w:t>
      </w:r>
    </w:p>
    <w:p w:rsidR="00586CC7" w:rsidRDefault="00586CC7" w:rsidP="00CC5C79">
      <w:pPr>
        <w:spacing w:line="360" w:lineRule="auto"/>
        <w:jc w:val="both"/>
        <w:rPr>
          <w:b/>
        </w:rPr>
      </w:pPr>
      <w:r>
        <w:rPr>
          <w:b/>
        </w:rPr>
        <w:t>3. Galimos teigiamos ir neigiamos pasekmės priėmus siūlomą tarybos sprendimo projektą</w:t>
      </w:r>
    </w:p>
    <w:p w:rsidR="00586CC7" w:rsidRDefault="00586CC7" w:rsidP="00586CC7">
      <w:pPr>
        <w:spacing w:line="360" w:lineRule="auto"/>
        <w:ind w:firstLine="720"/>
        <w:jc w:val="both"/>
      </w:pPr>
      <w:bookmarkStart w:id="0" w:name="_GoBack"/>
      <w:bookmarkEnd w:id="0"/>
      <w:r>
        <w:t>Neigiamų pasekmių nenumatoma.</w:t>
      </w:r>
    </w:p>
    <w:p w:rsidR="00586CC7" w:rsidRDefault="00586CC7" w:rsidP="00CC5C79">
      <w:pPr>
        <w:spacing w:line="360" w:lineRule="auto"/>
        <w:jc w:val="both"/>
        <w:rPr>
          <w:b/>
        </w:rPr>
      </w:pPr>
      <w:r>
        <w:rPr>
          <w:b/>
        </w:rPr>
        <w:t>4. Priemonės sprendimui įgyvendinti</w:t>
      </w:r>
    </w:p>
    <w:p w:rsidR="00586CC7" w:rsidRDefault="00586CC7" w:rsidP="00586CC7">
      <w:pPr>
        <w:spacing w:line="360" w:lineRule="auto"/>
        <w:ind w:firstLine="720"/>
        <w:jc w:val="both"/>
      </w:pPr>
      <w:r>
        <w:t>Nėra</w:t>
      </w:r>
    </w:p>
    <w:p w:rsidR="00586CC7" w:rsidRDefault="00586CC7" w:rsidP="00CC5C79">
      <w:pPr>
        <w:spacing w:line="360" w:lineRule="auto"/>
        <w:jc w:val="both"/>
        <w:rPr>
          <w:b/>
        </w:rPr>
      </w:pPr>
      <w:r>
        <w:rPr>
          <w:b/>
        </w:rPr>
        <w:lastRenderedPageBreak/>
        <w:t>5. Lėšų poreikis ir jų šaltiniai (prireikus skaičiavimai ir išlaidų sąmatos)</w:t>
      </w:r>
    </w:p>
    <w:p w:rsidR="00586CC7" w:rsidRDefault="00586CC7" w:rsidP="00586CC7">
      <w:pPr>
        <w:spacing w:line="360" w:lineRule="auto"/>
        <w:ind w:firstLine="720"/>
        <w:jc w:val="both"/>
      </w:pPr>
      <w:r>
        <w:t>Mok</w:t>
      </w:r>
      <w:r w:rsidR="000E30F8">
        <w:t>ymo</w:t>
      </w:r>
      <w:r>
        <w:t xml:space="preserve"> lėšos.</w:t>
      </w:r>
    </w:p>
    <w:p w:rsidR="00586CC7" w:rsidRDefault="00586CC7" w:rsidP="00CC5C79">
      <w:pPr>
        <w:spacing w:line="360" w:lineRule="auto"/>
        <w:jc w:val="both"/>
        <w:rPr>
          <w:b/>
        </w:rPr>
      </w:pPr>
      <w:r>
        <w:rPr>
          <w:b/>
        </w:rPr>
        <w:t>6. Vykdytojai, įvykdymo terminai</w:t>
      </w:r>
    </w:p>
    <w:p w:rsidR="00586CC7" w:rsidRDefault="00586CC7" w:rsidP="00586CC7">
      <w:pPr>
        <w:spacing w:line="360" w:lineRule="auto"/>
        <w:ind w:firstLine="720"/>
        <w:jc w:val="both"/>
      </w:pPr>
      <w:r>
        <w:t>Molėtų rajono savivaldybės administracijos Kultūros ir švietimo skyrius, ugdymo įstaigos.</w:t>
      </w:r>
    </w:p>
    <w:p w:rsidR="00586CC7" w:rsidRDefault="00586CC7" w:rsidP="00586CC7">
      <w:pPr>
        <w:spacing w:line="360" w:lineRule="auto"/>
        <w:ind w:firstLine="720"/>
        <w:jc w:val="both"/>
      </w:pPr>
    </w:p>
    <w:p w:rsidR="007B3624" w:rsidRDefault="007B3624"/>
    <w:sectPr w:rsidR="007B3624" w:rsidSect="00CC5C79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C79" w:rsidRDefault="00CC5C79" w:rsidP="00CC5C79">
      <w:r>
        <w:separator/>
      </w:r>
    </w:p>
  </w:endnote>
  <w:endnote w:type="continuationSeparator" w:id="0">
    <w:p w:rsidR="00CC5C79" w:rsidRDefault="00CC5C79" w:rsidP="00CC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C79" w:rsidRDefault="00CC5C79" w:rsidP="00CC5C79">
      <w:r>
        <w:separator/>
      </w:r>
    </w:p>
  </w:footnote>
  <w:footnote w:type="continuationSeparator" w:id="0">
    <w:p w:rsidR="00CC5C79" w:rsidRDefault="00CC5C79" w:rsidP="00CC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564583"/>
      <w:docPartObj>
        <w:docPartGallery w:val="Page Numbers (Top of Page)"/>
        <w:docPartUnique/>
      </w:docPartObj>
    </w:sdtPr>
    <w:sdtEndPr/>
    <w:sdtContent>
      <w:p w:rsidR="00CC5C79" w:rsidRDefault="00CC5C7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5AC">
          <w:rPr>
            <w:noProof/>
          </w:rPr>
          <w:t>2</w:t>
        </w:r>
        <w:r>
          <w:fldChar w:fldCharType="end"/>
        </w:r>
      </w:p>
    </w:sdtContent>
  </w:sdt>
  <w:p w:rsidR="00CC5C79" w:rsidRDefault="00CC5C7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C7"/>
    <w:rsid w:val="000E30F8"/>
    <w:rsid w:val="0029564C"/>
    <w:rsid w:val="002979E0"/>
    <w:rsid w:val="0037202B"/>
    <w:rsid w:val="003C6D2D"/>
    <w:rsid w:val="00586CC7"/>
    <w:rsid w:val="006177B6"/>
    <w:rsid w:val="006B153E"/>
    <w:rsid w:val="006C50D9"/>
    <w:rsid w:val="007144A7"/>
    <w:rsid w:val="007B3624"/>
    <w:rsid w:val="00A2110B"/>
    <w:rsid w:val="00A9522C"/>
    <w:rsid w:val="00AC1770"/>
    <w:rsid w:val="00B22F07"/>
    <w:rsid w:val="00B355AC"/>
    <w:rsid w:val="00BB4472"/>
    <w:rsid w:val="00CC5C79"/>
    <w:rsid w:val="00CF709A"/>
    <w:rsid w:val="00D16374"/>
    <w:rsid w:val="00DA5830"/>
    <w:rsid w:val="00DE76CD"/>
    <w:rsid w:val="00FC280A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1A06"/>
  <w15:docId w15:val="{5F0C7E50-7D6D-49A9-AC43-2E1883BF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semiHidden/>
    <w:unhideWhenUsed/>
    <w:rsid w:val="00586CC7"/>
    <w:pPr>
      <w:tabs>
        <w:tab w:val="left" w:pos="0"/>
        <w:tab w:val="left" w:pos="1674"/>
      </w:tabs>
      <w:ind w:hanging="1395"/>
    </w:pPr>
    <w:rPr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586CC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C5C7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CC5C7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C5C7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C5C7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C5C79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Jurkšaitis Arvydas</cp:lastModifiedBy>
  <cp:revision>3</cp:revision>
  <dcterms:created xsi:type="dcterms:W3CDTF">2020-09-15T05:28:00Z</dcterms:created>
  <dcterms:modified xsi:type="dcterms:W3CDTF">2020-09-15T05:30:00Z</dcterms:modified>
</cp:coreProperties>
</file>