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F527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FDBC905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DBB8F3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F723F58" w14:textId="7AEB835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35D1F" w:rsidRPr="00A35D1F">
        <w:rPr>
          <w:b/>
          <w:caps/>
          <w:noProof/>
        </w:rPr>
        <w:t>DĖL MOLĖTŲ RAJONO SAVIVALDYBĖS TARYBOS 20</w:t>
      </w:r>
      <w:r w:rsidR="00A35D1F">
        <w:rPr>
          <w:b/>
          <w:caps/>
          <w:noProof/>
        </w:rPr>
        <w:t>20</w:t>
      </w:r>
      <w:r w:rsidR="00A35D1F" w:rsidRPr="00A35D1F">
        <w:rPr>
          <w:b/>
          <w:caps/>
          <w:noProof/>
        </w:rPr>
        <w:t xml:space="preserve"> M. </w:t>
      </w:r>
      <w:r w:rsidR="00A35D1F">
        <w:rPr>
          <w:b/>
          <w:caps/>
          <w:noProof/>
        </w:rPr>
        <w:t>sausio</w:t>
      </w:r>
      <w:r w:rsidR="00A35D1F" w:rsidRPr="00A35D1F">
        <w:rPr>
          <w:b/>
          <w:caps/>
          <w:noProof/>
        </w:rPr>
        <w:t xml:space="preserve"> </w:t>
      </w:r>
      <w:r w:rsidR="00A35D1F">
        <w:rPr>
          <w:b/>
          <w:caps/>
          <w:noProof/>
        </w:rPr>
        <w:t>30</w:t>
      </w:r>
      <w:r w:rsidR="00A35D1F" w:rsidRPr="00A35D1F">
        <w:rPr>
          <w:b/>
          <w:caps/>
          <w:noProof/>
        </w:rPr>
        <w:t xml:space="preserve"> D. SPRENDIMO NR. B1-</w:t>
      </w:r>
      <w:r w:rsidR="00A35D1F">
        <w:rPr>
          <w:b/>
          <w:caps/>
          <w:noProof/>
        </w:rPr>
        <w:t>1</w:t>
      </w:r>
      <w:r w:rsidR="00A35D1F" w:rsidRPr="00A35D1F">
        <w:rPr>
          <w:b/>
          <w:caps/>
          <w:noProof/>
        </w:rPr>
        <w:t xml:space="preserve"> „DĖL MOLĖTŲ RAJONO SAVIVALDYBĖS STRATEGINIO VEIKLOS PLANO 20</w:t>
      </w:r>
      <w:r w:rsidR="00A35D1F">
        <w:rPr>
          <w:b/>
          <w:caps/>
          <w:noProof/>
        </w:rPr>
        <w:t>20</w:t>
      </w:r>
      <w:r w:rsidR="00945BA1">
        <w:rPr>
          <w:b/>
          <w:caps/>
          <w:noProof/>
        </w:rPr>
        <w:t>–</w:t>
      </w:r>
      <w:r w:rsidR="00A35D1F" w:rsidRPr="00A35D1F">
        <w:rPr>
          <w:b/>
          <w:caps/>
          <w:noProof/>
        </w:rPr>
        <w:t>202</w:t>
      </w:r>
      <w:r w:rsidR="00A35D1F">
        <w:rPr>
          <w:b/>
          <w:caps/>
          <w:noProof/>
        </w:rPr>
        <w:t>2</w:t>
      </w:r>
      <w:r w:rsidR="00A35D1F" w:rsidRPr="00A35D1F">
        <w:rPr>
          <w:b/>
          <w:caps/>
          <w:noProof/>
        </w:rPr>
        <w:t xml:space="preserve"> METAMS PATVIRTINIMO“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CF4F14D" w14:textId="34C1754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03CD9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BDA0B1D" w14:textId="77777777" w:rsidR="00C16EA1" w:rsidRDefault="00C16EA1" w:rsidP="00D74773">
      <w:pPr>
        <w:jc w:val="center"/>
      </w:pPr>
      <w:r>
        <w:t>Molėtai</w:t>
      </w:r>
    </w:p>
    <w:p w14:paraId="46E91FFE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87D1F8C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3303A9D" w14:textId="77777777" w:rsidR="00C16EA1" w:rsidRDefault="00C16EA1" w:rsidP="00D74773">
      <w:pPr>
        <w:tabs>
          <w:tab w:val="left" w:pos="1674"/>
        </w:tabs>
        <w:ind w:firstLine="1247"/>
      </w:pPr>
    </w:p>
    <w:p w14:paraId="1C458383" w14:textId="35527270" w:rsidR="00C16EA1" w:rsidRPr="00EC2425" w:rsidRDefault="009E1C66" w:rsidP="002817DB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EC2425">
        <w:t xml:space="preserve">Vadovaudamasi Lietuvos Respublikos vietos savivaldos įstatymo 18 straipsnio 1 dalimi, </w:t>
      </w:r>
      <w:r w:rsidR="002817DB" w:rsidRPr="00EC2425">
        <w:t>Molėtų rajono savivaldybės strateginio planavimo organizavimo ir savivaldybės planavimo dokumentų įgyvendinimo stebėsenos tvarkos aprašo</w:t>
      </w:r>
      <w:r w:rsidR="00A54105">
        <w:t>,</w:t>
      </w:r>
      <w:r w:rsidR="002817DB">
        <w:t xml:space="preserve"> patvirtinto </w:t>
      </w:r>
      <w:r w:rsidR="003A35CF" w:rsidRPr="00EC2425">
        <w:t>Molėtų rajono savivaldybės tarybos 2020 m. balandžio 30</w:t>
      </w:r>
      <w:r w:rsidR="002817DB">
        <w:t xml:space="preserve"> d. sprendimu</w:t>
      </w:r>
      <w:r w:rsidR="003A35CF" w:rsidRPr="00EC2425">
        <w:t xml:space="preserve"> Nr. B1-119 „Dėl Molėtų rajono savivaldybės strateginio planavimo organizavimo ir savivaldybės planavimo dokumentų įgyvendinimo stebėsenos tvarkos aprašo patvirtinimo</w:t>
      </w:r>
      <w:r w:rsidR="008F6C2A">
        <w:t>“</w:t>
      </w:r>
      <w:r w:rsidR="00A54105">
        <w:t>,</w:t>
      </w:r>
      <w:r w:rsidR="008F6C2A">
        <w:t xml:space="preserve"> 42 punkt</w:t>
      </w:r>
      <w:r w:rsidR="008F6C2A" w:rsidRPr="00F439FE">
        <w:t>u</w:t>
      </w:r>
      <w:r w:rsidR="00D07A5A" w:rsidRPr="00F439FE">
        <w:t>,</w:t>
      </w:r>
      <w:r w:rsidR="00E176FD" w:rsidRPr="00EC2425">
        <w:t xml:space="preserve"> </w:t>
      </w:r>
      <w:r w:rsidR="00C304FF" w:rsidRPr="00EC2425">
        <w:t>atsižvelgdama</w:t>
      </w:r>
      <w:r w:rsidR="003A35CF" w:rsidRPr="00EC2425">
        <w:t xml:space="preserve"> </w:t>
      </w:r>
      <w:r w:rsidR="00C304FF" w:rsidRPr="00EC2425">
        <w:t xml:space="preserve">į </w:t>
      </w:r>
      <w:r w:rsidR="003A35CF" w:rsidRPr="00EC2425">
        <w:t xml:space="preserve">2020 m. </w:t>
      </w:r>
      <w:r w:rsidR="00467F52">
        <w:t>rugpjūčio</w:t>
      </w:r>
      <w:r w:rsidR="00451AE9" w:rsidRPr="00EC2425">
        <w:t xml:space="preserve"> </w:t>
      </w:r>
      <w:r w:rsidR="00467F52">
        <w:t>6</w:t>
      </w:r>
      <w:r w:rsidR="003A35CF" w:rsidRPr="00EC2425">
        <w:t xml:space="preserve"> d. ga</w:t>
      </w:r>
      <w:r w:rsidR="008F6C2A">
        <w:t>utus pasiūlymu</w:t>
      </w:r>
      <w:r w:rsidR="003A35CF" w:rsidRPr="00EC2425">
        <w:t>s dėl Molėtų rajono savivaldybės strat</w:t>
      </w:r>
      <w:r w:rsidR="002817DB">
        <w:t xml:space="preserve">eginio veiklos plano </w:t>
      </w:r>
      <w:r w:rsidR="004B1703" w:rsidRPr="00EC2425">
        <w:t>2020</w:t>
      </w:r>
      <w:r w:rsidR="004B1703" w:rsidRPr="004B1703">
        <w:rPr>
          <w:rStyle w:val="Emfaz"/>
        </w:rPr>
        <w:t>–</w:t>
      </w:r>
      <w:r w:rsidR="004B1703">
        <w:t>2022</w:t>
      </w:r>
      <w:r w:rsidR="004B1703" w:rsidRPr="00EC2425">
        <w:t xml:space="preserve"> m. </w:t>
      </w:r>
      <w:r w:rsidR="002817DB">
        <w:t xml:space="preserve">koregavimo bei </w:t>
      </w:r>
      <w:r w:rsidR="002817DB" w:rsidRPr="00EC2425">
        <w:t xml:space="preserve">Strateginio planavimo komisijos </w:t>
      </w:r>
      <w:r w:rsidR="002817DB">
        <w:t xml:space="preserve">2020 </w:t>
      </w:r>
      <w:r w:rsidR="00BA6BD2" w:rsidRPr="00EC2425">
        <w:t xml:space="preserve">m. </w:t>
      </w:r>
      <w:r w:rsidR="00503CD9">
        <w:t>rugpjūčio</w:t>
      </w:r>
      <w:r w:rsidR="00D5299A" w:rsidRPr="00EC2425">
        <w:t xml:space="preserve"> </w:t>
      </w:r>
      <w:r w:rsidR="00575CFF">
        <w:t>20</w:t>
      </w:r>
      <w:r w:rsidR="008F6C2A">
        <w:t xml:space="preserve"> </w:t>
      </w:r>
      <w:r w:rsidR="00BA6BD2" w:rsidRPr="00EC2425">
        <w:t>d. posėdž</w:t>
      </w:r>
      <w:r w:rsidR="00D5299A" w:rsidRPr="00EC2425">
        <w:t>io protokol</w:t>
      </w:r>
      <w:r w:rsidR="008F6C2A">
        <w:t xml:space="preserve">ą Nr. </w:t>
      </w:r>
      <w:r w:rsidR="009574D0">
        <w:t>R7-</w:t>
      </w:r>
      <w:r w:rsidR="00503CD9">
        <w:t>3</w:t>
      </w:r>
      <w:r w:rsidR="00EC2425" w:rsidRPr="00EC2425">
        <w:t>,</w:t>
      </w:r>
    </w:p>
    <w:p w14:paraId="31D2F06A" w14:textId="6EE7043A" w:rsidR="003A35CF" w:rsidRDefault="003A35CF" w:rsidP="00EC2425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BE090B">
        <w:t>Molėtų rajono savivaldybės taryba  n u s p r e n d ž i a:</w:t>
      </w:r>
    </w:p>
    <w:p w14:paraId="27AD5319" w14:textId="7C908731" w:rsidR="002E12E6" w:rsidRDefault="00833880" w:rsidP="009D548D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4C2E03">
        <w:t>Pakeisti Molėtų rajono savivaldybė</w:t>
      </w:r>
      <w:r w:rsidR="00945BA1">
        <w:t>s strateginį veiklos planą 2020–</w:t>
      </w:r>
      <w:r w:rsidRPr="004C2E03">
        <w:t>2022 metams, patvirtintą Molėtų rajono savivaldybės tarybos 2020 m. sausio 30 d. sprendimu Nr. B1-1 „Dėl Molėtų rajono savivaldybės</w:t>
      </w:r>
      <w:r w:rsidR="00945BA1">
        <w:t xml:space="preserve"> strateginio veiklos plano 2020–</w:t>
      </w:r>
      <w:r w:rsidRPr="004C2E03">
        <w:t>2022 metams patvirtinimo“:</w:t>
      </w:r>
    </w:p>
    <w:p w14:paraId="37FE89FC" w14:textId="78CC491D" w:rsidR="008E1E6D" w:rsidRPr="009D548D" w:rsidRDefault="008E1E6D" w:rsidP="008E1E6D">
      <w:pPr>
        <w:pStyle w:val="Sraopastraipa"/>
        <w:numPr>
          <w:ilvl w:val="0"/>
          <w:numId w:val="3"/>
        </w:numPr>
        <w:spacing w:line="360" w:lineRule="auto"/>
        <w:ind w:left="0" w:firstLine="1134"/>
        <w:jc w:val="both"/>
        <w:rPr>
          <w:bCs/>
        </w:rPr>
      </w:pPr>
      <w:r>
        <w:t>Papildyti 2020</w:t>
      </w:r>
      <w:r w:rsidRPr="0004669C">
        <w:rPr>
          <w:rStyle w:val="Emfaz"/>
        </w:rPr>
        <w:t>–</w:t>
      </w:r>
      <w:r w:rsidRPr="0004669C">
        <w:t>2022</w:t>
      </w:r>
      <w:r>
        <w:t xml:space="preserve"> m. </w:t>
      </w:r>
      <w:r w:rsidRPr="008E1E6D">
        <w:t xml:space="preserve">Molėtų rajono savivaldybės </w:t>
      </w:r>
      <w:r w:rsidR="00945BA1">
        <w:t>t</w:t>
      </w:r>
      <w:r w:rsidRPr="00503CD9">
        <w:t>urizmo ir verslo skatinimo bei kaimo plėtros programos</w:t>
      </w:r>
      <w:r w:rsidRPr="00032400">
        <w:rPr>
          <w:bCs/>
        </w:rPr>
        <w:t xml:space="preserve"> (Nr. 0</w:t>
      </w:r>
      <w:r>
        <w:rPr>
          <w:bCs/>
        </w:rPr>
        <w:t>1</w:t>
      </w:r>
      <w:r w:rsidRPr="00032400">
        <w:rPr>
          <w:bCs/>
        </w:rPr>
        <w:t xml:space="preserve">) </w:t>
      </w:r>
      <w:r>
        <w:t>t</w:t>
      </w:r>
      <w:r w:rsidRPr="0083520D">
        <w:t>ikslų, uždavinių, priemonių, priemonių išlaidų ir produkto kriterij</w:t>
      </w:r>
      <w:r>
        <w:t>ų suvestinės</w:t>
      </w:r>
      <w:r w:rsidRPr="00032400">
        <w:rPr>
          <w:bCs/>
        </w:rPr>
        <w:t xml:space="preserve"> 0</w:t>
      </w:r>
      <w:r>
        <w:rPr>
          <w:bCs/>
        </w:rPr>
        <w:t>3</w:t>
      </w:r>
      <w:r w:rsidRPr="00032400">
        <w:rPr>
          <w:bCs/>
        </w:rPr>
        <w:t xml:space="preserve"> tikslo „</w:t>
      </w:r>
      <w:r w:rsidRPr="00503CD9">
        <w:rPr>
          <w:bCs/>
        </w:rPr>
        <w:t>Kurti patrauklią investicinę aplinką</w:t>
      </w:r>
      <w:r w:rsidRPr="00032400">
        <w:rPr>
          <w:bCs/>
        </w:rPr>
        <w:t>“ 0</w:t>
      </w:r>
      <w:r>
        <w:rPr>
          <w:bCs/>
        </w:rPr>
        <w:t>2</w:t>
      </w:r>
      <w:r w:rsidRPr="00032400">
        <w:rPr>
          <w:bCs/>
        </w:rPr>
        <w:t xml:space="preserve"> uždavinio „</w:t>
      </w:r>
      <w:r w:rsidRPr="00503CD9">
        <w:rPr>
          <w:bCs/>
        </w:rPr>
        <w:t>Skatinti verslumą, teikti reikalingą pagalbą verslumui vystyti bei ieškoti verslo pa</w:t>
      </w:r>
      <w:r>
        <w:rPr>
          <w:bCs/>
        </w:rPr>
        <w:t>r</w:t>
      </w:r>
      <w:r w:rsidRPr="00503CD9">
        <w:rPr>
          <w:bCs/>
        </w:rPr>
        <w:t>tnerių</w:t>
      </w:r>
      <w:r w:rsidRPr="00032400">
        <w:rPr>
          <w:bCs/>
        </w:rPr>
        <w:t xml:space="preserve">“ </w:t>
      </w:r>
      <w:r>
        <w:rPr>
          <w:bCs/>
        </w:rPr>
        <w:t xml:space="preserve">2 veiklą </w:t>
      </w:r>
      <w:r w:rsidRPr="00032400">
        <w:rPr>
          <w:bCs/>
        </w:rPr>
        <w:t>„</w:t>
      </w:r>
      <w:r w:rsidRPr="00503CD9">
        <w:rPr>
          <w:bCs/>
        </w:rPr>
        <w:t>Verslo ir pramonės teritorijų plėtra</w:t>
      </w:r>
      <w:r w:rsidRPr="00032400">
        <w:rPr>
          <w:bCs/>
        </w:rPr>
        <w:t xml:space="preserve">“, </w:t>
      </w:r>
      <w:r>
        <w:t xml:space="preserve">priemone </w:t>
      </w:r>
      <w:r w:rsidRPr="00503CD9">
        <w:t>01.03.02.0</w:t>
      </w:r>
      <w:r>
        <w:t>7</w:t>
      </w:r>
      <w:r w:rsidRPr="00503CD9">
        <w:t xml:space="preserve"> </w:t>
      </w:r>
      <w:r>
        <w:t>„</w:t>
      </w:r>
      <w:r w:rsidRPr="00503CD9">
        <w:t>Verslui svarbios inžinerinės infrastruktūros sukūrimas Molėtų miesto apleistose teritorijose Melioratorių g. 20 ir 18C</w:t>
      </w:r>
      <w:r w:rsidRPr="00670F82">
        <w:t>“</w:t>
      </w:r>
      <w:r w:rsidR="0053313F" w:rsidRPr="0053313F">
        <w:t xml:space="preserve"> ir ją išdėstyti taip:</w:t>
      </w:r>
    </w:p>
    <w:p w14:paraId="3B005F17" w14:textId="77777777" w:rsidR="008E1E6D" w:rsidRDefault="008E1E6D" w:rsidP="00945BA1">
      <w:pPr>
        <w:spacing w:line="360" w:lineRule="auto"/>
        <w:jc w:val="both"/>
      </w:pPr>
      <w:r w:rsidRPr="00670F82">
        <w:t>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558"/>
        <w:gridCol w:w="566"/>
        <w:gridCol w:w="566"/>
        <w:gridCol w:w="707"/>
        <w:gridCol w:w="709"/>
        <w:gridCol w:w="1134"/>
        <w:gridCol w:w="709"/>
        <w:gridCol w:w="566"/>
        <w:gridCol w:w="570"/>
        <w:gridCol w:w="1415"/>
      </w:tblGrid>
      <w:tr w:rsidR="00E6525A" w:rsidRPr="00670F82" w14:paraId="2413D978" w14:textId="77777777" w:rsidTr="00E6525A">
        <w:trPr>
          <w:trHeight w:val="557"/>
        </w:trPr>
        <w:tc>
          <w:tcPr>
            <w:tcW w:w="586" w:type="pct"/>
            <w:vMerge w:val="restart"/>
            <w:shd w:val="clear" w:color="000000" w:fill="FFFFFF"/>
            <w:noWrap/>
          </w:tcPr>
          <w:p w14:paraId="184CC754" w14:textId="77777777" w:rsidR="008E1E6D" w:rsidRPr="009E0D5E" w:rsidRDefault="008E1E6D" w:rsidP="009247DB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9E0D5E">
              <w:rPr>
                <w:b/>
                <w:bCs/>
                <w:sz w:val="20"/>
                <w:szCs w:val="20"/>
                <w:lang w:eastAsia="lt-LT"/>
              </w:rPr>
              <w:t>Priemonės kodas</w:t>
            </w:r>
          </w:p>
        </w:tc>
        <w:tc>
          <w:tcPr>
            <w:tcW w:w="809" w:type="pct"/>
            <w:vMerge w:val="restart"/>
            <w:shd w:val="clear" w:color="000000" w:fill="FFFFFF"/>
          </w:tcPr>
          <w:p w14:paraId="5487B06A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vAlign w:val="center"/>
          </w:tcPr>
          <w:p w14:paraId="7487B69C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textDirection w:val="btLr"/>
            <w:vAlign w:val="center"/>
          </w:tcPr>
          <w:p w14:paraId="1575724A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2020-ųjų metų asignavimo planas</w:t>
            </w:r>
          </w:p>
        </w:tc>
        <w:tc>
          <w:tcPr>
            <w:tcW w:w="367" w:type="pct"/>
            <w:vMerge w:val="restart"/>
            <w:shd w:val="clear" w:color="000000" w:fill="FFFFFF"/>
            <w:textDirection w:val="btLr"/>
            <w:vAlign w:val="center"/>
          </w:tcPr>
          <w:p w14:paraId="55AE3ED9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2021-ųjų metų asignavimų planas</w:t>
            </w:r>
          </w:p>
        </w:tc>
        <w:tc>
          <w:tcPr>
            <w:tcW w:w="368" w:type="pct"/>
            <w:vMerge w:val="restart"/>
            <w:shd w:val="clear" w:color="000000" w:fill="FFFFFF"/>
            <w:textDirection w:val="btLr"/>
            <w:vAlign w:val="center"/>
          </w:tcPr>
          <w:p w14:paraId="18ADECFE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2022-ųjų metų asignavimų planas</w:t>
            </w:r>
          </w:p>
        </w:tc>
        <w:tc>
          <w:tcPr>
            <w:tcW w:w="1547" w:type="pct"/>
            <w:gridSpan w:val="4"/>
            <w:shd w:val="clear" w:color="000000" w:fill="FFFFFF"/>
          </w:tcPr>
          <w:p w14:paraId="63697DCD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Produkto kriterijaus</w:t>
            </w:r>
          </w:p>
        </w:tc>
        <w:tc>
          <w:tcPr>
            <w:tcW w:w="735" w:type="pct"/>
            <w:shd w:val="clear" w:color="000000" w:fill="FFFFFF"/>
          </w:tcPr>
          <w:p w14:paraId="610BFDC8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Atsakingas priemonės koordinatorius</w:t>
            </w:r>
          </w:p>
        </w:tc>
      </w:tr>
      <w:tr w:rsidR="00E6525A" w:rsidRPr="00670F82" w14:paraId="4D99801F" w14:textId="77777777" w:rsidTr="00E6525A">
        <w:trPr>
          <w:trHeight w:val="557"/>
        </w:trPr>
        <w:tc>
          <w:tcPr>
            <w:tcW w:w="586" w:type="pct"/>
            <w:vMerge/>
            <w:shd w:val="clear" w:color="000000" w:fill="FFFFFF"/>
            <w:noWrap/>
            <w:textDirection w:val="btLr"/>
          </w:tcPr>
          <w:p w14:paraId="288A9514" w14:textId="77777777" w:rsidR="008E1E6D" w:rsidRPr="009E0D5E" w:rsidRDefault="008E1E6D" w:rsidP="009247DB">
            <w:pPr>
              <w:ind w:left="113" w:right="113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09" w:type="pct"/>
            <w:vMerge/>
            <w:shd w:val="clear" w:color="000000" w:fill="FFFFFF"/>
            <w:textDirection w:val="btLr"/>
          </w:tcPr>
          <w:p w14:paraId="6785FADA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4" w:type="pct"/>
            <w:vMerge/>
            <w:shd w:val="clear" w:color="auto" w:fill="auto"/>
            <w:textDirection w:val="btLr"/>
            <w:vAlign w:val="center"/>
          </w:tcPr>
          <w:p w14:paraId="19F56E31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4" w:type="pct"/>
            <w:vMerge/>
            <w:shd w:val="clear" w:color="auto" w:fill="auto"/>
            <w:noWrap/>
            <w:textDirection w:val="btLr"/>
            <w:vAlign w:val="center"/>
          </w:tcPr>
          <w:p w14:paraId="7790FDFA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67" w:type="pct"/>
            <w:vMerge/>
            <w:shd w:val="clear" w:color="000000" w:fill="FFFFFF"/>
            <w:textDirection w:val="btLr"/>
            <w:vAlign w:val="center"/>
          </w:tcPr>
          <w:p w14:paraId="106C5829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68" w:type="pct"/>
            <w:vMerge/>
            <w:shd w:val="clear" w:color="000000" w:fill="FFFFFF"/>
            <w:textDirection w:val="btLr"/>
            <w:vAlign w:val="center"/>
          </w:tcPr>
          <w:p w14:paraId="277EC595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589" w:type="pct"/>
            <w:vMerge w:val="restart"/>
            <w:shd w:val="clear" w:color="000000" w:fill="FFFFFF"/>
          </w:tcPr>
          <w:p w14:paraId="456EB0CE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958" w:type="pct"/>
            <w:gridSpan w:val="3"/>
            <w:shd w:val="clear" w:color="000000" w:fill="FFFFFF"/>
          </w:tcPr>
          <w:p w14:paraId="4281BA35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Planas</w:t>
            </w:r>
          </w:p>
        </w:tc>
        <w:tc>
          <w:tcPr>
            <w:tcW w:w="735" w:type="pct"/>
            <w:shd w:val="clear" w:color="000000" w:fill="FFFFFF"/>
          </w:tcPr>
          <w:p w14:paraId="05D16843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</w:tr>
      <w:tr w:rsidR="00E6525A" w:rsidRPr="00670F82" w14:paraId="4C2D2088" w14:textId="77777777" w:rsidTr="00E6525A">
        <w:trPr>
          <w:cantSplit/>
          <w:trHeight w:val="1121"/>
        </w:trPr>
        <w:tc>
          <w:tcPr>
            <w:tcW w:w="586" w:type="pct"/>
            <w:vMerge/>
            <w:shd w:val="clear" w:color="000000" w:fill="FFFFFF"/>
            <w:noWrap/>
            <w:textDirection w:val="btLr"/>
          </w:tcPr>
          <w:p w14:paraId="14D4FE6E" w14:textId="77777777" w:rsidR="008E1E6D" w:rsidRPr="009E0D5E" w:rsidRDefault="008E1E6D" w:rsidP="009247D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09" w:type="pct"/>
            <w:vMerge/>
            <w:shd w:val="clear" w:color="000000" w:fill="FFFFFF"/>
            <w:textDirection w:val="btLr"/>
          </w:tcPr>
          <w:p w14:paraId="4A317B48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4" w:type="pct"/>
            <w:vMerge/>
            <w:shd w:val="clear" w:color="auto" w:fill="auto"/>
            <w:textDirection w:val="btLr"/>
            <w:vAlign w:val="center"/>
          </w:tcPr>
          <w:p w14:paraId="67535145" w14:textId="77777777" w:rsidR="008E1E6D" w:rsidRPr="009E0D5E" w:rsidRDefault="008E1E6D" w:rsidP="009247DB">
            <w:pPr>
              <w:ind w:left="113" w:right="113"/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4" w:type="pct"/>
            <w:vMerge/>
            <w:shd w:val="clear" w:color="auto" w:fill="auto"/>
            <w:noWrap/>
            <w:textDirection w:val="btLr"/>
            <w:vAlign w:val="center"/>
          </w:tcPr>
          <w:p w14:paraId="0261B54A" w14:textId="77777777" w:rsidR="008E1E6D" w:rsidRPr="009E0D5E" w:rsidRDefault="008E1E6D" w:rsidP="009247DB">
            <w:pPr>
              <w:ind w:left="113" w:right="113"/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67" w:type="pct"/>
            <w:vMerge/>
            <w:shd w:val="clear" w:color="000000" w:fill="FFFFFF"/>
            <w:textDirection w:val="btLr"/>
            <w:vAlign w:val="center"/>
          </w:tcPr>
          <w:p w14:paraId="7974769A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68" w:type="pct"/>
            <w:vMerge/>
            <w:shd w:val="clear" w:color="000000" w:fill="FFFFFF"/>
            <w:textDirection w:val="btLr"/>
            <w:vAlign w:val="center"/>
          </w:tcPr>
          <w:p w14:paraId="03F6DDEC" w14:textId="77777777" w:rsidR="008E1E6D" w:rsidRPr="009E0D5E" w:rsidRDefault="008E1E6D" w:rsidP="009247DB">
            <w:pPr>
              <w:ind w:left="113" w:right="113"/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589" w:type="pct"/>
            <w:vMerge/>
            <w:shd w:val="clear" w:color="000000" w:fill="FFFFFF"/>
          </w:tcPr>
          <w:p w14:paraId="30AC6766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68" w:type="pct"/>
            <w:shd w:val="clear" w:color="auto" w:fill="auto"/>
            <w:textDirection w:val="btLr"/>
          </w:tcPr>
          <w:p w14:paraId="61078487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2020-ieji metai</w:t>
            </w:r>
          </w:p>
        </w:tc>
        <w:tc>
          <w:tcPr>
            <w:tcW w:w="294" w:type="pct"/>
            <w:shd w:val="clear" w:color="auto" w:fill="auto"/>
            <w:textDirection w:val="btLr"/>
          </w:tcPr>
          <w:p w14:paraId="78740C07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2021-ieji metai</w:t>
            </w:r>
          </w:p>
        </w:tc>
        <w:tc>
          <w:tcPr>
            <w:tcW w:w="295" w:type="pct"/>
            <w:shd w:val="clear" w:color="auto" w:fill="auto"/>
            <w:textDirection w:val="btLr"/>
          </w:tcPr>
          <w:p w14:paraId="16FE5258" w14:textId="77777777" w:rsidR="008E1E6D" w:rsidRPr="009E0D5E" w:rsidRDefault="008E1E6D" w:rsidP="009247DB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2022-ieji metai</w:t>
            </w:r>
          </w:p>
        </w:tc>
        <w:tc>
          <w:tcPr>
            <w:tcW w:w="735" w:type="pct"/>
          </w:tcPr>
          <w:p w14:paraId="35A9BFBA" w14:textId="77777777" w:rsidR="008E1E6D" w:rsidRPr="009E0D5E" w:rsidRDefault="008E1E6D" w:rsidP="009247DB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Pavadinimas</w:t>
            </w:r>
          </w:p>
        </w:tc>
      </w:tr>
      <w:tr w:rsidR="00E6525A" w:rsidRPr="00B5786B" w14:paraId="7AFDB0CE" w14:textId="77777777" w:rsidTr="00E6525A">
        <w:trPr>
          <w:cantSplit/>
          <w:trHeight w:val="70"/>
        </w:trPr>
        <w:tc>
          <w:tcPr>
            <w:tcW w:w="586" w:type="pct"/>
            <w:vMerge w:val="restart"/>
            <w:shd w:val="clear" w:color="000000" w:fill="FFFFFF"/>
            <w:noWrap/>
          </w:tcPr>
          <w:p w14:paraId="7A45D2B3" w14:textId="29AFDD82" w:rsidR="008E1E6D" w:rsidRPr="009E0D5E" w:rsidRDefault="008E1E6D" w:rsidP="009247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3CD9">
              <w:rPr>
                <w:b/>
                <w:bCs/>
                <w:sz w:val="20"/>
                <w:szCs w:val="20"/>
              </w:rPr>
              <w:t>01.03.02.07</w:t>
            </w:r>
            <w:r w:rsidR="00945B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9" w:type="pct"/>
            <w:vMerge w:val="restart"/>
            <w:shd w:val="clear" w:color="000000" w:fill="FFFFFF"/>
          </w:tcPr>
          <w:p w14:paraId="63B1204D" w14:textId="77777777" w:rsidR="008E1E6D" w:rsidRPr="009E0D5E" w:rsidRDefault="008E1E6D" w:rsidP="0053313F">
            <w:pPr>
              <w:spacing w:line="276" w:lineRule="auto"/>
              <w:ind w:left="137"/>
              <w:rPr>
                <w:sz w:val="20"/>
                <w:szCs w:val="20"/>
              </w:rPr>
            </w:pPr>
            <w:r w:rsidRPr="00503CD9">
              <w:rPr>
                <w:sz w:val="20"/>
                <w:szCs w:val="20"/>
              </w:rPr>
              <w:t>Verslui svarbios inžinerinės infrastruktūros sukūrimas Molėtų miesto apleistose teritorijose Melioratorių g. 20 ir 18C</w:t>
            </w:r>
          </w:p>
        </w:tc>
        <w:tc>
          <w:tcPr>
            <w:tcW w:w="294" w:type="pct"/>
            <w:shd w:val="clear" w:color="auto" w:fill="auto"/>
          </w:tcPr>
          <w:p w14:paraId="1D310CCE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294" w:type="pct"/>
            <w:shd w:val="clear" w:color="auto" w:fill="auto"/>
            <w:noWrap/>
          </w:tcPr>
          <w:p w14:paraId="7DC504B6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367" w:type="pct"/>
            <w:shd w:val="clear" w:color="000000" w:fill="FFFFFF"/>
          </w:tcPr>
          <w:p w14:paraId="0A52BE12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503CD9">
              <w:rPr>
                <w:sz w:val="20"/>
                <w:szCs w:val="20"/>
                <w:lang w:eastAsia="lt-LT"/>
              </w:rPr>
              <w:t>14</w:t>
            </w:r>
            <w:r>
              <w:rPr>
                <w:sz w:val="20"/>
                <w:szCs w:val="20"/>
                <w:lang w:eastAsia="lt-LT"/>
              </w:rPr>
              <w:t>,</w:t>
            </w:r>
            <w:r w:rsidRPr="00503CD9">
              <w:rPr>
                <w:sz w:val="20"/>
                <w:szCs w:val="20"/>
                <w:lang w:eastAsia="lt-LT"/>
              </w:rPr>
              <w:t>3</w:t>
            </w:r>
            <w:r>
              <w:rPr>
                <w:sz w:val="20"/>
                <w:szCs w:val="20"/>
                <w:lang w:eastAsia="lt-LT"/>
              </w:rPr>
              <w:t>9</w:t>
            </w:r>
          </w:p>
        </w:tc>
        <w:tc>
          <w:tcPr>
            <w:tcW w:w="368" w:type="pct"/>
            <w:shd w:val="clear" w:color="000000" w:fill="FFFFFF"/>
          </w:tcPr>
          <w:p w14:paraId="23526712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589" w:type="pct"/>
            <w:vMerge w:val="restart"/>
            <w:shd w:val="clear" w:color="000000" w:fill="FFFFFF"/>
          </w:tcPr>
          <w:p w14:paraId="2B48EFA9" w14:textId="77777777" w:rsidR="008E1E6D" w:rsidRPr="009E0D5E" w:rsidRDefault="008E1E6D" w:rsidP="00E6525A">
            <w:pPr>
              <w:ind w:left="142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</w:rPr>
              <w:t>Investicijoms paruošti sklypai, vnt.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81F033C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4" w:type="pct"/>
            <w:vMerge w:val="restart"/>
            <w:shd w:val="clear" w:color="auto" w:fill="auto"/>
          </w:tcPr>
          <w:p w14:paraId="48CBCA4C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4D1C939C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35" w:type="pct"/>
            <w:vMerge w:val="restart"/>
          </w:tcPr>
          <w:p w14:paraId="5C57A4E2" w14:textId="77777777" w:rsidR="008E1E6D" w:rsidRPr="00670608" w:rsidRDefault="008E1E6D" w:rsidP="009247DB">
            <w:pPr>
              <w:ind w:left="138"/>
              <w:rPr>
                <w:sz w:val="20"/>
                <w:szCs w:val="20"/>
                <w:lang w:eastAsia="lt-LT"/>
              </w:rPr>
            </w:pPr>
            <w:r w:rsidRPr="00670608">
              <w:rPr>
                <w:sz w:val="20"/>
                <w:szCs w:val="20"/>
                <w:lang w:eastAsia="lt-LT"/>
              </w:rPr>
              <w:t>Strateginio planavimo ir investicijų skyrius</w:t>
            </w:r>
          </w:p>
          <w:p w14:paraId="295D4A72" w14:textId="77777777" w:rsidR="008E1E6D" w:rsidRPr="00B5786B" w:rsidRDefault="008E1E6D" w:rsidP="009247DB">
            <w:pPr>
              <w:rPr>
                <w:lang w:eastAsia="lt-LT"/>
              </w:rPr>
            </w:pPr>
          </w:p>
        </w:tc>
      </w:tr>
      <w:tr w:rsidR="00E6525A" w:rsidRPr="00B5786B" w14:paraId="17E5B8DA" w14:textId="77777777" w:rsidTr="00E6525A">
        <w:trPr>
          <w:cantSplit/>
          <w:trHeight w:val="70"/>
        </w:trPr>
        <w:tc>
          <w:tcPr>
            <w:tcW w:w="586" w:type="pct"/>
            <w:vMerge/>
            <w:shd w:val="clear" w:color="000000" w:fill="FFFFFF"/>
            <w:noWrap/>
          </w:tcPr>
          <w:p w14:paraId="7174D448" w14:textId="77777777" w:rsidR="008E1E6D" w:rsidRPr="00503CD9" w:rsidRDefault="008E1E6D" w:rsidP="009247D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vMerge/>
            <w:shd w:val="clear" w:color="000000" w:fill="FFFFFF"/>
          </w:tcPr>
          <w:p w14:paraId="2A00BB54" w14:textId="77777777" w:rsidR="008E1E6D" w:rsidRPr="00503CD9" w:rsidRDefault="008E1E6D" w:rsidP="009247DB">
            <w:pPr>
              <w:spacing w:line="276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14:paraId="791F5204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294" w:type="pct"/>
            <w:shd w:val="clear" w:color="auto" w:fill="auto"/>
            <w:noWrap/>
          </w:tcPr>
          <w:p w14:paraId="419A4EC0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367" w:type="pct"/>
            <w:shd w:val="clear" w:color="000000" w:fill="FFFFFF"/>
          </w:tcPr>
          <w:p w14:paraId="473A6C49" w14:textId="77777777" w:rsidR="008E1E6D" w:rsidRPr="009E0D5E" w:rsidRDefault="008E1E6D" w:rsidP="00893F13">
            <w:pPr>
              <w:jc w:val="center"/>
              <w:rPr>
                <w:sz w:val="20"/>
                <w:szCs w:val="20"/>
                <w:lang w:eastAsia="lt-LT"/>
              </w:rPr>
            </w:pPr>
            <w:r w:rsidRPr="00503CD9">
              <w:rPr>
                <w:sz w:val="20"/>
                <w:szCs w:val="20"/>
                <w:lang w:eastAsia="lt-LT"/>
              </w:rPr>
              <w:t>14</w:t>
            </w:r>
            <w:r>
              <w:rPr>
                <w:sz w:val="20"/>
                <w:szCs w:val="20"/>
                <w:lang w:eastAsia="lt-LT"/>
              </w:rPr>
              <w:t>,</w:t>
            </w:r>
            <w:r w:rsidRPr="00503CD9">
              <w:rPr>
                <w:sz w:val="20"/>
                <w:szCs w:val="20"/>
                <w:lang w:eastAsia="lt-LT"/>
              </w:rPr>
              <w:t>3</w:t>
            </w:r>
            <w:r>
              <w:rPr>
                <w:sz w:val="20"/>
                <w:szCs w:val="20"/>
                <w:lang w:eastAsia="lt-LT"/>
              </w:rPr>
              <w:t>9</w:t>
            </w:r>
          </w:p>
        </w:tc>
        <w:tc>
          <w:tcPr>
            <w:tcW w:w="368" w:type="pct"/>
            <w:shd w:val="clear" w:color="000000" w:fill="FFFFFF"/>
          </w:tcPr>
          <w:p w14:paraId="27590550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589" w:type="pct"/>
            <w:vMerge/>
            <w:shd w:val="clear" w:color="000000" w:fill="FFFFFF"/>
          </w:tcPr>
          <w:p w14:paraId="1D2D8AE8" w14:textId="77777777" w:rsidR="008E1E6D" w:rsidRPr="009E0D5E" w:rsidRDefault="008E1E6D" w:rsidP="009247DB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7736ACA3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14:paraId="0789D890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4E45BCCA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35" w:type="pct"/>
            <w:vMerge/>
          </w:tcPr>
          <w:p w14:paraId="64687F3A" w14:textId="77777777" w:rsidR="008E1E6D" w:rsidRPr="00B5786B" w:rsidRDefault="008E1E6D" w:rsidP="009247DB">
            <w:pPr>
              <w:ind w:left="138"/>
              <w:rPr>
                <w:lang w:eastAsia="lt-LT"/>
              </w:rPr>
            </w:pPr>
          </w:p>
        </w:tc>
      </w:tr>
      <w:tr w:rsidR="00E6525A" w:rsidRPr="00B5786B" w14:paraId="1F78BCE5" w14:textId="77777777" w:rsidTr="00E6525A">
        <w:trPr>
          <w:cantSplit/>
          <w:trHeight w:val="70"/>
        </w:trPr>
        <w:tc>
          <w:tcPr>
            <w:tcW w:w="586" w:type="pct"/>
            <w:vMerge/>
            <w:shd w:val="clear" w:color="000000" w:fill="FFFFFF"/>
            <w:noWrap/>
          </w:tcPr>
          <w:p w14:paraId="62F1426F" w14:textId="77777777" w:rsidR="008E1E6D" w:rsidRPr="009E0D5E" w:rsidRDefault="008E1E6D" w:rsidP="009247D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vMerge/>
            <w:shd w:val="clear" w:color="000000" w:fill="FFFFFF"/>
          </w:tcPr>
          <w:p w14:paraId="5C8E81DA" w14:textId="77777777" w:rsidR="008E1E6D" w:rsidRPr="009E0D5E" w:rsidRDefault="008E1E6D" w:rsidP="009247DB">
            <w:pPr>
              <w:spacing w:line="276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14:paraId="621866C1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294" w:type="pct"/>
            <w:shd w:val="clear" w:color="auto" w:fill="auto"/>
            <w:noWrap/>
          </w:tcPr>
          <w:p w14:paraId="5D2ADCCB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367" w:type="pct"/>
            <w:shd w:val="clear" w:color="000000" w:fill="FFFFFF"/>
          </w:tcPr>
          <w:p w14:paraId="50653A0D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503CD9">
              <w:rPr>
                <w:sz w:val="20"/>
                <w:szCs w:val="20"/>
                <w:lang w:eastAsia="lt-LT"/>
              </w:rPr>
              <w:t>163</w:t>
            </w:r>
            <w:r>
              <w:rPr>
                <w:sz w:val="20"/>
                <w:szCs w:val="20"/>
                <w:lang w:eastAsia="lt-LT"/>
              </w:rPr>
              <w:t>,</w:t>
            </w:r>
            <w:r w:rsidRPr="00503CD9">
              <w:rPr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368" w:type="pct"/>
            <w:shd w:val="clear" w:color="000000" w:fill="FFFFFF"/>
          </w:tcPr>
          <w:p w14:paraId="5670EA8D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589" w:type="pct"/>
            <w:vMerge/>
            <w:shd w:val="clear" w:color="000000" w:fill="FFFFFF"/>
          </w:tcPr>
          <w:p w14:paraId="44E2F74B" w14:textId="77777777" w:rsidR="008E1E6D" w:rsidRPr="009E0D5E" w:rsidRDefault="008E1E6D" w:rsidP="009247DB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5235CA71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14:paraId="74A434DA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5A8C8D4C" w14:textId="77777777" w:rsidR="008E1E6D" w:rsidRPr="009E0D5E" w:rsidRDefault="008E1E6D" w:rsidP="009247DB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35" w:type="pct"/>
            <w:vMerge/>
          </w:tcPr>
          <w:p w14:paraId="5D15916C" w14:textId="77777777" w:rsidR="008E1E6D" w:rsidRPr="00B5786B" w:rsidRDefault="008E1E6D" w:rsidP="009247DB">
            <w:pPr>
              <w:ind w:left="138"/>
              <w:rPr>
                <w:lang w:eastAsia="lt-LT"/>
              </w:rPr>
            </w:pPr>
          </w:p>
        </w:tc>
      </w:tr>
    </w:tbl>
    <w:p w14:paraId="408A1C33" w14:textId="3E4DEBCB" w:rsidR="004C2E03" w:rsidRDefault="00D07A5A" w:rsidP="00D07A5A">
      <w:pPr>
        <w:spacing w:line="360" w:lineRule="auto"/>
        <w:ind w:left="8840"/>
        <w:jc w:val="both"/>
      </w:pPr>
      <w:r>
        <w:t xml:space="preserve">          </w:t>
      </w:r>
      <w:r w:rsidR="009D548D">
        <w:t>“.</w:t>
      </w:r>
    </w:p>
    <w:p w14:paraId="15BA06A3" w14:textId="6E027FCA" w:rsidR="0053313F" w:rsidRPr="009D548D" w:rsidRDefault="00135125" w:rsidP="0053313F">
      <w:pPr>
        <w:pStyle w:val="Sraopastraipa"/>
        <w:numPr>
          <w:ilvl w:val="0"/>
          <w:numId w:val="3"/>
        </w:numPr>
        <w:spacing w:line="360" w:lineRule="auto"/>
        <w:ind w:left="0" w:firstLine="1134"/>
        <w:jc w:val="both"/>
        <w:rPr>
          <w:bCs/>
        </w:rPr>
      </w:pPr>
      <w:r>
        <w:t>Papildyti 2020</w:t>
      </w:r>
      <w:r w:rsidRPr="0004669C">
        <w:rPr>
          <w:rStyle w:val="Emfaz"/>
        </w:rPr>
        <w:t>–</w:t>
      </w:r>
      <w:r w:rsidRPr="0004669C">
        <w:t>2022</w:t>
      </w:r>
      <w:r>
        <w:t xml:space="preserve"> m. </w:t>
      </w:r>
      <w:r w:rsidRPr="008E1E6D">
        <w:t xml:space="preserve">Molėtų rajono savivaldybės </w:t>
      </w:r>
      <w:r w:rsidRPr="00135125">
        <w:t>sveikatos apsaugos programos</w:t>
      </w:r>
      <w:r>
        <w:t xml:space="preserve"> </w:t>
      </w:r>
      <w:r w:rsidRPr="00032400">
        <w:rPr>
          <w:bCs/>
        </w:rPr>
        <w:t>(Nr. 0</w:t>
      </w:r>
      <w:r>
        <w:rPr>
          <w:bCs/>
        </w:rPr>
        <w:t>8</w:t>
      </w:r>
      <w:r w:rsidRPr="00032400">
        <w:rPr>
          <w:bCs/>
        </w:rPr>
        <w:t>)</w:t>
      </w:r>
      <w:r>
        <w:rPr>
          <w:bCs/>
        </w:rPr>
        <w:t xml:space="preserve"> </w:t>
      </w:r>
      <w:r>
        <w:t>t</w:t>
      </w:r>
      <w:r w:rsidRPr="0083520D">
        <w:t xml:space="preserve">ikslų, </w:t>
      </w:r>
      <w:r w:rsidRPr="00135125">
        <w:t>uždavinių, priemonių, priemonių išlaidų ir produkto kriterijų suvestinės 01 tikslo „Kokybiškos ir prieinamos sveikatos priežiūros ir socialinės paslaugos“</w:t>
      </w:r>
      <w:r>
        <w:rPr>
          <w:b/>
          <w:bCs/>
          <w:sz w:val="20"/>
          <w:szCs w:val="20"/>
        </w:rPr>
        <w:t xml:space="preserve"> </w:t>
      </w:r>
      <w:r w:rsidRPr="00135125">
        <w:t>01 uždavinio „Teikti kokybiškas sveikatos priežiūros paslaugas“</w:t>
      </w:r>
      <w:r>
        <w:t xml:space="preserve"> 2 veiklą </w:t>
      </w:r>
      <w:r w:rsidRPr="00135125">
        <w:t>„Visuomenės sveikatos priežiūros paslaugų kokybės gerinimas ir plėtra Molėtų rajone“</w:t>
      </w:r>
      <w:r>
        <w:t xml:space="preserve"> </w:t>
      </w:r>
      <w:r w:rsidRPr="00135125">
        <w:t>priemone 08.01.01.1</w:t>
      </w:r>
      <w:r w:rsidRPr="00135125">
        <w:rPr>
          <w:lang w:val="en-US"/>
        </w:rPr>
        <w:t>1</w:t>
      </w:r>
      <w:r>
        <w:t xml:space="preserve"> </w:t>
      </w:r>
      <w:r w:rsidRPr="00135125">
        <w:t>„</w:t>
      </w:r>
      <w:r>
        <w:t>A</w:t>
      </w:r>
      <w:r w:rsidRPr="00135125">
        <w:t>daptuoto ir išplėsto jaunimui palankių sveikatos priežiūros paslaugų (JPSPP) teikimo modelio įdiegimas</w:t>
      </w:r>
      <w:r>
        <w:t xml:space="preserve"> Mol</w:t>
      </w:r>
      <w:r w:rsidR="0053313F">
        <w:t>ė</w:t>
      </w:r>
      <w:r>
        <w:t>t</w:t>
      </w:r>
      <w:r w:rsidR="0053313F">
        <w:t>ų</w:t>
      </w:r>
      <w:r>
        <w:t xml:space="preserve"> rajone</w:t>
      </w:r>
      <w:r w:rsidRPr="00135125">
        <w:t>“</w:t>
      </w:r>
      <w:r w:rsidR="0053313F">
        <w:t xml:space="preserve"> </w:t>
      </w:r>
      <w:r w:rsidR="0053313F" w:rsidRPr="0053313F">
        <w:t>ir ją išdėstyti taip:</w:t>
      </w:r>
    </w:p>
    <w:p w14:paraId="7F49D75A" w14:textId="7185DBF7" w:rsidR="0053313F" w:rsidRDefault="0053313F" w:rsidP="0053313F">
      <w:pPr>
        <w:spacing w:line="360" w:lineRule="auto"/>
        <w:jc w:val="both"/>
      </w:pPr>
      <w:r>
        <w:t>„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555"/>
        <w:gridCol w:w="567"/>
        <w:gridCol w:w="567"/>
        <w:gridCol w:w="707"/>
        <w:gridCol w:w="711"/>
        <w:gridCol w:w="1134"/>
        <w:gridCol w:w="567"/>
        <w:gridCol w:w="567"/>
        <w:gridCol w:w="569"/>
        <w:gridCol w:w="1403"/>
      </w:tblGrid>
      <w:tr w:rsidR="00E6525A" w:rsidRPr="00670F82" w14:paraId="343D59D4" w14:textId="77777777" w:rsidTr="00E6525A">
        <w:trPr>
          <w:trHeight w:val="557"/>
        </w:trPr>
        <w:tc>
          <w:tcPr>
            <w:tcW w:w="597" w:type="pct"/>
            <w:vMerge w:val="restart"/>
            <w:shd w:val="clear" w:color="000000" w:fill="FFFFFF"/>
            <w:noWrap/>
          </w:tcPr>
          <w:p w14:paraId="406DC567" w14:textId="77777777" w:rsidR="0053313F" w:rsidRPr="009E0D5E" w:rsidRDefault="0053313F" w:rsidP="00AF29B2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9E0D5E">
              <w:rPr>
                <w:b/>
                <w:bCs/>
                <w:sz w:val="20"/>
                <w:szCs w:val="20"/>
                <w:lang w:eastAsia="lt-LT"/>
              </w:rPr>
              <w:t>Priemonės kodas</w:t>
            </w:r>
          </w:p>
        </w:tc>
        <w:tc>
          <w:tcPr>
            <w:tcW w:w="821" w:type="pct"/>
            <w:vMerge w:val="restart"/>
            <w:shd w:val="clear" w:color="000000" w:fill="FFFFFF"/>
          </w:tcPr>
          <w:p w14:paraId="4E3AD264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14:paraId="41A6153A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299" w:type="pct"/>
            <w:vMerge w:val="restart"/>
            <w:shd w:val="clear" w:color="auto" w:fill="auto"/>
            <w:noWrap/>
            <w:textDirection w:val="btLr"/>
            <w:vAlign w:val="center"/>
          </w:tcPr>
          <w:p w14:paraId="1B89362D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2020-ųjų metų asignavimo planas</w:t>
            </w:r>
          </w:p>
        </w:tc>
        <w:tc>
          <w:tcPr>
            <w:tcW w:w="373" w:type="pct"/>
            <w:vMerge w:val="restart"/>
            <w:shd w:val="clear" w:color="000000" w:fill="FFFFFF"/>
            <w:textDirection w:val="btLr"/>
            <w:vAlign w:val="center"/>
          </w:tcPr>
          <w:p w14:paraId="79F02998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2021-ųjų metų asignavimų planas</w:t>
            </w:r>
          </w:p>
        </w:tc>
        <w:tc>
          <w:tcPr>
            <w:tcW w:w="375" w:type="pct"/>
            <w:vMerge w:val="restart"/>
            <w:shd w:val="clear" w:color="000000" w:fill="FFFFFF"/>
            <w:textDirection w:val="btLr"/>
            <w:vAlign w:val="center"/>
          </w:tcPr>
          <w:p w14:paraId="0D78B6D7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2022-ųjų metų asignavimų planas</w:t>
            </w:r>
          </w:p>
        </w:tc>
        <w:tc>
          <w:tcPr>
            <w:tcW w:w="1496" w:type="pct"/>
            <w:gridSpan w:val="4"/>
            <w:shd w:val="clear" w:color="000000" w:fill="FFFFFF"/>
          </w:tcPr>
          <w:p w14:paraId="6B0B0B14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Produkto kriterijaus</w:t>
            </w:r>
          </w:p>
        </w:tc>
        <w:tc>
          <w:tcPr>
            <w:tcW w:w="740" w:type="pct"/>
            <w:shd w:val="clear" w:color="000000" w:fill="FFFFFF"/>
          </w:tcPr>
          <w:p w14:paraId="21B4E837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Atsakingas priemonės koordinatorius</w:t>
            </w:r>
          </w:p>
        </w:tc>
      </w:tr>
      <w:tr w:rsidR="00E6525A" w:rsidRPr="00670F82" w14:paraId="5BA9CC37" w14:textId="77777777" w:rsidTr="00E6525A">
        <w:trPr>
          <w:trHeight w:val="557"/>
        </w:trPr>
        <w:tc>
          <w:tcPr>
            <w:tcW w:w="597" w:type="pct"/>
            <w:vMerge/>
            <w:shd w:val="clear" w:color="000000" w:fill="FFFFFF"/>
            <w:noWrap/>
            <w:textDirection w:val="btLr"/>
          </w:tcPr>
          <w:p w14:paraId="30ABD74F" w14:textId="77777777" w:rsidR="0053313F" w:rsidRPr="009E0D5E" w:rsidRDefault="0053313F" w:rsidP="00AF29B2">
            <w:pPr>
              <w:ind w:left="113" w:right="113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21" w:type="pct"/>
            <w:vMerge/>
            <w:shd w:val="clear" w:color="000000" w:fill="FFFFFF"/>
            <w:textDirection w:val="btLr"/>
          </w:tcPr>
          <w:p w14:paraId="4B6FBB81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  <w:vAlign w:val="center"/>
          </w:tcPr>
          <w:p w14:paraId="18791A7C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textDirection w:val="btLr"/>
            <w:vAlign w:val="center"/>
          </w:tcPr>
          <w:p w14:paraId="78F9B99F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73" w:type="pct"/>
            <w:vMerge/>
            <w:shd w:val="clear" w:color="000000" w:fill="FFFFFF"/>
            <w:textDirection w:val="btLr"/>
            <w:vAlign w:val="center"/>
          </w:tcPr>
          <w:p w14:paraId="1F52F9E8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75" w:type="pct"/>
            <w:vMerge/>
            <w:shd w:val="clear" w:color="000000" w:fill="FFFFFF"/>
            <w:textDirection w:val="btLr"/>
            <w:vAlign w:val="center"/>
          </w:tcPr>
          <w:p w14:paraId="4D49F78C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598" w:type="pct"/>
            <w:vMerge w:val="restart"/>
            <w:shd w:val="clear" w:color="000000" w:fill="FFFFFF"/>
          </w:tcPr>
          <w:p w14:paraId="29AA8D87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897" w:type="pct"/>
            <w:gridSpan w:val="3"/>
            <w:shd w:val="clear" w:color="000000" w:fill="FFFFFF"/>
          </w:tcPr>
          <w:p w14:paraId="0F043B74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Planas</w:t>
            </w:r>
          </w:p>
        </w:tc>
        <w:tc>
          <w:tcPr>
            <w:tcW w:w="740" w:type="pct"/>
            <w:shd w:val="clear" w:color="000000" w:fill="FFFFFF"/>
          </w:tcPr>
          <w:p w14:paraId="30698897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</w:tr>
      <w:tr w:rsidR="00E6525A" w:rsidRPr="00670F82" w14:paraId="6B1E40D3" w14:textId="77777777" w:rsidTr="00E6525A">
        <w:trPr>
          <w:cantSplit/>
          <w:trHeight w:val="1121"/>
        </w:trPr>
        <w:tc>
          <w:tcPr>
            <w:tcW w:w="597" w:type="pct"/>
            <w:vMerge/>
            <w:shd w:val="clear" w:color="000000" w:fill="FFFFFF"/>
            <w:noWrap/>
            <w:textDirection w:val="btLr"/>
          </w:tcPr>
          <w:p w14:paraId="1C0C3F23" w14:textId="77777777" w:rsidR="0053313F" w:rsidRPr="009E0D5E" w:rsidRDefault="0053313F" w:rsidP="00AF29B2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21" w:type="pct"/>
            <w:vMerge/>
            <w:shd w:val="clear" w:color="000000" w:fill="FFFFFF"/>
            <w:textDirection w:val="btLr"/>
          </w:tcPr>
          <w:p w14:paraId="1CDEDD6F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  <w:vAlign w:val="center"/>
          </w:tcPr>
          <w:p w14:paraId="2CE1BC40" w14:textId="77777777" w:rsidR="0053313F" w:rsidRPr="009E0D5E" w:rsidRDefault="0053313F" w:rsidP="00AF29B2">
            <w:pPr>
              <w:ind w:left="113" w:right="113"/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textDirection w:val="btLr"/>
            <w:vAlign w:val="center"/>
          </w:tcPr>
          <w:p w14:paraId="6AFF9D51" w14:textId="77777777" w:rsidR="0053313F" w:rsidRPr="009E0D5E" w:rsidRDefault="0053313F" w:rsidP="00AF29B2">
            <w:pPr>
              <w:ind w:left="113" w:right="113"/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73" w:type="pct"/>
            <w:vMerge/>
            <w:shd w:val="clear" w:color="000000" w:fill="FFFFFF"/>
            <w:textDirection w:val="btLr"/>
            <w:vAlign w:val="center"/>
          </w:tcPr>
          <w:p w14:paraId="6B4323DC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375" w:type="pct"/>
            <w:vMerge/>
            <w:shd w:val="clear" w:color="000000" w:fill="FFFFFF"/>
            <w:textDirection w:val="btLr"/>
            <w:vAlign w:val="center"/>
          </w:tcPr>
          <w:p w14:paraId="09C39D72" w14:textId="77777777" w:rsidR="0053313F" w:rsidRPr="009E0D5E" w:rsidRDefault="0053313F" w:rsidP="00AF29B2">
            <w:pPr>
              <w:ind w:left="113" w:right="113"/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598" w:type="pct"/>
            <w:vMerge/>
            <w:shd w:val="clear" w:color="000000" w:fill="FFFFFF"/>
          </w:tcPr>
          <w:p w14:paraId="307BCEE5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shd w:val="clear" w:color="auto" w:fill="auto"/>
            <w:textDirection w:val="btLr"/>
          </w:tcPr>
          <w:p w14:paraId="18BCEEAD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2020-ieji metai</w:t>
            </w:r>
          </w:p>
        </w:tc>
        <w:tc>
          <w:tcPr>
            <w:tcW w:w="299" w:type="pct"/>
            <w:shd w:val="clear" w:color="auto" w:fill="auto"/>
            <w:textDirection w:val="btLr"/>
          </w:tcPr>
          <w:p w14:paraId="231D2144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2021-ieji metai</w:t>
            </w:r>
          </w:p>
        </w:tc>
        <w:tc>
          <w:tcPr>
            <w:tcW w:w="299" w:type="pct"/>
            <w:shd w:val="clear" w:color="auto" w:fill="auto"/>
            <w:textDirection w:val="btLr"/>
          </w:tcPr>
          <w:p w14:paraId="2F91ECF2" w14:textId="77777777" w:rsidR="0053313F" w:rsidRPr="009E0D5E" w:rsidRDefault="0053313F" w:rsidP="00AF29B2">
            <w:pPr>
              <w:ind w:left="113" w:right="113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2022-ieji metai</w:t>
            </w:r>
          </w:p>
        </w:tc>
        <w:tc>
          <w:tcPr>
            <w:tcW w:w="740" w:type="pct"/>
          </w:tcPr>
          <w:p w14:paraId="0C3BBF15" w14:textId="77777777" w:rsidR="0053313F" w:rsidRPr="009E0D5E" w:rsidRDefault="0053313F" w:rsidP="00AF29B2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9E0D5E">
              <w:rPr>
                <w:b/>
                <w:sz w:val="20"/>
                <w:szCs w:val="20"/>
                <w:lang w:eastAsia="lt-LT"/>
              </w:rPr>
              <w:t>Pavadinimas</w:t>
            </w:r>
          </w:p>
        </w:tc>
      </w:tr>
      <w:tr w:rsidR="00E6525A" w:rsidRPr="00B5786B" w14:paraId="319923F9" w14:textId="77777777" w:rsidTr="00E6525A">
        <w:trPr>
          <w:cantSplit/>
          <w:trHeight w:val="336"/>
        </w:trPr>
        <w:tc>
          <w:tcPr>
            <w:tcW w:w="597" w:type="pct"/>
            <w:vMerge w:val="restart"/>
            <w:shd w:val="clear" w:color="000000" w:fill="FFFFFF"/>
            <w:noWrap/>
          </w:tcPr>
          <w:p w14:paraId="02A9C156" w14:textId="194864B2" w:rsidR="0053313F" w:rsidRPr="009E0D5E" w:rsidRDefault="0053313F" w:rsidP="00AF29B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313F">
              <w:rPr>
                <w:b/>
                <w:bCs/>
                <w:sz w:val="20"/>
                <w:szCs w:val="20"/>
              </w:rPr>
              <w:t>08.01.01.11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1" w:type="pct"/>
            <w:vMerge w:val="restart"/>
            <w:shd w:val="clear" w:color="000000" w:fill="FFFFFF"/>
          </w:tcPr>
          <w:p w14:paraId="456ABC42" w14:textId="1D3C1800" w:rsidR="0053313F" w:rsidRPr="009E0D5E" w:rsidRDefault="0053313F" w:rsidP="00D07A5A">
            <w:pPr>
              <w:spacing w:line="276" w:lineRule="auto"/>
              <w:ind w:left="137"/>
              <w:rPr>
                <w:sz w:val="20"/>
                <w:szCs w:val="20"/>
              </w:rPr>
            </w:pPr>
            <w:r w:rsidRPr="0053313F">
              <w:rPr>
                <w:sz w:val="20"/>
                <w:szCs w:val="20"/>
              </w:rPr>
              <w:t>Adaptuot</w:t>
            </w:r>
            <w:r w:rsidR="00D07A5A">
              <w:rPr>
                <w:sz w:val="20"/>
                <w:szCs w:val="20"/>
              </w:rPr>
              <w:t>o ir išplėsto</w:t>
            </w:r>
            <w:r w:rsidRPr="0053313F">
              <w:rPr>
                <w:sz w:val="20"/>
                <w:szCs w:val="20"/>
              </w:rPr>
              <w:t xml:space="preserve"> jaunimui palankių sveikatos priežiūros paslaugų (JPSPP) teikimo modelio įdiegimas Molėtų rajone</w:t>
            </w:r>
          </w:p>
        </w:tc>
        <w:tc>
          <w:tcPr>
            <w:tcW w:w="299" w:type="pct"/>
            <w:shd w:val="clear" w:color="auto" w:fill="auto"/>
          </w:tcPr>
          <w:p w14:paraId="2AC51CC7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299" w:type="pct"/>
            <w:shd w:val="clear" w:color="auto" w:fill="auto"/>
            <w:noWrap/>
          </w:tcPr>
          <w:p w14:paraId="66EDBEE1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373" w:type="pct"/>
            <w:shd w:val="clear" w:color="000000" w:fill="FFFFFF"/>
          </w:tcPr>
          <w:p w14:paraId="49C0AD9B" w14:textId="465FA700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375" w:type="pct"/>
            <w:shd w:val="clear" w:color="000000" w:fill="FFFFFF"/>
          </w:tcPr>
          <w:p w14:paraId="7FD0F469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598" w:type="pct"/>
            <w:vMerge w:val="restart"/>
            <w:shd w:val="clear" w:color="000000" w:fill="FFFFFF"/>
          </w:tcPr>
          <w:p w14:paraId="0E3D6FEF" w14:textId="4AAAF0C4" w:rsidR="0053313F" w:rsidRPr="009E0D5E" w:rsidRDefault="0053313F" w:rsidP="00E6525A">
            <w:pPr>
              <w:ind w:left="142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</w:rPr>
              <w:t>Modelio įdiegimas, vnt.</w:t>
            </w:r>
          </w:p>
        </w:tc>
        <w:tc>
          <w:tcPr>
            <w:tcW w:w="299" w:type="pct"/>
            <w:vMerge w:val="restart"/>
            <w:shd w:val="clear" w:color="auto" w:fill="auto"/>
          </w:tcPr>
          <w:p w14:paraId="65FBED2D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vMerge w:val="restart"/>
            <w:shd w:val="clear" w:color="auto" w:fill="auto"/>
          </w:tcPr>
          <w:p w14:paraId="0CC6D0E3" w14:textId="228F0DAB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42483968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0" w:type="pct"/>
            <w:vMerge w:val="restart"/>
          </w:tcPr>
          <w:p w14:paraId="0E24B750" w14:textId="599E66A4" w:rsidR="0053313F" w:rsidRPr="00B5786B" w:rsidRDefault="00CD3633" w:rsidP="00CD3633">
            <w:pPr>
              <w:ind w:left="138"/>
              <w:rPr>
                <w:lang w:eastAsia="lt-LT"/>
              </w:rPr>
            </w:pPr>
            <w:r w:rsidRPr="00E7429E">
              <w:rPr>
                <w:sz w:val="20"/>
                <w:szCs w:val="20"/>
              </w:rPr>
              <w:t>Savivaldybės gydytoja</w:t>
            </w:r>
            <w:r w:rsidR="00D07A5A">
              <w:rPr>
                <w:sz w:val="20"/>
                <w:szCs w:val="20"/>
              </w:rPr>
              <w:t>s</w:t>
            </w:r>
            <w:r w:rsidRPr="00B5786B">
              <w:rPr>
                <w:lang w:eastAsia="lt-LT"/>
              </w:rPr>
              <w:t xml:space="preserve"> </w:t>
            </w:r>
          </w:p>
        </w:tc>
      </w:tr>
      <w:tr w:rsidR="00E6525A" w:rsidRPr="00B5786B" w14:paraId="1CA5A9DF" w14:textId="77777777" w:rsidTr="00E6525A">
        <w:trPr>
          <w:cantSplit/>
          <w:trHeight w:val="70"/>
        </w:trPr>
        <w:tc>
          <w:tcPr>
            <w:tcW w:w="597" w:type="pct"/>
            <w:vMerge/>
            <w:shd w:val="clear" w:color="000000" w:fill="FFFFFF"/>
            <w:noWrap/>
          </w:tcPr>
          <w:p w14:paraId="562D1E24" w14:textId="77777777" w:rsidR="0053313F" w:rsidRPr="009E0D5E" w:rsidRDefault="0053313F" w:rsidP="00AF29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000000" w:fill="FFFFFF"/>
          </w:tcPr>
          <w:p w14:paraId="1BEA2478" w14:textId="77777777" w:rsidR="0053313F" w:rsidRPr="009E0D5E" w:rsidRDefault="0053313F" w:rsidP="00AF29B2">
            <w:pPr>
              <w:spacing w:line="276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14:paraId="0085DDD3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299" w:type="pct"/>
            <w:shd w:val="clear" w:color="auto" w:fill="auto"/>
            <w:noWrap/>
          </w:tcPr>
          <w:p w14:paraId="2A9B8D0B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373" w:type="pct"/>
            <w:shd w:val="clear" w:color="000000" w:fill="FFFFFF"/>
          </w:tcPr>
          <w:p w14:paraId="2C7EAAFA" w14:textId="394FD473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375" w:type="pct"/>
            <w:shd w:val="clear" w:color="000000" w:fill="FFFFFF"/>
          </w:tcPr>
          <w:p w14:paraId="1271FED8" w14:textId="46961545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</w:t>
            </w:r>
            <w:r w:rsidRPr="009E0D5E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598" w:type="pct"/>
            <w:vMerge/>
            <w:shd w:val="clear" w:color="000000" w:fill="FFFFFF"/>
          </w:tcPr>
          <w:p w14:paraId="3A4A6146" w14:textId="77777777" w:rsidR="0053313F" w:rsidRPr="009E0D5E" w:rsidRDefault="0053313F" w:rsidP="00AF29B2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14:paraId="5282907C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14:paraId="75EDC34E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3D6A7482" w14:textId="77777777" w:rsidR="0053313F" w:rsidRPr="009E0D5E" w:rsidRDefault="0053313F" w:rsidP="00AF29B2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0" w:type="pct"/>
            <w:vMerge/>
          </w:tcPr>
          <w:p w14:paraId="38046BBB" w14:textId="77777777" w:rsidR="0053313F" w:rsidRPr="00B5786B" w:rsidRDefault="0053313F" w:rsidP="00AF29B2">
            <w:pPr>
              <w:ind w:left="138"/>
              <w:rPr>
                <w:lang w:eastAsia="lt-LT"/>
              </w:rPr>
            </w:pPr>
          </w:p>
        </w:tc>
      </w:tr>
    </w:tbl>
    <w:p w14:paraId="3754848C" w14:textId="18E7AF8A" w:rsidR="0053313F" w:rsidRPr="00135125" w:rsidRDefault="00D07A5A" w:rsidP="00D07A5A">
      <w:pPr>
        <w:spacing w:line="360" w:lineRule="auto"/>
        <w:ind w:left="7480" w:firstLine="680"/>
        <w:jc w:val="both"/>
      </w:pPr>
      <w:r>
        <w:t xml:space="preserve">                   </w:t>
      </w:r>
      <w:r w:rsidR="0053313F">
        <w:t>“.</w:t>
      </w:r>
    </w:p>
    <w:p w14:paraId="49B61123" w14:textId="77777777" w:rsidR="009D548D" w:rsidRDefault="009D548D" w:rsidP="009D548D">
      <w:pPr>
        <w:spacing w:line="360" w:lineRule="auto"/>
        <w:jc w:val="both"/>
      </w:pPr>
    </w:p>
    <w:p w14:paraId="7B898C7E" w14:textId="77777777" w:rsidR="00FA39A9" w:rsidRDefault="00FA39A9">
      <w:pPr>
        <w:tabs>
          <w:tab w:val="left" w:pos="1674"/>
        </w:tabs>
        <w:sectPr w:rsidR="00FA39A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6DFB2E2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3069EC14E83477D8237209A529690B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EDE84B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995F03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82D4D5C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361C" w14:textId="77777777" w:rsidR="007458B2" w:rsidRDefault="007458B2">
      <w:r>
        <w:separator/>
      </w:r>
    </w:p>
  </w:endnote>
  <w:endnote w:type="continuationSeparator" w:id="0">
    <w:p w14:paraId="42511048" w14:textId="77777777" w:rsidR="007458B2" w:rsidRDefault="0074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3B58C" w14:textId="77777777" w:rsidR="007458B2" w:rsidRDefault="007458B2">
      <w:r>
        <w:separator/>
      </w:r>
    </w:p>
  </w:footnote>
  <w:footnote w:type="continuationSeparator" w:id="0">
    <w:p w14:paraId="6C19C5E7" w14:textId="77777777" w:rsidR="007458B2" w:rsidRDefault="0074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F41D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9D349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1B6E" w14:textId="1C3DD7E6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39F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991B3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D8D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F5E1EC3" wp14:editId="58CF1C7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116F4"/>
    <w:multiLevelType w:val="hybridMultilevel"/>
    <w:tmpl w:val="73E237EE"/>
    <w:lvl w:ilvl="0" w:tplc="0427000F">
      <w:start w:val="1"/>
      <w:numFmt w:val="decimal"/>
      <w:lvlText w:val="%1."/>
      <w:lvlJc w:val="left"/>
      <w:pPr>
        <w:ind w:left="1920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33A4C61"/>
    <w:multiLevelType w:val="hybridMultilevel"/>
    <w:tmpl w:val="4A68D8A2"/>
    <w:lvl w:ilvl="0" w:tplc="481EF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701DA"/>
    <w:multiLevelType w:val="hybridMultilevel"/>
    <w:tmpl w:val="61E881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1F"/>
    <w:rsid w:val="000053EE"/>
    <w:rsid w:val="00024D3C"/>
    <w:rsid w:val="00032400"/>
    <w:rsid w:val="000336C1"/>
    <w:rsid w:val="00035F7F"/>
    <w:rsid w:val="000409EC"/>
    <w:rsid w:val="0004669C"/>
    <w:rsid w:val="00060A58"/>
    <w:rsid w:val="0009034E"/>
    <w:rsid w:val="000A54FA"/>
    <w:rsid w:val="000B0864"/>
    <w:rsid w:val="0010628B"/>
    <w:rsid w:val="001156B7"/>
    <w:rsid w:val="00115F3A"/>
    <w:rsid w:val="001166AE"/>
    <w:rsid w:val="0012091C"/>
    <w:rsid w:val="001243BB"/>
    <w:rsid w:val="00132437"/>
    <w:rsid w:val="00135125"/>
    <w:rsid w:val="00164159"/>
    <w:rsid w:val="00170842"/>
    <w:rsid w:val="001813B1"/>
    <w:rsid w:val="001848DD"/>
    <w:rsid w:val="001942A1"/>
    <w:rsid w:val="001C2CB7"/>
    <w:rsid w:val="001C5140"/>
    <w:rsid w:val="001E754C"/>
    <w:rsid w:val="00205D5F"/>
    <w:rsid w:val="00211F14"/>
    <w:rsid w:val="002168EB"/>
    <w:rsid w:val="002323B0"/>
    <w:rsid w:val="002817DB"/>
    <w:rsid w:val="002867C7"/>
    <w:rsid w:val="002A7E36"/>
    <w:rsid w:val="002E12E6"/>
    <w:rsid w:val="00305758"/>
    <w:rsid w:val="003264B9"/>
    <w:rsid w:val="00341D56"/>
    <w:rsid w:val="003603B1"/>
    <w:rsid w:val="00384B4D"/>
    <w:rsid w:val="003975CE"/>
    <w:rsid w:val="003A35CF"/>
    <w:rsid w:val="003A762C"/>
    <w:rsid w:val="003D3B01"/>
    <w:rsid w:val="003E6095"/>
    <w:rsid w:val="00451983"/>
    <w:rsid w:val="00451AE9"/>
    <w:rsid w:val="00463878"/>
    <w:rsid w:val="00467F52"/>
    <w:rsid w:val="00493119"/>
    <w:rsid w:val="004968FC"/>
    <w:rsid w:val="004B1703"/>
    <w:rsid w:val="004C2E03"/>
    <w:rsid w:val="004D19A6"/>
    <w:rsid w:val="004E0ADF"/>
    <w:rsid w:val="004F19EF"/>
    <w:rsid w:val="004F285B"/>
    <w:rsid w:val="00503B36"/>
    <w:rsid w:val="00503CD9"/>
    <w:rsid w:val="00504780"/>
    <w:rsid w:val="00511F9C"/>
    <w:rsid w:val="0053313F"/>
    <w:rsid w:val="005518C4"/>
    <w:rsid w:val="00561916"/>
    <w:rsid w:val="00575CFF"/>
    <w:rsid w:val="0058519D"/>
    <w:rsid w:val="005912AE"/>
    <w:rsid w:val="00594E9B"/>
    <w:rsid w:val="005A4424"/>
    <w:rsid w:val="005C1718"/>
    <w:rsid w:val="005E1AEB"/>
    <w:rsid w:val="005F38B6"/>
    <w:rsid w:val="005F741A"/>
    <w:rsid w:val="006213AE"/>
    <w:rsid w:val="00645644"/>
    <w:rsid w:val="00670608"/>
    <w:rsid w:val="00670F82"/>
    <w:rsid w:val="0067732D"/>
    <w:rsid w:val="006D079B"/>
    <w:rsid w:val="006D50E0"/>
    <w:rsid w:val="006E5408"/>
    <w:rsid w:val="007458B2"/>
    <w:rsid w:val="007508D2"/>
    <w:rsid w:val="00762DCC"/>
    <w:rsid w:val="00764795"/>
    <w:rsid w:val="00770428"/>
    <w:rsid w:val="00776F64"/>
    <w:rsid w:val="007866C5"/>
    <w:rsid w:val="00794407"/>
    <w:rsid w:val="00794C2F"/>
    <w:rsid w:val="007951EA"/>
    <w:rsid w:val="00796C66"/>
    <w:rsid w:val="007A1A3C"/>
    <w:rsid w:val="007A3F5C"/>
    <w:rsid w:val="007B03C6"/>
    <w:rsid w:val="007B1720"/>
    <w:rsid w:val="007C5C86"/>
    <w:rsid w:val="007E4516"/>
    <w:rsid w:val="00833880"/>
    <w:rsid w:val="0083520D"/>
    <w:rsid w:val="00872337"/>
    <w:rsid w:val="00874415"/>
    <w:rsid w:val="00875763"/>
    <w:rsid w:val="00891B3C"/>
    <w:rsid w:val="00893F13"/>
    <w:rsid w:val="008A0FAE"/>
    <w:rsid w:val="008A401C"/>
    <w:rsid w:val="008E1E6D"/>
    <w:rsid w:val="008E6CAD"/>
    <w:rsid w:val="008F6C2A"/>
    <w:rsid w:val="00922061"/>
    <w:rsid w:val="0093412A"/>
    <w:rsid w:val="00945BA1"/>
    <w:rsid w:val="00951A88"/>
    <w:rsid w:val="009574D0"/>
    <w:rsid w:val="009959B9"/>
    <w:rsid w:val="009B4614"/>
    <w:rsid w:val="009C59E5"/>
    <w:rsid w:val="009D548D"/>
    <w:rsid w:val="009E1C66"/>
    <w:rsid w:val="009E70D9"/>
    <w:rsid w:val="00A35D1F"/>
    <w:rsid w:val="00A54105"/>
    <w:rsid w:val="00A9037C"/>
    <w:rsid w:val="00AA6EDF"/>
    <w:rsid w:val="00AC4DFE"/>
    <w:rsid w:val="00AE325A"/>
    <w:rsid w:val="00B132EB"/>
    <w:rsid w:val="00B43AF1"/>
    <w:rsid w:val="00B93036"/>
    <w:rsid w:val="00BA65BB"/>
    <w:rsid w:val="00BA6BD2"/>
    <w:rsid w:val="00BB70B1"/>
    <w:rsid w:val="00BD156E"/>
    <w:rsid w:val="00BE090B"/>
    <w:rsid w:val="00C16EA1"/>
    <w:rsid w:val="00C22A57"/>
    <w:rsid w:val="00C304FF"/>
    <w:rsid w:val="00C32A99"/>
    <w:rsid w:val="00C67E77"/>
    <w:rsid w:val="00C932D1"/>
    <w:rsid w:val="00CA1C2A"/>
    <w:rsid w:val="00CA366F"/>
    <w:rsid w:val="00CC1DF9"/>
    <w:rsid w:val="00CD3633"/>
    <w:rsid w:val="00CD695F"/>
    <w:rsid w:val="00CE3404"/>
    <w:rsid w:val="00D03D5A"/>
    <w:rsid w:val="00D07A5A"/>
    <w:rsid w:val="00D26C8E"/>
    <w:rsid w:val="00D27003"/>
    <w:rsid w:val="00D34A92"/>
    <w:rsid w:val="00D36AB0"/>
    <w:rsid w:val="00D5299A"/>
    <w:rsid w:val="00D74773"/>
    <w:rsid w:val="00D8136A"/>
    <w:rsid w:val="00D97681"/>
    <w:rsid w:val="00DB27C7"/>
    <w:rsid w:val="00DB7660"/>
    <w:rsid w:val="00DC6469"/>
    <w:rsid w:val="00DD6F70"/>
    <w:rsid w:val="00DE3C75"/>
    <w:rsid w:val="00E032E8"/>
    <w:rsid w:val="00E176FD"/>
    <w:rsid w:val="00E251EE"/>
    <w:rsid w:val="00E5062D"/>
    <w:rsid w:val="00E6525A"/>
    <w:rsid w:val="00EB2DB2"/>
    <w:rsid w:val="00EB782F"/>
    <w:rsid w:val="00EC2425"/>
    <w:rsid w:val="00EE1EED"/>
    <w:rsid w:val="00EE252C"/>
    <w:rsid w:val="00EE645F"/>
    <w:rsid w:val="00EF6A79"/>
    <w:rsid w:val="00F07707"/>
    <w:rsid w:val="00F11770"/>
    <w:rsid w:val="00F12CA4"/>
    <w:rsid w:val="00F15CFF"/>
    <w:rsid w:val="00F3424A"/>
    <w:rsid w:val="00F439FE"/>
    <w:rsid w:val="00F51337"/>
    <w:rsid w:val="00F54307"/>
    <w:rsid w:val="00F61B9A"/>
    <w:rsid w:val="00F94CE8"/>
    <w:rsid w:val="00FA39A9"/>
    <w:rsid w:val="00FA4243"/>
    <w:rsid w:val="00FB77DF"/>
    <w:rsid w:val="00FD21C7"/>
    <w:rsid w:val="00FE0D95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3CDB1A"/>
  <w15:chartTrackingRefBased/>
  <w15:docId w15:val="{938783AB-8C41-4B89-A1C1-74F7767F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6479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B1703"/>
    <w:rPr>
      <w:i/>
      <w:iCs/>
    </w:rPr>
  </w:style>
  <w:style w:type="table" w:styleId="Lentelstinklelis">
    <w:name w:val="Table Grid"/>
    <w:basedOn w:val="prastojilentel"/>
    <w:rsid w:val="002A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069EC14E83477D8237209A529690B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22ECAF-A3B6-4863-A902-8F5308F1B6E7}"/>
      </w:docPartPr>
      <w:docPartBody>
        <w:p w:rsidR="003977FF" w:rsidRDefault="003977FF">
          <w:pPr>
            <w:pStyle w:val="E3069EC14E83477D8237209A529690B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FF"/>
    <w:rsid w:val="001057F9"/>
    <w:rsid w:val="001B3A45"/>
    <w:rsid w:val="003977FF"/>
    <w:rsid w:val="00402182"/>
    <w:rsid w:val="005079FC"/>
    <w:rsid w:val="00643896"/>
    <w:rsid w:val="007472F7"/>
    <w:rsid w:val="00774A29"/>
    <w:rsid w:val="00981D38"/>
    <w:rsid w:val="009D5393"/>
    <w:rsid w:val="00D679F4"/>
    <w:rsid w:val="00E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3069EC14E83477D8237209A529690BB">
    <w:name w:val="E3069EC14E83477D8237209A52969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Dovilė Sabalinkė</cp:lastModifiedBy>
  <cp:revision>2</cp:revision>
  <cp:lastPrinted>2001-06-05T13:05:00Z</cp:lastPrinted>
  <dcterms:created xsi:type="dcterms:W3CDTF">2020-08-19T12:58:00Z</dcterms:created>
  <dcterms:modified xsi:type="dcterms:W3CDTF">2020-08-19T12:58:00Z</dcterms:modified>
</cp:coreProperties>
</file>