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93D6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93D60" w:rsidRPr="00593D60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2020-</w:t>
            </w:r>
            <w:r w:rsidR="00593D60">
              <w:rPr>
                <w:noProof/>
                <w:lang w:val="lt-LT"/>
              </w:rPr>
              <w:t>07-</w:t>
            </w:r>
            <w:r w:rsidR="00F57349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93D6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93D60">
              <w:rPr>
                <w:noProof/>
              </w:rPr>
              <w:t>B88-</w:t>
            </w:r>
            <w:r w:rsidR="00F57349">
              <w:rPr>
                <w:noProof/>
              </w:rPr>
              <w:t>19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593D6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93D60" w:rsidRPr="00593D60">
              <w:rPr>
                <w:b/>
                <w:caps/>
                <w:lang w:val="lt-LT"/>
              </w:rPr>
              <w:t xml:space="preserve">TEIKIMAS DĖL TUJŲ SKERSGATVIO SUTEIKIMO MOLĖTŲ RAJONO GIEDRAIČIŲ SENIŪNIJOS GIEDRAIČIŲ MIESTELIO TERITORIJOJE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93D60" w:rsidRDefault="00593D60" w:rsidP="00593D6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Vadovaudamasi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CC1853">
        <w:rPr>
          <w:lang w:val="lt-LT"/>
        </w:rPr>
        <w:t xml:space="preserve"> ir atsižvelgdamas į Molėtų rajono savivaldybės administracijos Giedraičių seniūnijos 2020 m. liepos 10 d. raštą Nr. SG3-83, </w:t>
      </w:r>
      <w:r>
        <w:rPr>
          <w:lang w:val="lt-LT"/>
        </w:rPr>
        <w:t>teikiu Molėtų rajono savivaldybės tarybai sprendimo projektą „Dėl</w:t>
      </w:r>
      <w:r>
        <w:t xml:space="preserve"> Tujų skersgatvio suteikimo Molėtų rajono Giedraičių seniūnijos Giedraičių miestelio teritorijoje</w:t>
      </w:r>
      <w:r>
        <w:rPr>
          <w:lang w:val="lt-LT"/>
        </w:rPr>
        <w:t>“.</w:t>
      </w: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Vadovaujantis Giedraičių miestelio teritorijos bendrojo plano</w:t>
      </w:r>
      <w:r w:rsidR="00271098">
        <w:rPr>
          <w:lang w:val="lt-LT"/>
        </w:rPr>
        <w:t xml:space="preserve"> sprendiniais ir </w:t>
      </w:r>
      <w:r>
        <w:rPr>
          <w:lang w:val="lt-LT"/>
        </w:rPr>
        <w:t>patvirtintu Molėtų rajono savivaldybės tarybos 2014 m. vasario 27 d. sprendimu Nr. B1-20,</w:t>
      </w:r>
      <w:r w:rsidR="00271098">
        <w:rPr>
          <w:lang w:val="lt-LT"/>
        </w:rPr>
        <w:t xml:space="preserve"> taip pat atsižvelgiant į susisiekimo sistemos gerinimo ir modernizavimo sąlygas, </w:t>
      </w:r>
      <w:r>
        <w:rPr>
          <w:lang w:val="lt-LT"/>
        </w:rPr>
        <w:t>reikalinga suteikti Tujų skersgatvio pavadinimą Molėtų rajono Gie</w:t>
      </w:r>
      <w:r w:rsidR="00271098">
        <w:rPr>
          <w:lang w:val="lt-LT"/>
        </w:rPr>
        <w:t xml:space="preserve">draičių miestelio teritorijoje.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93D60" w:rsidRDefault="00593D60" w:rsidP="00593D6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„Dėl </w:t>
      </w:r>
      <w:r>
        <w:t>Tujų skersgatvio suteikimo Molėtų rajono Giedraičių seniūnijos Giedraičių miestelio teritorijoje</w:t>
      </w:r>
      <w:r>
        <w:rPr>
          <w:lang w:val="lt-LT"/>
        </w:rPr>
        <w:t>“ skersgatvio išdėstymas atitiks realią situaciją.</w:t>
      </w:r>
    </w:p>
    <w:p w:rsidR="00593D60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593D60" w:rsidRDefault="00593D60" w:rsidP="00593D60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93D60" w:rsidRDefault="00593D60" w:rsidP="00593D6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93D60" w:rsidRDefault="00593D60" w:rsidP="00593D6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93D60" w:rsidRDefault="00593D60" w:rsidP="00593D6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593D60" w:rsidRDefault="00593D60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1E790A" w:rsidP="006A7C45">
            <w:pPr>
              <w:rPr>
                <w:lang w:val="lt-LT"/>
              </w:rPr>
            </w:pPr>
            <w:r w:rsidRPr="009E5E72">
              <w:rPr>
                <w:lang w:val="lt-LT"/>
              </w:rPr>
              <w:t>Administracijos direktoriaus pavaduotojas, pavaduojantis direktorių</w:t>
            </w:r>
          </w:p>
        </w:tc>
        <w:tc>
          <w:tcPr>
            <w:tcW w:w="4866" w:type="dxa"/>
          </w:tcPr>
          <w:p w:rsidR="006A7C45" w:rsidRPr="00E31D42" w:rsidRDefault="001E790A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Steponas Šanteriovas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</w:pPr>
    </w:p>
    <w:p w:rsidR="00593D60" w:rsidRDefault="00593D60" w:rsidP="004603E7">
      <w:pPr>
        <w:rPr>
          <w:lang w:val="lt-LT"/>
        </w:rPr>
        <w:sectPr w:rsidR="00593D6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4122C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57349">
        <w:rPr>
          <w:lang w:val="lt-LT"/>
        </w:rPr>
      </w:r>
      <w:r w:rsidR="00F5734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593D60">
        <w:rPr>
          <w:lang w:val="lt-LT"/>
        </w:rPr>
        <w:t> </w:t>
      </w:r>
      <w:r w:rsidR="00593D60">
        <w:rPr>
          <w:lang w:val="lt-LT"/>
        </w:rPr>
        <w:t> </w:t>
      </w:r>
      <w:r w:rsidR="00593D60">
        <w:rPr>
          <w:lang w:val="lt-LT"/>
        </w:rPr>
        <w:t> </w:t>
      </w:r>
      <w:r w:rsidR="00593D60">
        <w:rPr>
          <w:lang w:val="lt-LT"/>
        </w:rPr>
        <w:t> </w:t>
      </w:r>
      <w:r w:rsidR="00593D60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593D60" w:rsidRDefault="00593D60" w:rsidP="00593D60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93D60" w:rsidRDefault="00593D60" w:rsidP="00593D60">
      <w:pPr>
        <w:rPr>
          <w:rStyle w:val="Hipersaitas"/>
          <w:lang w:val="lt-LT"/>
        </w:rPr>
      </w:pPr>
    </w:p>
    <w:p w:rsidR="00593D60" w:rsidRDefault="00593D60" w:rsidP="00593D60">
      <w:pPr>
        <w:rPr>
          <w:rStyle w:val="Hipersaitas"/>
          <w:lang w:val="lt-LT"/>
        </w:rPr>
      </w:pPr>
    </w:p>
    <w:p w:rsidR="00593D60" w:rsidRDefault="00593D60" w:rsidP="00593D60">
      <w:pPr>
        <w:rPr>
          <w:lang w:val="lt-LT"/>
        </w:rPr>
      </w:pPr>
    </w:p>
    <w:p w:rsidR="00593D60" w:rsidRPr="00BB64FC" w:rsidRDefault="00593D60" w:rsidP="00593D60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93D60" w:rsidRPr="00BB64FC" w:rsidRDefault="00593D60" w:rsidP="00593D6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93D60" w:rsidRDefault="00593D60" w:rsidP="00593D60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Tujų skersgatvio suteikimo Molėtų rajono</w:t>
      </w:r>
    </w:p>
    <w:p w:rsidR="00593D60" w:rsidRDefault="00593D60" w:rsidP="00593D60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Giedraičių seniūnijos Giedraičių miestelio teritorijoje</w:t>
      </w:r>
    </w:p>
    <w:p w:rsidR="00593D60" w:rsidRPr="00BB64FC" w:rsidRDefault="00593D60" w:rsidP="00593D60">
      <w:pPr>
        <w:spacing w:line="360" w:lineRule="auto"/>
        <w:jc w:val="center"/>
        <w:rPr>
          <w:lang w:val="lt-LT"/>
        </w:rPr>
      </w:pPr>
    </w:p>
    <w:p w:rsidR="00593D60" w:rsidRPr="00BB64FC" w:rsidRDefault="00593D60" w:rsidP="00593D60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93D60" w:rsidRPr="00BB64FC" w:rsidRDefault="00593D60" w:rsidP="00593D60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93D60" w:rsidRPr="00B66C8C" w:rsidRDefault="00593D60" w:rsidP="00593D6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Vadovaujantis </w:t>
      </w:r>
      <w:r w:rsidR="005F1DF4">
        <w:rPr>
          <w:lang w:val="lt-LT"/>
        </w:rPr>
        <w:t xml:space="preserve">Giedraičių miestelio teritorijos bendrojo plano sprendiniais ir patvirtintu Molėtų rajono savivaldybės tarybos 2014 m. vasario 27 d. sprendimu Nr. B1-20, taip pat atsižvelgiant į susisiekimo sistemos gerinimo ir modernizavimo sąlygas, reikalinga suteikti Tujų skersgatvio pavadinimą Molėtų rajono Giedraičių miestelio teritorijoje.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 </w:t>
      </w:r>
      <w:r w:rsidRPr="00B7764D">
        <w:t>„Dėl Tujų skersgatvio suteikimo Molėtų rajono Giedraičių seniūnijos Giedraičių miestelio teritorijoje“ skersgatvio išdėstymas</w:t>
      </w:r>
      <w:r w:rsidRPr="00B7764D">
        <w:rPr>
          <w:lang w:val="lt-LT"/>
        </w:rPr>
        <w:t xml:space="preserve"> </w:t>
      </w:r>
      <w:r>
        <w:rPr>
          <w:lang w:val="lt-LT"/>
        </w:rPr>
        <w:t>atitiks realią situaciją.</w:t>
      </w:r>
    </w:p>
    <w:p w:rsidR="00593D60" w:rsidRPr="00BB64FC" w:rsidRDefault="00593D60" w:rsidP="00593D6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593D60" w:rsidRPr="00BB64FC" w:rsidRDefault="00593D60" w:rsidP="00593D60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93D60" w:rsidRPr="00BB64FC" w:rsidRDefault="00593D60" w:rsidP="00593D6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93D60" w:rsidRPr="00BB64FC" w:rsidRDefault="00593D60" w:rsidP="00593D60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>
        <w:rPr>
          <w:lang w:val="lt-LT"/>
        </w:rPr>
        <w:t>Teigiama pasekmė – skersgatvio išdėstymas atitiks realią situaciją</w:t>
      </w:r>
      <w:r w:rsidRPr="00BB64FC">
        <w:rPr>
          <w:lang w:val="lt-LT"/>
        </w:rPr>
        <w:t>.</w:t>
      </w:r>
    </w:p>
    <w:p w:rsidR="00593D60" w:rsidRPr="00BB64FC" w:rsidRDefault="00593D60" w:rsidP="00593D60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93D60" w:rsidRPr="00B7764D" w:rsidRDefault="00593D60" w:rsidP="00593D60">
      <w:r>
        <w:rPr>
          <w:lang w:val="lt-LT"/>
        </w:rPr>
        <w:t xml:space="preserve">       Suteikti </w:t>
      </w:r>
      <w:r>
        <w:t>Tujų skersgatvio pavadinimą Molėtų rajono Giedraičių seniūnijos Giedraičių miestelio teritorijoje.</w:t>
      </w:r>
    </w:p>
    <w:p w:rsidR="00593D60" w:rsidRPr="00BB64FC" w:rsidRDefault="00593D60" w:rsidP="00593D6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93D60" w:rsidRPr="00BB64FC" w:rsidRDefault="00593D60" w:rsidP="00593D60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93D60" w:rsidRPr="00BB64FC" w:rsidRDefault="00593D60" w:rsidP="00593D6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93D60" w:rsidRPr="00684BF0" w:rsidRDefault="00593D60" w:rsidP="00593D60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93D60" w:rsidRPr="00BA2577" w:rsidRDefault="00593D60" w:rsidP="00593D60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593D60" w:rsidRPr="00BA2577" w:rsidRDefault="00593D60" w:rsidP="00593D60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93D60" w:rsidRPr="00BA2577" w:rsidRDefault="00593D60" w:rsidP="00593D60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93D60" w:rsidRDefault="00593D60" w:rsidP="00593D60">
      <w:pPr>
        <w:tabs>
          <w:tab w:val="left" w:pos="900"/>
          <w:tab w:val="left" w:pos="1674"/>
        </w:tabs>
      </w:pPr>
    </w:p>
    <w:p w:rsidR="00593D60" w:rsidRDefault="00593D60" w:rsidP="00593D60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60" w:rsidRDefault="00593D60">
      <w:r>
        <w:separator/>
      </w:r>
    </w:p>
  </w:endnote>
  <w:endnote w:type="continuationSeparator" w:id="0">
    <w:p w:rsidR="00593D60" w:rsidRDefault="005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93D6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60" w:rsidRDefault="00593D60">
      <w:r>
        <w:separator/>
      </w:r>
    </w:p>
  </w:footnote>
  <w:footnote w:type="continuationSeparator" w:id="0">
    <w:p w:rsidR="00593D60" w:rsidRDefault="0059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73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E790A"/>
    <w:rsid w:val="00221AA6"/>
    <w:rsid w:val="002351EF"/>
    <w:rsid w:val="0024149B"/>
    <w:rsid w:val="00242FE7"/>
    <w:rsid w:val="00247252"/>
    <w:rsid w:val="002618F5"/>
    <w:rsid w:val="00271098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55DB"/>
    <w:rsid w:val="003A1A54"/>
    <w:rsid w:val="003B0062"/>
    <w:rsid w:val="003B7CFA"/>
    <w:rsid w:val="0041068E"/>
    <w:rsid w:val="004106C4"/>
    <w:rsid w:val="004122C9"/>
    <w:rsid w:val="00426418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3D60"/>
    <w:rsid w:val="00594AAD"/>
    <w:rsid w:val="00594CF3"/>
    <w:rsid w:val="005B768A"/>
    <w:rsid w:val="005E4D48"/>
    <w:rsid w:val="005F1DF4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2416E"/>
    <w:rsid w:val="00C46F67"/>
    <w:rsid w:val="00C847A7"/>
    <w:rsid w:val="00C92C59"/>
    <w:rsid w:val="00CA286F"/>
    <w:rsid w:val="00CB791E"/>
    <w:rsid w:val="00CC1853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4AEA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349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335661E"/>
  <w15:chartTrackingRefBased/>
  <w15:docId w15:val="{5B50AFBE-A356-49CF-98E1-965AF88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10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4350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6</cp:revision>
  <cp:lastPrinted>2001-06-05T13:05:00Z</cp:lastPrinted>
  <dcterms:created xsi:type="dcterms:W3CDTF">2020-07-10T13:00:00Z</dcterms:created>
  <dcterms:modified xsi:type="dcterms:W3CDTF">2020-07-15T06:04:00Z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