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51D" w:rsidRDefault="008A651D" w:rsidP="008A651D">
      <w:pPr>
        <w:ind w:left="1296" w:firstLine="1296"/>
      </w:pPr>
      <w:r>
        <w:t>AIŠKINAMASIS RAŠTAS</w:t>
      </w:r>
    </w:p>
    <w:p w:rsidR="008A651D" w:rsidRDefault="008A651D" w:rsidP="008A651D"/>
    <w:p w:rsidR="008A651D" w:rsidRDefault="008A651D" w:rsidP="008A651D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>
        <w:tab/>
      </w:r>
      <w:r>
        <w:tab/>
        <w:t>Dėl pavedimo savivaldybės kontrolieriui parengti išvadą</w:t>
      </w:r>
    </w:p>
    <w:p w:rsidR="008A651D" w:rsidRDefault="008A651D" w:rsidP="008A651D"/>
    <w:p w:rsidR="008A651D" w:rsidRDefault="008A651D" w:rsidP="008A651D">
      <w:pPr>
        <w:tabs>
          <w:tab w:val="left" w:pos="720"/>
          <w:tab w:val="num" w:pos="3960"/>
        </w:tabs>
        <w:spacing w:line="360" w:lineRule="auto"/>
        <w:rPr>
          <w:b/>
          <w:lang w:val="pt-BR"/>
        </w:rPr>
      </w:pPr>
      <w:r>
        <w:rPr>
          <w:b/>
        </w:rPr>
        <w:t>1. P</w:t>
      </w:r>
      <w:r>
        <w:rPr>
          <w:b/>
          <w:lang w:val="pt-BR"/>
        </w:rPr>
        <w:t xml:space="preserve">arengto tarybos sprendimo projekto tikslai ir uždaviniai </w:t>
      </w:r>
    </w:p>
    <w:p w:rsidR="00294856" w:rsidRDefault="008A651D" w:rsidP="008A651D">
      <w:pPr>
        <w:tabs>
          <w:tab w:val="left" w:pos="720"/>
          <w:tab w:val="num" w:pos="3960"/>
        </w:tabs>
        <w:spacing w:line="360" w:lineRule="auto"/>
        <w:jc w:val="both"/>
        <w:rPr>
          <w:lang w:val="pt-BR"/>
        </w:rPr>
      </w:pPr>
      <w:r>
        <w:rPr>
          <w:b/>
          <w:lang w:val="pt-BR"/>
        </w:rPr>
        <w:tab/>
      </w:r>
      <w:r w:rsidR="001C7CE7">
        <w:rPr>
          <w:b/>
          <w:lang w:val="pt-BR"/>
        </w:rPr>
        <w:t xml:space="preserve">  </w:t>
      </w:r>
      <w:r w:rsidR="001C7CE7" w:rsidRPr="001C7CE7">
        <w:rPr>
          <w:lang w:val="pt-BR"/>
        </w:rPr>
        <w:t>Lietuvos Respublikos vietos savivaldos įstatyme numatyta, kad savivaldybės taryba</w:t>
      </w:r>
      <w:r w:rsidR="005A25BB" w:rsidRPr="001C7CE7">
        <w:rPr>
          <w:lang w:val="pt-BR"/>
        </w:rPr>
        <w:t>,</w:t>
      </w:r>
      <w:r w:rsidR="005A25BB">
        <w:rPr>
          <w:lang w:val="pt-BR"/>
        </w:rPr>
        <w:t xml:space="preserve"> turėdama</w:t>
      </w:r>
      <w:r w:rsidR="00A90139">
        <w:rPr>
          <w:lang w:val="pt-BR"/>
        </w:rPr>
        <w:t xml:space="preserve"> savivaldybės kontrolieriaus  (</w:t>
      </w:r>
      <w:r w:rsidR="00AD4E68">
        <w:rPr>
          <w:lang w:val="pt-BR"/>
        </w:rPr>
        <w:t>K</w:t>
      </w:r>
      <w:r w:rsidR="005A25BB" w:rsidRPr="00A90139">
        <w:rPr>
          <w:lang w:val="pt-BR"/>
        </w:rPr>
        <w:t xml:space="preserve">ontrolės </w:t>
      </w:r>
      <w:r w:rsidR="00AD4E68">
        <w:rPr>
          <w:lang w:val="pt-BR"/>
        </w:rPr>
        <w:t xml:space="preserve">ir audito </w:t>
      </w:r>
      <w:r w:rsidR="005A25BB" w:rsidRPr="00A90139">
        <w:rPr>
          <w:lang w:val="pt-BR"/>
        </w:rPr>
        <w:t>tarnybos)</w:t>
      </w:r>
      <w:r w:rsidR="005A25BB">
        <w:rPr>
          <w:lang w:val="pt-BR"/>
        </w:rPr>
        <w:t xml:space="preserve"> išvadą, </w:t>
      </w:r>
      <w:r w:rsidR="001C7CE7">
        <w:rPr>
          <w:lang w:val="pt-BR"/>
        </w:rPr>
        <w:t>gali primt</w:t>
      </w:r>
      <w:r w:rsidR="00636907">
        <w:rPr>
          <w:lang w:val="pt-BR"/>
        </w:rPr>
        <w:t>i sprendimus dėl paskolų ėmimo</w:t>
      </w:r>
      <w:r w:rsidR="005A25BB">
        <w:rPr>
          <w:lang w:val="pt-BR"/>
        </w:rPr>
        <w:t xml:space="preserve">, </w:t>
      </w:r>
      <w:r w:rsidR="001C7CE7">
        <w:rPr>
          <w:lang w:val="pt-BR"/>
        </w:rPr>
        <w:t>laikantis įstatymu nustatytų skolinimosi limitų</w:t>
      </w:r>
      <w:r w:rsidR="005A25BB">
        <w:rPr>
          <w:lang w:val="pt-BR"/>
        </w:rPr>
        <w:t>.</w:t>
      </w:r>
    </w:p>
    <w:p w:rsidR="001D2786" w:rsidRDefault="00636907" w:rsidP="00513CE4">
      <w:pPr>
        <w:tabs>
          <w:tab w:val="left" w:pos="680"/>
          <w:tab w:val="left" w:pos="1206"/>
        </w:tabs>
        <w:spacing w:line="360" w:lineRule="auto"/>
        <w:jc w:val="both"/>
      </w:pPr>
      <w:r>
        <w:tab/>
        <w:t>20</w:t>
      </w:r>
      <w:r w:rsidR="008457A2">
        <w:t>20</w:t>
      </w:r>
      <w:r w:rsidR="008A651D">
        <w:t xml:space="preserve"> m. valstybės biudžeto ir savivaldybių biudžetų finansinių rodiklių patvirtinimo įstatyme</w:t>
      </w:r>
      <w:r w:rsidR="00AD4E68">
        <w:t xml:space="preserve"> (toliau – įstatymas)</w:t>
      </w:r>
      <w:r w:rsidR="008A651D">
        <w:t xml:space="preserve"> yra </w:t>
      </w:r>
      <w:r w:rsidR="00513CE4">
        <w:t xml:space="preserve">nustatyta, kad </w:t>
      </w:r>
      <w:r w:rsidR="001D2786">
        <w:t xml:space="preserve"> </w:t>
      </w:r>
      <w:r w:rsidR="00513CE4">
        <w:t>savivaldybės skola negali</w:t>
      </w:r>
      <w:r w:rsidR="001D2786">
        <w:t xml:space="preserve"> </w:t>
      </w:r>
      <w:r w:rsidR="00513CE4">
        <w:t xml:space="preserve">viršyti 60 procentų šio įstatymo 6 priede nurodytų prognozuojamų savivaldybės biudžeto pajamų. </w:t>
      </w:r>
    </w:p>
    <w:p w:rsidR="00007CE4" w:rsidRPr="00513CE4" w:rsidRDefault="00EB603E" w:rsidP="00513CE4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513CE4">
        <w:t>20</w:t>
      </w:r>
      <w:r w:rsidR="008457A2">
        <w:t>20</w:t>
      </w:r>
      <w:r w:rsidR="00513CE4">
        <w:t xml:space="preserve"> m. savivaldybės duomenys (tūkst. Eur) pateikiami lentelėje:</w:t>
      </w:r>
      <w:r w:rsidR="004D34C6"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6"/>
        <w:gridCol w:w="4851"/>
        <w:gridCol w:w="2705"/>
        <w:gridCol w:w="1496"/>
      </w:tblGrid>
      <w:tr w:rsidR="009A5258" w:rsidRPr="009A5258" w:rsidTr="009A5258">
        <w:trPr>
          <w:trHeight w:val="57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8" w:rsidRPr="009A5258" w:rsidRDefault="009A5258" w:rsidP="009A5258">
            <w:pPr>
              <w:jc w:val="both"/>
            </w:pPr>
            <w:r w:rsidRPr="009A5258">
              <w:t>Eil. Nr.</w:t>
            </w:r>
          </w:p>
        </w:tc>
        <w:tc>
          <w:tcPr>
            <w:tcW w:w="2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8" w:rsidRPr="009A5258" w:rsidRDefault="009A5258" w:rsidP="009A5258">
            <w:pPr>
              <w:jc w:val="center"/>
            </w:pPr>
            <w:r w:rsidRPr="009A5258">
              <w:t>Rodikliai</w:t>
            </w:r>
          </w:p>
        </w:tc>
        <w:tc>
          <w:tcPr>
            <w:tcW w:w="2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8" w:rsidRPr="009A5258" w:rsidRDefault="009A5258" w:rsidP="009A5258">
            <w:pPr>
              <w:jc w:val="center"/>
            </w:pPr>
            <w:r w:rsidRPr="009A5258">
              <w:t>2020 m.</w:t>
            </w:r>
          </w:p>
        </w:tc>
      </w:tr>
      <w:tr w:rsidR="009A5258" w:rsidRPr="009A5258" w:rsidTr="009A5258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8" w:rsidRPr="009A5258" w:rsidRDefault="009A5258" w:rsidP="009A5258">
            <w:pPr>
              <w:jc w:val="both"/>
            </w:pPr>
            <w:r w:rsidRPr="009A5258">
              <w:t>1.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8" w:rsidRPr="009A5258" w:rsidRDefault="009A5258" w:rsidP="009A5258">
            <w:pPr>
              <w:jc w:val="both"/>
            </w:pPr>
            <w:r w:rsidRPr="009A5258">
              <w:t xml:space="preserve">2020 m. savivaldybės biudžeto prognozuojamos pajamos </w:t>
            </w:r>
          </w:p>
        </w:tc>
        <w:tc>
          <w:tcPr>
            <w:tcW w:w="2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8" w:rsidRPr="009A5258" w:rsidRDefault="009A5258" w:rsidP="009A5258">
            <w:pPr>
              <w:jc w:val="center"/>
            </w:pPr>
            <w:r w:rsidRPr="009A5258">
              <w:t>11359</w:t>
            </w:r>
          </w:p>
        </w:tc>
      </w:tr>
      <w:tr w:rsidR="009A5258" w:rsidRPr="009A5258" w:rsidTr="009A5258">
        <w:trPr>
          <w:trHeight w:val="615"/>
        </w:trPr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8" w:rsidRPr="009A5258" w:rsidRDefault="009A5258" w:rsidP="009A5258">
            <w:pPr>
              <w:jc w:val="both"/>
            </w:pPr>
            <w:r w:rsidRPr="009A5258">
              <w:t>2.</w:t>
            </w:r>
          </w:p>
        </w:tc>
        <w:tc>
          <w:tcPr>
            <w:tcW w:w="2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8" w:rsidRPr="009A5258" w:rsidRDefault="009A5258" w:rsidP="009A5258">
            <w:pPr>
              <w:jc w:val="both"/>
            </w:pPr>
            <w:r w:rsidRPr="009A5258">
              <w:t>2020 metų finansinių rodiklių patvirtinimo įstatymo 12 straipsnyje nustatyti savivaldybių skolinimosi limitai:</w:t>
            </w:r>
          </w:p>
        </w:tc>
        <w:tc>
          <w:tcPr>
            <w:tcW w:w="14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8" w:rsidRPr="009A5258" w:rsidRDefault="009A5258" w:rsidP="009A5258">
            <w:pPr>
              <w:jc w:val="center"/>
            </w:pPr>
            <w:r w:rsidRPr="009A5258">
              <w:t xml:space="preserve">Limitas </w:t>
            </w:r>
            <w:r w:rsidRPr="009A5258">
              <w:br/>
              <w:t xml:space="preserve">2020 m.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8" w:rsidRPr="009A5258" w:rsidRDefault="009A5258" w:rsidP="009A5258">
            <w:pPr>
              <w:jc w:val="center"/>
            </w:pPr>
            <w:r w:rsidRPr="009A5258">
              <w:t>Savivaldybės skola</w:t>
            </w:r>
          </w:p>
        </w:tc>
      </w:tr>
      <w:tr w:rsidR="009A5258" w:rsidRPr="009A5258" w:rsidTr="009A5258">
        <w:trPr>
          <w:trHeight w:val="525"/>
        </w:trPr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58" w:rsidRPr="009A5258" w:rsidRDefault="009A5258" w:rsidP="009A5258"/>
        </w:tc>
        <w:tc>
          <w:tcPr>
            <w:tcW w:w="2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58" w:rsidRPr="009A5258" w:rsidRDefault="009A5258" w:rsidP="009A5258"/>
        </w:tc>
        <w:tc>
          <w:tcPr>
            <w:tcW w:w="14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258" w:rsidRPr="009A5258" w:rsidRDefault="009A5258" w:rsidP="009A5258"/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8" w:rsidRPr="009A5258" w:rsidRDefault="009A5258" w:rsidP="009A5258">
            <w:pPr>
              <w:jc w:val="center"/>
            </w:pPr>
            <w:r w:rsidRPr="009A5258">
              <w:t>2019-12-31</w:t>
            </w:r>
          </w:p>
        </w:tc>
      </w:tr>
      <w:tr w:rsidR="009A5258" w:rsidRPr="009A5258" w:rsidTr="009A5258">
        <w:trPr>
          <w:trHeight w:val="6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8" w:rsidRPr="009A5258" w:rsidRDefault="009A5258" w:rsidP="009A5258">
            <w:pPr>
              <w:jc w:val="both"/>
            </w:pPr>
            <w:r w:rsidRPr="009A5258">
              <w:t>2.1.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8" w:rsidRPr="009A5258" w:rsidRDefault="009A5258" w:rsidP="009A5258">
            <w:pPr>
              <w:jc w:val="both"/>
            </w:pPr>
            <w:r w:rsidRPr="009A5258">
              <w:t xml:space="preserve">savivaldybės skola negali viršyti 60 proc. prognozuojamų savivaldybės biudžeto pajamų 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8" w:rsidRPr="009A5258" w:rsidRDefault="009A5258" w:rsidP="009A5258">
            <w:pPr>
              <w:jc w:val="right"/>
            </w:pPr>
            <w:r w:rsidRPr="009A5258">
              <w:t>6815,4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8" w:rsidRPr="009A5258" w:rsidRDefault="009A5258" w:rsidP="009A5258">
            <w:pPr>
              <w:jc w:val="right"/>
            </w:pPr>
            <w:r w:rsidRPr="009A5258">
              <w:t>2992</w:t>
            </w:r>
          </w:p>
        </w:tc>
      </w:tr>
      <w:tr w:rsidR="009A5258" w:rsidRPr="009A5258" w:rsidTr="009A5258">
        <w:trPr>
          <w:trHeight w:val="31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8" w:rsidRPr="009A5258" w:rsidRDefault="009A5258" w:rsidP="009A5258">
            <w:pPr>
              <w:jc w:val="both"/>
            </w:pPr>
            <w:r w:rsidRPr="009A5258">
              <w:t>2.2.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8" w:rsidRPr="009A5258" w:rsidRDefault="009A5258" w:rsidP="009A5258">
            <w:pPr>
              <w:jc w:val="both"/>
            </w:pPr>
            <w:r w:rsidRPr="009A5258">
              <w:t>Savivaldybės skola procentais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8" w:rsidRPr="009A5258" w:rsidRDefault="009A5258" w:rsidP="009A5258">
            <w:pPr>
              <w:jc w:val="right"/>
            </w:pPr>
            <w:r w:rsidRPr="009A5258"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58" w:rsidRPr="009A5258" w:rsidRDefault="009A5258" w:rsidP="009A5258">
            <w:pPr>
              <w:jc w:val="right"/>
            </w:pPr>
            <w:r w:rsidRPr="009A5258">
              <w:t>26,34</w:t>
            </w:r>
          </w:p>
        </w:tc>
      </w:tr>
    </w:tbl>
    <w:p w:rsidR="00513CE4" w:rsidRDefault="00AF5C32" w:rsidP="00227623">
      <w:pPr>
        <w:spacing w:line="360" w:lineRule="auto"/>
        <w:jc w:val="both"/>
      </w:pPr>
      <w:r w:rsidRPr="00AF5C32">
        <w:t xml:space="preserve">           </w:t>
      </w:r>
      <w:r w:rsidR="00C95F79">
        <w:t xml:space="preserve"> </w:t>
      </w:r>
    </w:p>
    <w:p w:rsidR="005C2765" w:rsidRDefault="00031C35" w:rsidP="005C2765">
      <w:pPr>
        <w:spacing w:line="360" w:lineRule="auto"/>
        <w:jc w:val="both"/>
      </w:pPr>
      <w:r>
        <w:t xml:space="preserve">             </w:t>
      </w:r>
      <w:r w:rsidR="005C2765">
        <w:t>Pagal 201</w:t>
      </w:r>
      <w:r w:rsidR="00427C70">
        <w:t>9</w:t>
      </w:r>
      <w:r w:rsidR="005C2765">
        <w:t xml:space="preserve"> m. </w:t>
      </w:r>
      <w:r>
        <w:t xml:space="preserve">gruodžio 31 d. duomenis savivaldybės skola sudaro </w:t>
      </w:r>
      <w:r w:rsidR="00427C70">
        <w:t>26,34</w:t>
      </w:r>
      <w:r>
        <w:t xml:space="preserve"> procentus nuo 20</w:t>
      </w:r>
      <w:r w:rsidR="00427C70">
        <w:t>20</w:t>
      </w:r>
      <w:r>
        <w:t xml:space="preserve"> m. prognozuojamų pajamų. </w:t>
      </w:r>
    </w:p>
    <w:p w:rsidR="008861CB" w:rsidRDefault="008861CB" w:rsidP="005C2765">
      <w:pPr>
        <w:spacing w:line="360" w:lineRule="auto"/>
        <w:jc w:val="both"/>
      </w:pPr>
      <w:r>
        <w:t xml:space="preserve">             Savivaldybė planuoja skolintis 1 685 900 eurų</w:t>
      </w:r>
      <w:r w:rsidR="00C60203">
        <w:t>. Jei būtų pasiskolinta visa suma, savivaldybės skola procentais būtų- 41,18.</w:t>
      </w:r>
    </w:p>
    <w:p w:rsidR="00C60203" w:rsidRDefault="00C60203" w:rsidP="005C2765">
      <w:pPr>
        <w:spacing w:line="360" w:lineRule="auto"/>
        <w:jc w:val="both"/>
      </w:pPr>
      <w:r>
        <w:t xml:space="preserve">             2020 m. savivaldybė planuoja skolintis dalimis:</w:t>
      </w:r>
    </w:p>
    <w:p w:rsidR="008861CB" w:rsidRDefault="005C2765" w:rsidP="005C2765">
      <w:pPr>
        <w:spacing w:line="360" w:lineRule="auto"/>
        <w:jc w:val="both"/>
      </w:pPr>
      <w:r>
        <w:t xml:space="preserve">             </w:t>
      </w:r>
      <w:r w:rsidR="00C60203">
        <w:t>1. Be papildomų apribojimų savivaldybė gali skolintis 550 tūkst. Eur., nes s</w:t>
      </w:r>
      <w:r w:rsidR="00AF5C32" w:rsidRPr="00AF5C32">
        <w:t>avivaldybės grąžinama paskolų suma 20</w:t>
      </w:r>
      <w:r w:rsidR="00427C70">
        <w:t xml:space="preserve">20 </w:t>
      </w:r>
      <w:r w:rsidR="00AF5C32" w:rsidRPr="00AF5C32">
        <w:t xml:space="preserve">m. yra </w:t>
      </w:r>
      <w:r w:rsidR="00427C70">
        <w:t>564,9</w:t>
      </w:r>
      <w:r w:rsidR="00EB603E">
        <w:t xml:space="preserve"> tūkst. Eur. </w:t>
      </w:r>
      <w:r w:rsidR="00007CE4" w:rsidRPr="00AF5C32">
        <w:t xml:space="preserve">Savivaldybė </w:t>
      </w:r>
      <w:r w:rsidR="00AF5C32" w:rsidRPr="00AF5C32">
        <w:t xml:space="preserve">planuoja </w:t>
      </w:r>
      <w:r w:rsidR="00B503CC">
        <w:t xml:space="preserve">pasiskolinti 14,9 </w:t>
      </w:r>
      <w:r w:rsidR="00007CE4" w:rsidRPr="00AF5C32">
        <w:t xml:space="preserve"> </w:t>
      </w:r>
      <w:r w:rsidR="00B503CC" w:rsidRPr="00AF5C32">
        <w:t xml:space="preserve">tūkst. eurų </w:t>
      </w:r>
      <w:r w:rsidR="00B503CC">
        <w:t>mažiau nei grąžina paskolų 20</w:t>
      </w:r>
      <w:r w:rsidR="00427C70">
        <w:t>20</w:t>
      </w:r>
      <w:r w:rsidR="00B503CC">
        <w:t xml:space="preserve"> m. Tokiu būdu bus išlaikomas toks pats skolinimosi lygis, t.y. skola nedidėja, bet ir įsipareigojimai nemažėja.</w:t>
      </w:r>
      <w:r w:rsidR="00E40662">
        <w:t xml:space="preserve"> Ši paskolos dalis planuojama panaudoti</w:t>
      </w:r>
      <w:r w:rsidR="00F41B8A">
        <w:t xml:space="preserve">: </w:t>
      </w:r>
    </w:p>
    <w:p w:rsidR="00C60203" w:rsidRDefault="00C60203" w:rsidP="005C2765">
      <w:pPr>
        <w:spacing w:line="360" w:lineRule="auto"/>
        <w:jc w:val="both"/>
      </w:pPr>
      <w:r>
        <w:t xml:space="preserve">             1.1. </w:t>
      </w:r>
      <w:r w:rsidR="00A03260">
        <w:t>E</w:t>
      </w:r>
      <w:r w:rsidR="00F41B8A">
        <w:t>uropos Sąjungos finansuojamiems projektams</w:t>
      </w:r>
      <w:r w:rsidR="00A03260">
        <w:t xml:space="preserve"> įgyvendinti. </w:t>
      </w:r>
      <w:r w:rsidR="00A03260" w:rsidRPr="00A03260">
        <w:t xml:space="preserve"> </w:t>
      </w:r>
      <w:r w:rsidR="00A03260">
        <w:t xml:space="preserve">Paskolos planuojamos imti iš Europos investicijų banko </w:t>
      </w:r>
      <w:r w:rsidR="004C0399">
        <w:t>šiems savivaldybės projektams</w:t>
      </w:r>
      <w:r w:rsidR="00F41B8A">
        <w:t>:</w:t>
      </w:r>
      <w:r w:rsidR="00A03260" w:rsidRPr="00A03260">
        <w:t xml:space="preserve"> </w:t>
      </w:r>
    </w:p>
    <w:p w:rsidR="00F41B8A" w:rsidRDefault="00F41B8A" w:rsidP="00F41B8A">
      <w:pPr>
        <w:spacing w:line="360" w:lineRule="auto"/>
        <w:jc w:val="both"/>
      </w:pPr>
      <w:r>
        <w:t xml:space="preserve">             1.1.1. „Molėtų miesto J. Janonio gatvės gyvenamojo kvartalo viešosios infrastruktūros sutvarkymas“ </w:t>
      </w:r>
      <w:r w:rsidR="004C0399">
        <w:t xml:space="preserve">, kodas </w:t>
      </w:r>
      <w:r>
        <w:t xml:space="preserve">07.1.1-CPVA-R-905-91-0012, </w:t>
      </w:r>
      <w:r w:rsidR="004C0399">
        <w:t xml:space="preserve">savivalybės lėšų projekte suma </w:t>
      </w:r>
      <w:r>
        <w:t xml:space="preserve"> – </w:t>
      </w:r>
      <w:r w:rsidR="00133C0C">
        <w:t>141877,9</w:t>
      </w:r>
      <w:r>
        <w:t xml:space="preserve"> Eur;</w:t>
      </w:r>
    </w:p>
    <w:p w:rsidR="00F41B8A" w:rsidRDefault="00F41B8A" w:rsidP="00E80A92">
      <w:pPr>
        <w:spacing w:line="360" w:lineRule="auto"/>
        <w:jc w:val="both"/>
      </w:pPr>
      <w:r>
        <w:lastRenderedPageBreak/>
        <w:t xml:space="preserve">             1.1.2. „Bendruomeninių vaikų globos namų ir vaikų dienos centrų tinklo plėtra Molėtų rajono savivaldybėje“</w:t>
      </w:r>
      <w:r w:rsidR="004C0399">
        <w:t xml:space="preserve">, kodas </w:t>
      </w:r>
      <w:r>
        <w:t xml:space="preserve"> 08.1.1-CPVA-V-427-02-0006, </w:t>
      </w:r>
      <w:r w:rsidR="004C0399">
        <w:t xml:space="preserve">savivalybės lėšų projekte suma  </w:t>
      </w:r>
      <w:r>
        <w:t xml:space="preserve"> - 64.122,51 Eur. </w:t>
      </w:r>
    </w:p>
    <w:p w:rsidR="00F41B8A" w:rsidRDefault="00F41B8A" w:rsidP="00E80A92">
      <w:pPr>
        <w:spacing w:line="360" w:lineRule="auto"/>
        <w:jc w:val="both"/>
      </w:pPr>
      <w:r>
        <w:t xml:space="preserve">             1.1.3. „Molėtų miesto centrinės dalies kompleksinis sutvarkymas (I etapas)“</w:t>
      </w:r>
      <w:r w:rsidR="00133C0C">
        <w:t xml:space="preserve"> (Savivaldybės aikštė), - </w:t>
      </w:r>
      <w:r w:rsidR="004C0399">
        <w:t xml:space="preserve">savivalybės lėšų projekte suma  </w:t>
      </w:r>
      <w:r>
        <w:t>- 314 368,85 eur.</w:t>
      </w:r>
    </w:p>
    <w:p w:rsidR="00133C0C" w:rsidRDefault="00F41B8A" w:rsidP="00E80A92">
      <w:pPr>
        <w:spacing w:after="240" w:line="360" w:lineRule="auto"/>
        <w:jc w:val="both"/>
      </w:pPr>
      <w:r>
        <w:t xml:space="preserve">             1.1.4. "Molėtų miesto centrinės dalies kompleksinis sutvarkymas (II etapas)“</w:t>
      </w:r>
      <w:r w:rsidR="00133C0C">
        <w:t xml:space="preserve"> (</w:t>
      </w:r>
      <w:r>
        <w:t xml:space="preserve"> </w:t>
      </w:r>
      <w:r w:rsidR="00133C0C">
        <w:t>Amatų g.)-s</w:t>
      </w:r>
      <w:r w:rsidR="004C0399">
        <w:t xml:space="preserve">avivalybės lėšų projekte suma  </w:t>
      </w:r>
      <w:r>
        <w:t>-   59 480,32  eur. </w:t>
      </w:r>
    </w:p>
    <w:p w:rsidR="0026090F" w:rsidRDefault="0026090F" w:rsidP="00E80A92">
      <w:pPr>
        <w:spacing w:after="240" w:line="360" w:lineRule="auto"/>
        <w:jc w:val="both"/>
      </w:pPr>
      <w:r>
        <w:t xml:space="preserve">             Sumos gali keistis dėl nepasirašytų sutarčių su rangovais ar kitų aplinkybių, neviršijant   550 tūkst. Eur. sumos. </w:t>
      </w:r>
      <w:bookmarkStart w:id="0" w:name="_GoBack"/>
      <w:bookmarkEnd w:id="0"/>
    </w:p>
    <w:p w:rsidR="00007CE4" w:rsidRDefault="008861CB" w:rsidP="00E80A92">
      <w:pPr>
        <w:spacing w:line="360" w:lineRule="auto"/>
        <w:jc w:val="both"/>
      </w:pPr>
      <w:r>
        <w:t xml:space="preserve">            </w:t>
      </w:r>
      <w:r w:rsidR="00B503CC">
        <w:t xml:space="preserve"> </w:t>
      </w:r>
      <w:r w:rsidR="00037EF8">
        <w:t>1.2. Jei s</w:t>
      </w:r>
      <w:r>
        <w:t>a</w:t>
      </w:r>
      <w:r w:rsidR="00133C0C">
        <w:t xml:space="preserve">vivaldybei nepavyktų paimti paskolos  iš Europos </w:t>
      </w:r>
      <w:r w:rsidR="00E80A92">
        <w:t xml:space="preserve">investicijų </w:t>
      </w:r>
      <w:r w:rsidR="00133C0C">
        <w:t>banko 1.1. punkte nurodytiems projektams</w:t>
      </w:r>
      <w:r w:rsidR="00E80A92">
        <w:t xml:space="preserve">, </w:t>
      </w:r>
      <w:r>
        <w:t>550</w:t>
      </w:r>
      <w:r w:rsidRPr="00C95F79">
        <w:t xml:space="preserve"> tūkstančių eurų dydžio </w:t>
      </w:r>
      <w:r w:rsidR="00E80A92">
        <w:t>paskola arba likutis nurodytos paskolos sumos iš paskolų paimtų per Europos investicijų banką</w:t>
      </w:r>
      <w:r w:rsidRPr="00C95F79">
        <w:t>,</w:t>
      </w:r>
      <w:r w:rsidR="00E80A92">
        <w:t xml:space="preserve"> būtų imamamas iš kitų kredito įstaigų. Šia paskolos dalimi (ar paskola)</w:t>
      </w:r>
      <w:r w:rsidRPr="00C95F79">
        <w:t xml:space="preserve"> planuoja</w:t>
      </w:r>
      <w:r w:rsidR="00E80A92">
        <w:t>ma</w:t>
      </w:r>
      <w:r>
        <w:rPr>
          <w:color w:val="FF0000"/>
        </w:rPr>
        <w:t xml:space="preserve"> </w:t>
      </w:r>
      <w:r>
        <w:t xml:space="preserve">padengti </w:t>
      </w:r>
      <w:r w:rsidRPr="00C95F79">
        <w:t xml:space="preserve"> </w:t>
      </w:r>
      <w:r>
        <w:t>2020 metų paskolų dalies grąžinimo sumas.</w:t>
      </w:r>
    </w:p>
    <w:p w:rsidR="00E51DB2" w:rsidRDefault="008861CB" w:rsidP="005C2765">
      <w:pPr>
        <w:spacing w:line="360" w:lineRule="auto"/>
        <w:jc w:val="both"/>
      </w:pPr>
      <w:r>
        <w:t xml:space="preserve">             </w:t>
      </w:r>
      <w:r w:rsidR="00C60203">
        <w:t xml:space="preserve">2. </w:t>
      </w:r>
      <w:r w:rsidR="00E51DB2">
        <w:t xml:space="preserve">Pagal Lietuvos Respublikos finansų ministro 2020 m. kovo 18 d. įsakymu Nr. 1K-69 patvirtintą 2020 metų projektų atrankos tvarkos aprašą, savivaldybė planuoja įgyvendinti 2 projektus </w:t>
      </w:r>
      <w:r w:rsidR="00E80A92">
        <w:t xml:space="preserve">(Molėtų kultūros namų rekonstrukcija ir Molėtų gimnazijos kapitalinis remontas) </w:t>
      </w:r>
      <w:r w:rsidR="00E51DB2">
        <w:t xml:space="preserve">iš pasiskolintų lėšų pagal Biudžeto rodiklių įstatymo 12 straipsnio 1 dalies 2 punktą. Bendra savivaldybės planuojama skolintis suma turi būti mažesnė negu Biudžeto rodiklių įstatymo 12 straipsnio 1 dalies 2 punkte nurodyti skolinimosi limitai arba lygi jiems, t.y. ne didesnė kaip 1135,9 tūkst. Eur. </w:t>
      </w:r>
      <w:r>
        <w:t>(10 procentų nuo prognozuojamų pajamų- 11359 tūkst. Eur)</w:t>
      </w:r>
    </w:p>
    <w:p w:rsidR="0042621D" w:rsidRDefault="008861CB" w:rsidP="00E80A92">
      <w:pPr>
        <w:spacing w:line="360" w:lineRule="auto"/>
        <w:jc w:val="both"/>
      </w:pPr>
      <w:r>
        <w:t xml:space="preserve">             Tik Centrinei projektų valdymo agentūrai įvertinus savivaldybės pateiktus finansuoti projektus (Molėtų kultūros namų rekonstrukcija ir Molėtų gimnazijos kapitalinis remontas),  gali būti suteiktas leidimas papildomai skolintis nurodytą sumą- 1135,9 tūkst. Eur. </w:t>
      </w:r>
    </w:p>
    <w:p w:rsidR="008A651D" w:rsidRDefault="008A651D" w:rsidP="00EB603E">
      <w:pPr>
        <w:spacing w:line="360" w:lineRule="auto"/>
        <w:jc w:val="both"/>
        <w:rPr>
          <w:b/>
        </w:rPr>
      </w:pPr>
      <w:r>
        <w:rPr>
          <w:b/>
        </w:rPr>
        <w:t>2. Š</w:t>
      </w:r>
      <w:r>
        <w:rPr>
          <w:b/>
          <w:lang w:val="pt-BR"/>
        </w:rPr>
        <w:t>iuo metu esantis teisinis reglamentavimas</w:t>
      </w:r>
    </w:p>
    <w:p w:rsidR="008A651D" w:rsidRDefault="008A651D" w:rsidP="008A651D">
      <w:pPr>
        <w:tabs>
          <w:tab w:val="left" w:pos="720"/>
          <w:tab w:val="num" w:pos="3960"/>
        </w:tabs>
        <w:spacing w:line="360" w:lineRule="auto"/>
        <w:jc w:val="both"/>
        <w:outlineLvl w:val="0"/>
      </w:pPr>
      <w:r>
        <w:t xml:space="preserve"> </w:t>
      </w:r>
      <w:r>
        <w:tab/>
        <w:t>Lietuvos Respubl</w:t>
      </w:r>
      <w:r w:rsidR="006F4C44">
        <w:t>ikos vietos savivaldos įstatymo 16 straipsnio 2 dalies 28 punktu</w:t>
      </w:r>
      <w:r>
        <w:t xml:space="preserve">; </w:t>
      </w:r>
      <w:r w:rsidR="006F4C44">
        <w:t>27 straipsnio 1 dalies 3 punktu;</w:t>
      </w:r>
    </w:p>
    <w:p w:rsidR="008A651D" w:rsidRDefault="00636907" w:rsidP="008A651D">
      <w:pPr>
        <w:tabs>
          <w:tab w:val="left" w:pos="720"/>
          <w:tab w:val="num" w:pos="3960"/>
        </w:tabs>
        <w:spacing w:line="360" w:lineRule="auto"/>
        <w:jc w:val="both"/>
        <w:outlineLvl w:val="0"/>
      </w:pPr>
      <w:r>
        <w:tab/>
        <w:t>Lietuvos Respublikos 2019</w:t>
      </w:r>
      <w:r w:rsidR="008A651D">
        <w:t xml:space="preserve"> metų valstybės biudžeto ir savivaldybių biudžetų finansinių r</w:t>
      </w:r>
      <w:r w:rsidR="00E773C2">
        <w:t>odiklių patvirtinimo įstatymo 12 straipsnio 1 dalies 1 punktas.</w:t>
      </w:r>
    </w:p>
    <w:p w:rsidR="008A651D" w:rsidRDefault="008A651D" w:rsidP="008A651D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 xml:space="preserve">3. </w:t>
      </w:r>
      <w:r>
        <w:rPr>
          <w:b/>
          <w:lang w:val="pt-BR"/>
        </w:rPr>
        <w:t xml:space="preserve">Galimos teigiamos ir neigiamos pasekmės priėmus siūlomą tarybos sprendimo projektą </w:t>
      </w:r>
    </w:p>
    <w:p w:rsidR="005C2765" w:rsidRDefault="0093651C" w:rsidP="008A651D">
      <w:pPr>
        <w:tabs>
          <w:tab w:val="left" w:pos="720"/>
          <w:tab w:val="num" w:pos="3960"/>
        </w:tabs>
        <w:spacing w:line="360" w:lineRule="auto"/>
        <w:jc w:val="both"/>
      </w:pPr>
      <w:r>
        <w:tab/>
        <w:t>Teigiamos</w:t>
      </w:r>
      <w:r w:rsidR="008A651D">
        <w:t xml:space="preserve"> pasekmės </w:t>
      </w:r>
      <w:r>
        <w:t>–</w:t>
      </w:r>
      <w:r w:rsidR="008A651D">
        <w:t xml:space="preserve"> </w:t>
      </w:r>
      <w:r>
        <w:t>savivaldybės administracija gavusi teigiamą savivaldybės kontrolie</w:t>
      </w:r>
      <w:r w:rsidR="00D049CA">
        <w:t>riaus išvadą, galės rengti savi</w:t>
      </w:r>
      <w:r>
        <w:t>v</w:t>
      </w:r>
      <w:r w:rsidR="00D049CA">
        <w:t>a</w:t>
      </w:r>
      <w:r>
        <w:t xml:space="preserve">ldybės tarybos sprendimo projektą </w:t>
      </w:r>
      <w:r w:rsidR="00E80A92">
        <w:t>dėl paskolų</w:t>
      </w:r>
      <w:r>
        <w:t xml:space="preserve"> ėmimo</w:t>
      </w:r>
      <w:r w:rsidR="005C2765">
        <w:t>.</w:t>
      </w:r>
      <w:r w:rsidR="00D373E5">
        <w:t xml:space="preserve"> </w:t>
      </w:r>
    </w:p>
    <w:p w:rsidR="008A651D" w:rsidRDefault="008A651D" w:rsidP="008A651D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>4. Priemonės sprendimui įgyvendinti</w:t>
      </w:r>
    </w:p>
    <w:p w:rsidR="008A651D" w:rsidRDefault="008A651D" w:rsidP="008A651D">
      <w:pPr>
        <w:tabs>
          <w:tab w:val="left" w:pos="720"/>
          <w:tab w:val="num" w:pos="3960"/>
        </w:tabs>
        <w:spacing w:line="360" w:lineRule="auto"/>
        <w:jc w:val="both"/>
      </w:pPr>
      <w:r>
        <w:tab/>
        <w:t>Kredito ti</w:t>
      </w:r>
      <w:r w:rsidR="00AE33C0">
        <w:t xml:space="preserve">ekėjo </w:t>
      </w:r>
      <w:r w:rsidR="00A90139">
        <w:t xml:space="preserve">parinkimas </w:t>
      </w:r>
      <w:r w:rsidR="00AE33C0">
        <w:t>apklausos</w:t>
      </w:r>
      <w:r>
        <w:t xml:space="preserve"> būdu</w:t>
      </w:r>
      <w:r w:rsidR="00AE33C0">
        <w:t xml:space="preserve">, netaikant </w:t>
      </w:r>
      <w:r w:rsidR="00A90139">
        <w:t xml:space="preserve">LR </w:t>
      </w:r>
      <w:r w:rsidR="00AD4E68">
        <w:t>v</w:t>
      </w:r>
      <w:r w:rsidR="00AE33C0">
        <w:t>iešųjų pirkimų įstatymo nuostatų</w:t>
      </w:r>
      <w:r>
        <w:t>.</w:t>
      </w:r>
    </w:p>
    <w:p w:rsidR="008A651D" w:rsidRDefault="008A651D" w:rsidP="008A651D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>5. Lėšų poreikis ir jų šaltiniai ( prireikus skaičiavimai ir išlaidų sąmatos)</w:t>
      </w:r>
    </w:p>
    <w:p w:rsidR="008A651D" w:rsidRDefault="008A651D" w:rsidP="008A651D">
      <w:pPr>
        <w:tabs>
          <w:tab w:val="left" w:pos="720"/>
          <w:tab w:val="num" w:pos="3960"/>
        </w:tabs>
        <w:spacing w:line="360" w:lineRule="auto"/>
        <w:jc w:val="both"/>
      </w:pPr>
      <w:r>
        <w:lastRenderedPageBreak/>
        <w:tab/>
        <w:t xml:space="preserve"> Nėra.</w:t>
      </w:r>
    </w:p>
    <w:p w:rsidR="008A651D" w:rsidRDefault="008A651D" w:rsidP="008A651D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 xml:space="preserve">6.Vykdytojai, įvykdymo terminai </w:t>
      </w:r>
    </w:p>
    <w:p w:rsidR="008A651D" w:rsidRDefault="0093651C" w:rsidP="00AD4E68">
      <w:pPr>
        <w:tabs>
          <w:tab w:val="left" w:pos="720"/>
          <w:tab w:val="num" w:pos="3960"/>
        </w:tabs>
        <w:spacing w:line="360" w:lineRule="auto"/>
        <w:jc w:val="both"/>
      </w:pPr>
      <w:r>
        <w:tab/>
        <w:t>Savivaldybės kontrolierius</w:t>
      </w:r>
      <w:r w:rsidR="008A651D">
        <w:t>.</w:t>
      </w:r>
      <w:r>
        <w:t xml:space="preserve"> Išvadą paren</w:t>
      </w:r>
      <w:r w:rsidR="005929FB">
        <w:t>gti iki 20</w:t>
      </w:r>
      <w:r w:rsidR="00427C70">
        <w:t>20</w:t>
      </w:r>
      <w:r w:rsidR="00636907">
        <w:t xml:space="preserve"> </w:t>
      </w:r>
      <w:r w:rsidR="005929FB">
        <w:t xml:space="preserve">m. </w:t>
      </w:r>
      <w:r w:rsidR="00CB34A8">
        <w:t>gegužės 15</w:t>
      </w:r>
      <w:r w:rsidR="00D373E5">
        <w:t xml:space="preserve"> d. </w:t>
      </w:r>
    </w:p>
    <w:sectPr w:rsidR="008A651D" w:rsidSect="005C2765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FBD" w:rsidRDefault="000B5FBD" w:rsidP="00A90139">
      <w:r>
        <w:separator/>
      </w:r>
    </w:p>
  </w:endnote>
  <w:endnote w:type="continuationSeparator" w:id="0">
    <w:p w:rsidR="000B5FBD" w:rsidRDefault="000B5FBD" w:rsidP="00A9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FBD" w:rsidRDefault="000B5FBD" w:rsidP="00A90139">
      <w:r>
        <w:separator/>
      </w:r>
    </w:p>
  </w:footnote>
  <w:footnote w:type="continuationSeparator" w:id="0">
    <w:p w:rsidR="000B5FBD" w:rsidRDefault="000B5FBD" w:rsidP="00A90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9131873"/>
      <w:docPartObj>
        <w:docPartGallery w:val="Page Numbers (Top of Page)"/>
        <w:docPartUnique/>
      </w:docPartObj>
    </w:sdtPr>
    <w:sdtEndPr/>
    <w:sdtContent>
      <w:p w:rsidR="00A90139" w:rsidRDefault="00A9013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90F">
          <w:rPr>
            <w:noProof/>
          </w:rPr>
          <w:t>3</w:t>
        </w:r>
        <w:r>
          <w:fldChar w:fldCharType="end"/>
        </w:r>
      </w:p>
    </w:sdtContent>
  </w:sdt>
  <w:p w:rsidR="00A90139" w:rsidRDefault="00A9013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A0ADA"/>
    <w:multiLevelType w:val="hybridMultilevel"/>
    <w:tmpl w:val="89BEE124"/>
    <w:lvl w:ilvl="0" w:tplc="D7628D2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1D"/>
    <w:rsid w:val="00007CE4"/>
    <w:rsid w:val="00031C35"/>
    <w:rsid w:val="00037EF8"/>
    <w:rsid w:val="000A29C2"/>
    <w:rsid w:val="000B5FBD"/>
    <w:rsid w:val="000B6302"/>
    <w:rsid w:val="000D7BC5"/>
    <w:rsid w:val="00133C0C"/>
    <w:rsid w:val="001C7CE7"/>
    <w:rsid w:val="001D2786"/>
    <w:rsid w:val="00227623"/>
    <w:rsid w:val="0026090F"/>
    <w:rsid w:val="00294856"/>
    <w:rsid w:val="002A161C"/>
    <w:rsid w:val="0031122C"/>
    <w:rsid w:val="00367CB8"/>
    <w:rsid w:val="00382411"/>
    <w:rsid w:val="003A4E4B"/>
    <w:rsid w:val="003E6159"/>
    <w:rsid w:val="003F0D81"/>
    <w:rsid w:val="00404578"/>
    <w:rsid w:val="0042621D"/>
    <w:rsid w:val="00427C70"/>
    <w:rsid w:val="0046677C"/>
    <w:rsid w:val="004C0399"/>
    <w:rsid w:val="004C53C4"/>
    <w:rsid w:val="004D34C6"/>
    <w:rsid w:val="004D61A1"/>
    <w:rsid w:val="00513CE4"/>
    <w:rsid w:val="005929FB"/>
    <w:rsid w:val="005A25BB"/>
    <w:rsid w:val="005C2765"/>
    <w:rsid w:val="00636907"/>
    <w:rsid w:val="006E1ED6"/>
    <w:rsid w:val="006F4C44"/>
    <w:rsid w:val="007075E2"/>
    <w:rsid w:val="007B1254"/>
    <w:rsid w:val="007C4741"/>
    <w:rsid w:val="008457A2"/>
    <w:rsid w:val="008861CB"/>
    <w:rsid w:val="008A651D"/>
    <w:rsid w:val="00914CC6"/>
    <w:rsid w:val="0093651C"/>
    <w:rsid w:val="009A5258"/>
    <w:rsid w:val="00A03260"/>
    <w:rsid w:val="00A22669"/>
    <w:rsid w:val="00A252BE"/>
    <w:rsid w:val="00A90139"/>
    <w:rsid w:val="00AC3E00"/>
    <w:rsid w:val="00AD4E68"/>
    <w:rsid w:val="00AE33C0"/>
    <w:rsid w:val="00AF5C32"/>
    <w:rsid w:val="00B503CC"/>
    <w:rsid w:val="00B80645"/>
    <w:rsid w:val="00B95BA4"/>
    <w:rsid w:val="00C60203"/>
    <w:rsid w:val="00C95F79"/>
    <w:rsid w:val="00CB34A8"/>
    <w:rsid w:val="00D049CA"/>
    <w:rsid w:val="00D373E5"/>
    <w:rsid w:val="00D562E4"/>
    <w:rsid w:val="00D74CF2"/>
    <w:rsid w:val="00E40662"/>
    <w:rsid w:val="00E51DB2"/>
    <w:rsid w:val="00E773C2"/>
    <w:rsid w:val="00E80A92"/>
    <w:rsid w:val="00EB603E"/>
    <w:rsid w:val="00F03269"/>
    <w:rsid w:val="00F41B8A"/>
    <w:rsid w:val="00F608A7"/>
    <w:rsid w:val="00FA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D10C"/>
  <w15:chartTrackingRefBased/>
  <w15:docId w15:val="{86C29F13-E497-4AA8-8C90-35A3E1F7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A6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9013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9013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9013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9013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1D2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72DAA-59C3-4D8C-B853-EC207E34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3224</Words>
  <Characters>1838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Maigienė Rūta</cp:lastModifiedBy>
  <cp:revision>17</cp:revision>
  <dcterms:created xsi:type="dcterms:W3CDTF">2018-05-16T11:06:00Z</dcterms:created>
  <dcterms:modified xsi:type="dcterms:W3CDTF">2020-04-17T11:11:00Z</dcterms:modified>
</cp:coreProperties>
</file>