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1246FD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MOLĖTŲ RAJONO SAVIVALDYBĖS APLINKOS APSAUGOS RĖMIMO SPECIALIOSIOS PROGRAMOS 2015 METŲ PRIEMONIŲ VYKDYMO ATASKAITOS PATVIRTINIMO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 MOLĖTŲ RAJONO SAVIVALDYBĖS APLINKOS APSAUGOS RĖMIMO SPECIALIOSIOS PROGRAMOS 2015 METŲ PRIEMONIŲ VYKDYMO ATASKAITOS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7C1313">
        <w:t>vasario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3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3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4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4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1246FD" w:rsidRDefault="001246FD" w:rsidP="001246FD">
      <w:pPr>
        <w:tabs>
          <w:tab w:val="left" w:pos="1674"/>
        </w:tabs>
        <w:ind w:firstLine="1247"/>
      </w:pPr>
    </w:p>
    <w:p w:rsidR="001246FD" w:rsidRDefault="001246FD" w:rsidP="001246FD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A72082">
        <w:t xml:space="preserve">Vadovaudamasi Lietuvos Respublikos vietos savivaldos įstatymo 16 straipsnio 4 dalimi bei Savivaldybių aplinkos apsaugos rėmimo specialiosios programos priemonių vykdymo patikrinimo tvarkos aprašo, patvirtinto Lietuvos Respublikos aplinkos ministro </w:t>
      </w:r>
      <w:smartTag w:uri="urn:schemas-microsoft-com:office:smarttags" w:element="metricconverter">
        <w:smartTagPr>
          <w:attr w:name="ProductID" w:val="2011 m"/>
        </w:smartTagPr>
        <w:r w:rsidRPr="00A72082">
          <w:t>2011 m</w:t>
        </w:r>
      </w:smartTag>
      <w:r w:rsidRPr="00A72082">
        <w:t>. kovo 4 d. įsakymu Nr. D1-201 „Dėl Savivaldybių aplinkos apsaugos rėmimo specialiosios programos priemonių vykdymo patikrinimo tvarkos aprašo, Savivaldybių aplinkos apsaugos rėmimo specialiosios programos priemoni</w:t>
      </w:r>
      <w:r>
        <w:t>ų vykdymo ataskaitos formos ir S</w:t>
      </w:r>
      <w:r w:rsidRPr="00A72082">
        <w:t xml:space="preserve">avivaldybių aplinkos apsaugos rėmimo specialiosios programos priemonių vykdymo ataskaitos formos pildymo taisyklių patvirtinimo“, 4 punktu, </w:t>
      </w:r>
    </w:p>
    <w:p w:rsidR="001246FD" w:rsidRDefault="001246FD" w:rsidP="001246FD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A72082">
        <w:t>Molėtų rajono savivaldybės taryba n u s p r e n d ž i a</w:t>
      </w:r>
      <w:r>
        <w:t>:</w:t>
      </w:r>
    </w:p>
    <w:p w:rsidR="001246FD" w:rsidRPr="00A72082" w:rsidRDefault="001246FD" w:rsidP="001246FD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 P</w:t>
      </w:r>
      <w:r w:rsidRPr="00A72082">
        <w:t xml:space="preserve">atvirtinti Molėtų rajono savivaldybės aplinkos apsaugos rėmimo specialiosios programos </w:t>
      </w:r>
      <w:r>
        <w:t xml:space="preserve">2015 metų </w:t>
      </w:r>
      <w:r w:rsidRPr="00A72082">
        <w:t>priemonių vykdymo ataskaitą (pridedama).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5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5"/>
      <w:r w:rsidR="00EE645F">
        <w:tab/>
      </w:r>
      <w:sdt>
        <w:sdtPr>
          <w:alias w:val="Parašas"/>
          <w:tag w:val="parasas"/>
          <w:id w:val="1378825885"/>
          <w:placeholder>
            <w:docPart w:val="918E50705E2C4C68A0B5CCE0D8578BA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1246FD" w:rsidRDefault="001246FD" w:rsidP="001246FD">
      <w:pPr>
        <w:tabs>
          <w:tab w:val="left" w:pos="1674"/>
        </w:tabs>
        <w:contextualSpacing/>
      </w:pPr>
      <w:r>
        <w:lastRenderedPageBreak/>
        <w:t>Parengė</w:t>
      </w:r>
    </w:p>
    <w:p w:rsidR="001246FD" w:rsidRDefault="001246FD" w:rsidP="001246FD">
      <w:pPr>
        <w:tabs>
          <w:tab w:val="left" w:pos="1674"/>
        </w:tabs>
        <w:contextualSpacing/>
      </w:pPr>
      <w:r>
        <w:t>Žemės ūkio skyriaus vyr. specialistė</w:t>
      </w:r>
    </w:p>
    <w:p w:rsidR="001246FD" w:rsidRDefault="001246FD" w:rsidP="001246FD">
      <w:pPr>
        <w:tabs>
          <w:tab w:val="left" w:pos="1674"/>
        </w:tabs>
        <w:contextualSpacing/>
      </w:pPr>
    </w:p>
    <w:p w:rsidR="001246FD" w:rsidRDefault="001246FD" w:rsidP="001246FD">
      <w:pPr>
        <w:tabs>
          <w:tab w:val="left" w:pos="1674"/>
        </w:tabs>
      </w:pPr>
    </w:p>
    <w:p w:rsidR="001246FD" w:rsidRDefault="001246FD" w:rsidP="001246FD">
      <w:pPr>
        <w:tabs>
          <w:tab w:val="left" w:pos="1674"/>
        </w:tabs>
      </w:pPr>
      <w:r>
        <w:t>Inga Žemaitytė</w:t>
      </w:r>
    </w:p>
    <w:p w:rsidR="007951EA" w:rsidRDefault="001246FD" w:rsidP="001246FD">
      <w:pPr>
        <w:tabs>
          <w:tab w:val="left" w:pos="7513"/>
        </w:tabs>
      </w:pPr>
      <w:r>
        <w:t>2016-02-</w:t>
      </w:r>
    </w:p>
    <w:p w:rsidR="001246FD" w:rsidRDefault="001246FD" w:rsidP="001246FD">
      <w:pPr>
        <w:tabs>
          <w:tab w:val="left" w:pos="7513"/>
        </w:tabs>
      </w:pPr>
    </w:p>
    <w:p w:rsidR="001246FD" w:rsidRDefault="001246FD" w:rsidP="001246FD">
      <w:pPr>
        <w:tabs>
          <w:tab w:val="left" w:pos="7513"/>
        </w:tabs>
        <w:sectPr w:rsidR="001246F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1246FD" w:rsidRPr="00575C8B" w:rsidRDefault="001246FD" w:rsidP="001246FD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220"/>
        <w:jc w:val="both"/>
      </w:pPr>
      <w:r w:rsidRPr="00575C8B">
        <w:lastRenderedPageBreak/>
        <w:t>PATVIRTINTA</w:t>
      </w:r>
    </w:p>
    <w:p w:rsidR="001246FD" w:rsidRPr="00575C8B" w:rsidRDefault="001246FD" w:rsidP="001246FD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220"/>
      </w:pPr>
      <w:r w:rsidRPr="00575C8B">
        <w:t xml:space="preserve">Molėtų rajono savivaldybės tarybos </w:t>
      </w:r>
    </w:p>
    <w:p w:rsidR="001246FD" w:rsidRPr="00575C8B" w:rsidRDefault="001246FD" w:rsidP="001246FD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220"/>
      </w:pPr>
      <w:r w:rsidRPr="00575C8B">
        <w:t>2016 m. vasario    d. sprendimu Nr.</w:t>
      </w:r>
      <w:r w:rsidR="0067723B">
        <w:t xml:space="preserve"> </w:t>
      </w:r>
      <w:r w:rsidRPr="00575C8B">
        <w:t>B1</w:t>
      </w:r>
    </w:p>
    <w:p w:rsidR="001246FD" w:rsidRPr="00575C8B" w:rsidRDefault="001246FD" w:rsidP="001246FD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529"/>
      </w:pPr>
    </w:p>
    <w:p w:rsidR="001246FD" w:rsidRPr="00575C8B" w:rsidRDefault="001246FD" w:rsidP="001246FD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529"/>
      </w:pPr>
    </w:p>
    <w:p w:rsidR="001246FD" w:rsidRPr="0067723B" w:rsidRDefault="001246FD" w:rsidP="001246FD">
      <w:pPr>
        <w:jc w:val="center"/>
        <w:outlineLvl w:val="0"/>
        <w:rPr>
          <w:b/>
        </w:rPr>
      </w:pPr>
      <w:bookmarkStart w:id="6" w:name="_GoBack"/>
      <w:r w:rsidRPr="0067723B">
        <w:rPr>
          <w:b/>
        </w:rPr>
        <w:t xml:space="preserve">MOLĖTŲ RAJONO SAVIVALDYBĖS </w:t>
      </w:r>
    </w:p>
    <w:p w:rsidR="001246FD" w:rsidRPr="0067723B" w:rsidRDefault="001246FD" w:rsidP="001246FD">
      <w:pPr>
        <w:jc w:val="center"/>
        <w:outlineLvl w:val="0"/>
        <w:rPr>
          <w:b/>
        </w:rPr>
      </w:pPr>
      <w:r w:rsidRPr="0067723B">
        <w:rPr>
          <w:b/>
        </w:rPr>
        <w:t>APLINKOS APSAUGOS RĖMIMO SPECIALIOSIOS PROGRAMOS 2015 METŲ  PRIEMONIŲ VYKDYMO ATASKAITA</w:t>
      </w:r>
    </w:p>
    <w:bookmarkEnd w:id="6"/>
    <w:p w:rsidR="001246FD" w:rsidRPr="00575C8B" w:rsidRDefault="001246FD" w:rsidP="001246FD">
      <w:pPr>
        <w:autoSpaceDE w:val="0"/>
        <w:autoSpaceDN w:val="0"/>
        <w:adjustRightInd w:val="0"/>
        <w:jc w:val="both"/>
        <w:rPr>
          <w:b/>
        </w:rPr>
      </w:pPr>
    </w:p>
    <w:p w:rsidR="001246FD" w:rsidRPr="00575C8B" w:rsidRDefault="001246FD" w:rsidP="001246FD">
      <w:pPr>
        <w:autoSpaceDE w:val="0"/>
        <w:autoSpaceDN w:val="0"/>
        <w:adjustRightInd w:val="0"/>
        <w:jc w:val="both"/>
        <w:rPr>
          <w:b/>
        </w:rPr>
      </w:pPr>
    </w:p>
    <w:p w:rsidR="001246FD" w:rsidRPr="00575C8B" w:rsidRDefault="001246FD" w:rsidP="001246FD">
      <w:pPr>
        <w:autoSpaceDE w:val="0"/>
        <w:autoSpaceDN w:val="0"/>
        <w:adjustRightInd w:val="0"/>
        <w:ind w:firstLine="851"/>
        <w:jc w:val="both"/>
      </w:pPr>
      <w:r w:rsidRPr="00575C8B">
        <w:t>1. Informacija apie Savivaldybės aplinkos apsaugos rėmimo specialiosios programos (toliau – Programa) lėšas</w:t>
      </w:r>
    </w:p>
    <w:p w:rsidR="001246FD" w:rsidRPr="00575C8B" w:rsidRDefault="001246FD" w:rsidP="001246FD">
      <w:pPr>
        <w:autoSpaceDE w:val="0"/>
        <w:autoSpaceDN w:val="0"/>
        <w:adjustRightInd w:val="0"/>
        <w:ind w:firstLine="312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655"/>
        <w:gridCol w:w="1382"/>
      </w:tblGrid>
      <w:tr w:rsidR="001246FD" w:rsidRPr="00575C8B" w:rsidTr="003E7F18">
        <w:tc>
          <w:tcPr>
            <w:tcW w:w="817" w:type="dxa"/>
          </w:tcPr>
          <w:p w:rsidR="001246FD" w:rsidRPr="00575C8B" w:rsidRDefault="001246FD" w:rsidP="003E7F18">
            <w:pPr>
              <w:autoSpaceDE w:val="0"/>
              <w:autoSpaceDN w:val="0"/>
              <w:adjustRightInd w:val="0"/>
              <w:jc w:val="center"/>
            </w:pPr>
            <w:r w:rsidRPr="00575C8B">
              <w:t>Eil. Nr.</w:t>
            </w:r>
          </w:p>
        </w:tc>
        <w:tc>
          <w:tcPr>
            <w:tcW w:w="7655" w:type="dxa"/>
          </w:tcPr>
          <w:p w:rsidR="001246FD" w:rsidRPr="00575C8B" w:rsidRDefault="001246FD" w:rsidP="003E7F18">
            <w:pPr>
              <w:autoSpaceDE w:val="0"/>
              <w:autoSpaceDN w:val="0"/>
              <w:adjustRightInd w:val="0"/>
              <w:ind w:firstLine="312"/>
              <w:jc w:val="center"/>
            </w:pPr>
            <w:r w:rsidRPr="00575C8B">
              <w:t>(1) Programos finansavimo šaltiniai</w:t>
            </w:r>
          </w:p>
        </w:tc>
        <w:tc>
          <w:tcPr>
            <w:tcW w:w="1382" w:type="dxa"/>
          </w:tcPr>
          <w:p w:rsidR="001246FD" w:rsidRPr="00575C8B" w:rsidRDefault="001246FD" w:rsidP="003E7F18">
            <w:pPr>
              <w:autoSpaceDE w:val="0"/>
              <w:autoSpaceDN w:val="0"/>
              <w:adjustRightInd w:val="0"/>
              <w:jc w:val="center"/>
            </w:pPr>
            <w:r w:rsidRPr="00575C8B">
              <w:t xml:space="preserve">Surinkta lėšų, </w:t>
            </w:r>
            <w:proofErr w:type="spellStart"/>
            <w:r w:rsidRPr="00575C8B">
              <w:t>Eur</w:t>
            </w:r>
            <w:proofErr w:type="spellEnd"/>
          </w:p>
        </w:tc>
      </w:tr>
      <w:tr w:rsidR="001246FD" w:rsidRPr="00575C8B" w:rsidTr="003E7F18">
        <w:tc>
          <w:tcPr>
            <w:tcW w:w="817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1.1.</w:t>
            </w:r>
          </w:p>
        </w:tc>
        <w:tc>
          <w:tcPr>
            <w:tcW w:w="7655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Mokesčiai už teršalų išmetimą į aplinką</w:t>
            </w:r>
          </w:p>
        </w:tc>
        <w:tc>
          <w:tcPr>
            <w:tcW w:w="1382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75C8B">
              <w:t>16329</w:t>
            </w:r>
          </w:p>
        </w:tc>
      </w:tr>
      <w:tr w:rsidR="001246FD" w:rsidRPr="00575C8B" w:rsidTr="003E7F18">
        <w:tc>
          <w:tcPr>
            <w:tcW w:w="817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1.2.</w:t>
            </w:r>
          </w:p>
        </w:tc>
        <w:tc>
          <w:tcPr>
            <w:tcW w:w="7655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Mokesčiai už valstybinius gamtos išteklius</w:t>
            </w:r>
          </w:p>
        </w:tc>
        <w:tc>
          <w:tcPr>
            <w:tcW w:w="1382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75C8B">
              <w:t>3957</w:t>
            </w:r>
          </w:p>
        </w:tc>
      </w:tr>
      <w:tr w:rsidR="001246FD" w:rsidRPr="00575C8B" w:rsidTr="003E7F18">
        <w:tc>
          <w:tcPr>
            <w:tcW w:w="817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1.3.</w:t>
            </w:r>
          </w:p>
        </w:tc>
        <w:tc>
          <w:tcPr>
            <w:tcW w:w="7655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Lėšos, gautos kaip želdinių atkuriamosios vertės kompensacija</w:t>
            </w:r>
          </w:p>
        </w:tc>
        <w:tc>
          <w:tcPr>
            <w:tcW w:w="1382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75C8B">
              <w:t>0</w:t>
            </w:r>
          </w:p>
        </w:tc>
      </w:tr>
      <w:tr w:rsidR="001246FD" w:rsidRPr="00575C8B" w:rsidTr="003E7F18">
        <w:tc>
          <w:tcPr>
            <w:tcW w:w="817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1.4.</w:t>
            </w:r>
          </w:p>
        </w:tc>
        <w:tc>
          <w:tcPr>
            <w:tcW w:w="7655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Savanoriškos juridinių ir fizinių asmenų įmokos ir kitos teisėtai gautos lėšos</w:t>
            </w:r>
          </w:p>
        </w:tc>
        <w:tc>
          <w:tcPr>
            <w:tcW w:w="1382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75C8B">
              <w:t>0</w:t>
            </w:r>
          </w:p>
        </w:tc>
      </w:tr>
      <w:tr w:rsidR="001246FD" w:rsidRPr="00575C8B" w:rsidTr="003E7F18">
        <w:tc>
          <w:tcPr>
            <w:tcW w:w="817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1.5.</w:t>
            </w:r>
          </w:p>
        </w:tc>
        <w:tc>
          <w:tcPr>
            <w:tcW w:w="7655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Iš viso (1.1 + 1.2 + 1.3 + 1.4):</w:t>
            </w:r>
          </w:p>
        </w:tc>
        <w:tc>
          <w:tcPr>
            <w:tcW w:w="1382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75C8B">
              <w:t>20286</w:t>
            </w:r>
          </w:p>
        </w:tc>
      </w:tr>
      <w:tr w:rsidR="001246FD" w:rsidRPr="00575C8B" w:rsidTr="003E7F18">
        <w:tc>
          <w:tcPr>
            <w:tcW w:w="817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75C8B">
              <w:rPr>
                <w:color w:val="000000"/>
              </w:rPr>
              <w:t>1.6.</w:t>
            </w:r>
          </w:p>
        </w:tc>
        <w:tc>
          <w:tcPr>
            <w:tcW w:w="7655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75C8B">
              <w:t>Mokesčiai, sumokėti už medžiojamųjų gyvūnų išteklių naudojimą</w:t>
            </w:r>
          </w:p>
        </w:tc>
        <w:tc>
          <w:tcPr>
            <w:tcW w:w="1382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75C8B">
              <w:t>20007</w:t>
            </w:r>
          </w:p>
        </w:tc>
      </w:tr>
      <w:tr w:rsidR="001246FD" w:rsidRPr="00575C8B" w:rsidTr="003E7F18">
        <w:tc>
          <w:tcPr>
            <w:tcW w:w="817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75C8B">
              <w:rPr>
                <w:color w:val="000000"/>
              </w:rPr>
              <w:t>1.7.</w:t>
            </w:r>
          </w:p>
        </w:tc>
        <w:tc>
          <w:tcPr>
            <w:tcW w:w="7655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75C8B">
              <w:t xml:space="preserve">Ankstesnio ataskaitinio laikotarpio ataskaitos atitinkamų lėšų likutis </w:t>
            </w:r>
          </w:p>
        </w:tc>
        <w:tc>
          <w:tcPr>
            <w:tcW w:w="1382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75C8B">
              <w:t>3168</w:t>
            </w:r>
          </w:p>
        </w:tc>
      </w:tr>
      <w:tr w:rsidR="001246FD" w:rsidRPr="00575C8B" w:rsidTr="003E7F18">
        <w:tc>
          <w:tcPr>
            <w:tcW w:w="817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1.8.</w:t>
            </w:r>
          </w:p>
        </w:tc>
        <w:tc>
          <w:tcPr>
            <w:tcW w:w="7655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Iš viso (1.6 + 1.7):</w:t>
            </w:r>
          </w:p>
        </w:tc>
        <w:tc>
          <w:tcPr>
            <w:tcW w:w="1382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75C8B">
              <w:t>23175</w:t>
            </w:r>
          </w:p>
        </w:tc>
      </w:tr>
      <w:tr w:rsidR="001246FD" w:rsidRPr="00575C8B" w:rsidTr="003E7F18">
        <w:trPr>
          <w:trHeight w:val="107"/>
        </w:trPr>
        <w:tc>
          <w:tcPr>
            <w:tcW w:w="817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1.9.</w:t>
            </w:r>
          </w:p>
        </w:tc>
        <w:tc>
          <w:tcPr>
            <w:tcW w:w="7655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Faktinės ataskaitinio laikotarpio Programos lėšos (1.5 + 1.8)</w:t>
            </w:r>
          </w:p>
        </w:tc>
        <w:tc>
          <w:tcPr>
            <w:tcW w:w="1382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75C8B">
              <w:t>43461</w:t>
            </w:r>
          </w:p>
        </w:tc>
      </w:tr>
    </w:tbl>
    <w:p w:rsidR="001246FD" w:rsidRPr="00575C8B" w:rsidRDefault="001246FD" w:rsidP="001246FD">
      <w:pPr>
        <w:autoSpaceDE w:val="0"/>
        <w:autoSpaceDN w:val="0"/>
        <w:adjustRightInd w:val="0"/>
        <w:jc w:val="both"/>
        <w:rPr>
          <w:b/>
        </w:rPr>
      </w:pPr>
    </w:p>
    <w:p w:rsidR="001246FD" w:rsidRPr="00575C8B" w:rsidRDefault="001246FD" w:rsidP="001246FD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776"/>
        <w:gridCol w:w="1382"/>
      </w:tblGrid>
      <w:tr w:rsidR="001246FD" w:rsidRPr="00575C8B" w:rsidTr="003E7F18">
        <w:tc>
          <w:tcPr>
            <w:tcW w:w="696" w:type="dxa"/>
          </w:tcPr>
          <w:p w:rsidR="001246FD" w:rsidRPr="00575C8B" w:rsidRDefault="001246FD" w:rsidP="003E7F18">
            <w:pPr>
              <w:autoSpaceDE w:val="0"/>
              <w:autoSpaceDN w:val="0"/>
              <w:adjustRightInd w:val="0"/>
              <w:jc w:val="center"/>
            </w:pPr>
            <w:r w:rsidRPr="00575C8B">
              <w:t>Eil. Nr.</w:t>
            </w:r>
          </w:p>
        </w:tc>
        <w:tc>
          <w:tcPr>
            <w:tcW w:w="7776" w:type="dxa"/>
          </w:tcPr>
          <w:p w:rsidR="001246FD" w:rsidRPr="00575C8B" w:rsidRDefault="001246FD" w:rsidP="003E7F18">
            <w:pPr>
              <w:autoSpaceDE w:val="0"/>
              <w:autoSpaceDN w:val="0"/>
              <w:adjustRightInd w:val="0"/>
              <w:ind w:firstLine="312"/>
              <w:jc w:val="center"/>
            </w:pPr>
            <w:r w:rsidRPr="00575C8B">
              <w:rPr>
                <w:color w:val="000000"/>
              </w:rPr>
              <w:t xml:space="preserve">(2) Savivaldybės visuomenės </w:t>
            </w:r>
            <w:smartTag w:uri="urn:schemas-microsoft-com:office:smarttags" w:element="PersonName">
              <w:r w:rsidRPr="00575C8B">
                <w:rPr>
                  <w:color w:val="000000"/>
                </w:rPr>
                <w:t>sveikatos</w:t>
              </w:r>
            </w:smartTag>
            <w:r w:rsidRPr="00575C8B">
              <w:rPr>
                <w:color w:val="000000"/>
              </w:rPr>
              <w:t xml:space="preserve"> rėmimo specialiajai programai skirtinos lėšos</w:t>
            </w:r>
          </w:p>
        </w:tc>
        <w:tc>
          <w:tcPr>
            <w:tcW w:w="1382" w:type="dxa"/>
          </w:tcPr>
          <w:p w:rsidR="001246FD" w:rsidRPr="00575C8B" w:rsidRDefault="001246FD" w:rsidP="003E7F18">
            <w:pPr>
              <w:autoSpaceDE w:val="0"/>
              <w:autoSpaceDN w:val="0"/>
              <w:adjustRightInd w:val="0"/>
              <w:jc w:val="center"/>
            </w:pPr>
            <w:r w:rsidRPr="00575C8B">
              <w:t xml:space="preserve">Lėšos, </w:t>
            </w:r>
            <w:proofErr w:type="spellStart"/>
            <w:r w:rsidRPr="00575C8B">
              <w:t>Eur</w:t>
            </w:r>
            <w:proofErr w:type="spellEnd"/>
          </w:p>
        </w:tc>
      </w:tr>
      <w:tr w:rsidR="001246FD" w:rsidRPr="00575C8B" w:rsidTr="003E7F18">
        <w:tc>
          <w:tcPr>
            <w:tcW w:w="696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1.10.</w:t>
            </w:r>
          </w:p>
        </w:tc>
        <w:tc>
          <w:tcPr>
            <w:tcW w:w="7776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 xml:space="preserve">20 procentų Programos lėšų, neįskaitant įplaukų už </w:t>
            </w:r>
            <w:r w:rsidRPr="00575C8B">
              <w:rPr>
                <w:color w:val="000000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1382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75C8B">
              <w:t>4057</w:t>
            </w:r>
          </w:p>
        </w:tc>
      </w:tr>
      <w:tr w:rsidR="001246FD" w:rsidRPr="00575C8B" w:rsidTr="003E7F18">
        <w:tc>
          <w:tcPr>
            <w:tcW w:w="696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1.11.</w:t>
            </w:r>
          </w:p>
        </w:tc>
        <w:tc>
          <w:tcPr>
            <w:tcW w:w="7776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 xml:space="preserve">Ankstesnio ataskaitinio laikotarpio ataskaitos atitinkamų lėšų likutis </w:t>
            </w:r>
          </w:p>
        </w:tc>
        <w:tc>
          <w:tcPr>
            <w:tcW w:w="1382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75C8B">
              <w:t>682</w:t>
            </w:r>
          </w:p>
        </w:tc>
      </w:tr>
      <w:tr w:rsidR="001246FD" w:rsidRPr="00575C8B" w:rsidTr="003E7F18">
        <w:tc>
          <w:tcPr>
            <w:tcW w:w="696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1.12.</w:t>
            </w:r>
          </w:p>
        </w:tc>
        <w:tc>
          <w:tcPr>
            <w:tcW w:w="7776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Iš viso (1.10 + 1.11):</w:t>
            </w:r>
          </w:p>
        </w:tc>
        <w:tc>
          <w:tcPr>
            <w:tcW w:w="1382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75C8B">
              <w:t>4739</w:t>
            </w:r>
          </w:p>
        </w:tc>
      </w:tr>
    </w:tbl>
    <w:p w:rsidR="001246FD" w:rsidRPr="00575C8B" w:rsidRDefault="001246FD" w:rsidP="001246FD">
      <w:pPr>
        <w:autoSpaceDE w:val="0"/>
        <w:autoSpaceDN w:val="0"/>
        <w:adjustRightInd w:val="0"/>
        <w:jc w:val="both"/>
      </w:pPr>
    </w:p>
    <w:p w:rsidR="001246FD" w:rsidRPr="00575C8B" w:rsidRDefault="001246FD" w:rsidP="001246FD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776"/>
        <w:gridCol w:w="1382"/>
      </w:tblGrid>
      <w:tr w:rsidR="001246FD" w:rsidRPr="00575C8B" w:rsidTr="003E7F18">
        <w:tc>
          <w:tcPr>
            <w:tcW w:w="696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Eil. Nr.</w:t>
            </w:r>
          </w:p>
        </w:tc>
        <w:tc>
          <w:tcPr>
            <w:tcW w:w="7776" w:type="dxa"/>
          </w:tcPr>
          <w:p w:rsidR="001246FD" w:rsidRPr="00575C8B" w:rsidRDefault="001246FD" w:rsidP="003E7F18">
            <w:pPr>
              <w:autoSpaceDE w:val="0"/>
              <w:autoSpaceDN w:val="0"/>
              <w:adjustRightInd w:val="0"/>
              <w:ind w:firstLine="312"/>
              <w:jc w:val="center"/>
            </w:pPr>
            <w:r w:rsidRPr="00575C8B">
              <w:t>(3) Kitoms Programos priemonėms skirtinos lėšos</w:t>
            </w:r>
          </w:p>
        </w:tc>
        <w:tc>
          <w:tcPr>
            <w:tcW w:w="1382" w:type="dxa"/>
          </w:tcPr>
          <w:p w:rsidR="001246FD" w:rsidRPr="00575C8B" w:rsidRDefault="001246FD" w:rsidP="003E7F18">
            <w:pPr>
              <w:autoSpaceDE w:val="0"/>
              <w:autoSpaceDN w:val="0"/>
              <w:adjustRightInd w:val="0"/>
              <w:jc w:val="center"/>
            </w:pPr>
            <w:r w:rsidRPr="00575C8B">
              <w:t xml:space="preserve">Lėšos, </w:t>
            </w:r>
            <w:proofErr w:type="spellStart"/>
            <w:r w:rsidRPr="00575C8B">
              <w:t>Eur</w:t>
            </w:r>
            <w:proofErr w:type="spellEnd"/>
          </w:p>
        </w:tc>
      </w:tr>
      <w:tr w:rsidR="001246FD" w:rsidRPr="00575C8B" w:rsidTr="003E7F18">
        <w:tc>
          <w:tcPr>
            <w:tcW w:w="696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1.13.</w:t>
            </w:r>
          </w:p>
        </w:tc>
        <w:tc>
          <w:tcPr>
            <w:tcW w:w="7776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 xml:space="preserve">80 procentų Programos lėšų, neįskaitant įplaukų už </w:t>
            </w:r>
            <w:r w:rsidRPr="00575C8B">
              <w:rPr>
                <w:color w:val="000000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1382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75C8B">
              <w:t>16229</w:t>
            </w:r>
          </w:p>
        </w:tc>
      </w:tr>
      <w:tr w:rsidR="001246FD" w:rsidRPr="00575C8B" w:rsidTr="003E7F18">
        <w:tc>
          <w:tcPr>
            <w:tcW w:w="696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1.14.</w:t>
            </w:r>
          </w:p>
        </w:tc>
        <w:tc>
          <w:tcPr>
            <w:tcW w:w="7776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 xml:space="preserve">Ankstesnio ataskaitinio laikotarpio ataskaitos atitinkamų lėšų likutis </w:t>
            </w:r>
          </w:p>
        </w:tc>
        <w:tc>
          <w:tcPr>
            <w:tcW w:w="1382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75C8B">
              <w:t>12389</w:t>
            </w:r>
          </w:p>
        </w:tc>
      </w:tr>
      <w:tr w:rsidR="001246FD" w:rsidRPr="00575C8B" w:rsidTr="003E7F18">
        <w:tc>
          <w:tcPr>
            <w:tcW w:w="696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1.15.</w:t>
            </w:r>
          </w:p>
        </w:tc>
        <w:tc>
          <w:tcPr>
            <w:tcW w:w="7776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Iš viso (1.13 + 1.14):</w:t>
            </w:r>
          </w:p>
        </w:tc>
        <w:tc>
          <w:tcPr>
            <w:tcW w:w="1382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75C8B">
              <w:t>28618</w:t>
            </w:r>
          </w:p>
        </w:tc>
      </w:tr>
    </w:tbl>
    <w:p w:rsidR="001246FD" w:rsidRPr="00575C8B" w:rsidRDefault="001246FD" w:rsidP="001246FD">
      <w:pPr>
        <w:autoSpaceDE w:val="0"/>
        <w:autoSpaceDN w:val="0"/>
        <w:adjustRightInd w:val="0"/>
        <w:jc w:val="both"/>
      </w:pPr>
    </w:p>
    <w:p w:rsidR="001246FD" w:rsidRPr="00575C8B" w:rsidRDefault="001246FD" w:rsidP="001246FD">
      <w:pPr>
        <w:spacing w:after="120"/>
        <w:rPr>
          <w:b/>
        </w:rPr>
      </w:pPr>
    </w:p>
    <w:p w:rsidR="001246FD" w:rsidRPr="00575C8B" w:rsidRDefault="001246FD" w:rsidP="001246FD">
      <w:pPr>
        <w:spacing w:after="120"/>
        <w:rPr>
          <w:b/>
        </w:rPr>
      </w:pPr>
    </w:p>
    <w:p w:rsidR="001246FD" w:rsidRPr="00575C8B" w:rsidRDefault="001246FD" w:rsidP="001246FD">
      <w:pPr>
        <w:spacing w:after="120"/>
        <w:rPr>
          <w:b/>
        </w:rPr>
      </w:pPr>
      <w:r w:rsidRPr="00575C8B">
        <w:rPr>
          <w:b/>
        </w:rPr>
        <w:br w:type="page"/>
      </w:r>
    </w:p>
    <w:p w:rsidR="001246FD" w:rsidRPr="00575C8B" w:rsidRDefault="001246FD" w:rsidP="001246FD">
      <w:pPr>
        <w:spacing w:after="120"/>
        <w:rPr>
          <w:b/>
        </w:rPr>
      </w:pPr>
    </w:p>
    <w:p w:rsidR="001246FD" w:rsidRPr="00575C8B" w:rsidRDefault="001246FD" w:rsidP="001246FD">
      <w:pPr>
        <w:spacing w:after="120"/>
        <w:ind w:firstLine="851"/>
      </w:pPr>
      <w:r w:rsidRPr="00575C8B">
        <w:t>2. Priemonės, kurioms finansuoti naudojamos lėšos, surinktos už medžiojamųjų gyvūnų išteklių naudojimą: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772"/>
        <w:gridCol w:w="4945"/>
        <w:gridCol w:w="1381"/>
      </w:tblGrid>
      <w:tr w:rsidR="001246FD" w:rsidRPr="00575C8B" w:rsidTr="003E7F18">
        <w:tc>
          <w:tcPr>
            <w:tcW w:w="756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Eil. Nr.</w:t>
            </w:r>
          </w:p>
        </w:tc>
        <w:tc>
          <w:tcPr>
            <w:tcW w:w="2772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75C8B">
              <w:rPr>
                <w:color w:val="000000"/>
              </w:rPr>
              <w:t>Priemonės pavadinimas</w:t>
            </w:r>
          </w:p>
        </w:tc>
        <w:tc>
          <w:tcPr>
            <w:tcW w:w="4945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  <w:jc w:val="both"/>
            </w:pPr>
            <w:r w:rsidRPr="00575C8B">
              <w:t>Detalus priemonės vykdymo aprašymas</w:t>
            </w:r>
          </w:p>
        </w:tc>
        <w:tc>
          <w:tcPr>
            <w:tcW w:w="1381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 xml:space="preserve">Panaudota lėšų, </w:t>
            </w:r>
            <w:proofErr w:type="spellStart"/>
            <w:r w:rsidRPr="00575C8B">
              <w:t>Eur</w:t>
            </w:r>
            <w:proofErr w:type="spellEnd"/>
          </w:p>
        </w:tc>
      </w:tr>
      <w:tr w:rsidR="001246FD" w:rsidRPr="00575C8B" w:rsidTr="003E7F18">
        <w:tc>
          <w:tcPr>
            <w:tcW w:w="756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2.1.</w:t>
            </w:r>
          </w:p>
        </w:tc>
        <w:tc>
          <w:tcPr>
            <w:tcW w:w="7717" w:type="dxa"/>
            <w:gridSpan w:val="2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  <w:jc w:val="both"/>
            </w:pPr>
            <w:r w:rsidRPr="00575C8B">
              <w:t>Miško sklypų, kuriuose medžioklė nėra uždrausta, savininkų, valdytojų ir naudotojų įgyvendinamos žalos prevencijos priemonės, kuriomis jie siekia išvengti medžiojamųjų gyvūnų daromos žalos miškui:</w:t>
            </w:r>
          </w:p>
        </w:tc>
        <w:tc>
          <w:tcPr>
            <w:tcW w:w="1381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1246FD" w:rsidRPr="00575C8B" w:rsidTr="003E7F18">
        <w:trPr>
          <w:trHeight w:val="1515"/>
        </w:trPr>
        <w:tc>
          <w:tcPr>
            <w:tcW w:w="756" w:type="dxa"/>
            <w:vMerge w:val="restart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2.1.1.</w:t>
            </w:r>
          </w:p>
        </w:tc>
        <w:tc>
          <w:tcPr>
            <w:tcW w:w="2772" w:type="dxa"/>
            <w:vMerge w:val="restart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</w:pPr>
            <w:proofErr w:type="spellStart"/>
            <w:r w:rsidRPr="00575C8B">
              <w:t>Repelentų</w:t>
            </w:r>
            <w:proofErr w:type="spellEnd"/>
            <w:r w:rsidRPr="00575C8B">
              <w:t xml:space="preserve"> pirkimas, miške esančių želdinių ir </w:t>
            </w:r>
            <w:proofErr w:type="spellStart"/>
            <w:r w:rsidRPr="00575C8B">
              <w:t>žėlinių</w:t>
            </w:r>
            <w:proofErr w:type="spellEnd"/>
            <w:r w:rsidRPr="00575C8B">
              <w:t xml:space="preserve"> apdorojimo </w:t>
            </w:r>
            <w:proofErr w:type="spellStart"/>
            <w:r w:rsidRPr="00575C8B">
              <w:t>repelentais</w:t>
            </w:r>
            <w:proofErr w:type="spellEnd"/>
            <w:r w:rsidRPr="00575C8B">
              <w:t xml:space="preserve"> darbai, bei miškų aptvėrimo tvoromis, apsauginėmis juostomis darbai ir šiems darbams atlikti reikalingų medžiagų pirkimas, individualių apsaugos priemonių medeliams pirkimas ir jų įrengimas</w:t>
            </w:r>
          </w:p>
        </w:tc>
        <w:tc>
          <w:tcPr>
            <w:tcW w:w="4945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 xml:space="preserve">VĮ Utenos urėdija, 2015 m. rugsėjo- spalio mėn. skirtas lėšas panaudojo miško želdynų ir želdinių apsaugai nuo medžiojamųjų gyvūnų daromos žalos aptepant juos </w:t>
            </w:r>
            <w:proofErr w:type="spellStart"/>
            <w:r w:rsidRPr="00575C8B">
              <w:t>repelentais</w:t>
            </w:r>
            <w:proofErr w:type="spellEnd"/>
            <w:r w:rsidRPr="00575C8B">
              <w:t xml:space="preserve"> ir aptveriant tvora. </w:t>
            </w:r>
          </w:p>
        </w:tc>
        <w:tc>
          <w:tcPr>
            <w:tcW w:w="1381" w:type="dxa"/>
            <w:vMerge w:val="restart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75C8B">
              <w:t xml:space="preserve">      </w:t>
            </w:r>
          </w:p>
          <w:p w:rsidR="001246FD" w:rsidRPr="00575C8B" w:rsidRDefault="001246FD" w:rsidP="003E7F18"/>
          <w:p w:rsidR="001246FD" w:rsidRPr="00575C8B" w:rsidRDefault="001246FD" w:rsidP="003E7F18"/>
          <w:p w:rsidR="001246FD" w:rsidRPr="00575C8B" w:rsidRDefault="001246FD" w:rsidP="003E7F18"/>
          <w:p w:rsidR="001246FD" w:rsidRPr="00575C8B" w:rsidRDefault="001246FD" w:rsidP="003E7F18"/>
          <w:p w:rsidR="001246FD" w:rsidRPr="00575C8B" w:rsidRDefault="001246FD" w:rsidP="003E7F18">
            <w:r w:rsidRPr="00575C8B">
              <w:t>16462</w:t>
            </w:r>
          </w:p>
        </w:tc>
      </w:tr>
      <w:tr w:rsidR="001246FD" w:rsidRPr="00575C8B" w:rsidTr="003E7F18">
        <w:trPr>
          <w:trHeight w:val="1515"/>
        </w:trPr>
        <w:tc>
          <w:tcPr>
            <w:tcW w:w="756" w:type="dxa"/>
            <w:vMerge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772" w:type="dxa"/>
            <w:vMerge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</w:pPr>
          </w:p>
        </w:tc>
        <w:tc>
          <w:tcPr>
            <w:tcW w:w="4945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 xml:space="preserve"> VĮ Ukmergės urėdija, 2015 m spalio mėn. skirtas lėšas panaudojo miško želdynų ir želdinių apsaugai nuo medžiojamųjų gyvūnų daromos žalos aptepant juos </w:t>
            </w:r>
            <w:proofErr w:type="spellStart"/>
            <w:r w:rsidRPr="00575C8B">
              <w:t>repelentais</w:t>
            </w:r>
            <w:proofErr w:type="spellEnd"/>
            <w:r w:rsidRPr="00575C8B">
              <w:t>.</w:t>
            </w:r>
          </w:p>
        </w:tc>
        <w:tc>
          <w:tcPr>
            <w:tcW w:w="1381" w:type="dxa"/>
            <w:vMerge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1246FD" w:rsidRPr="00575C8B" w:rsidTr="003E7F18">
        <w:tc>
          <w:tcPr>
            <w:tcW w:w="756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2.1.2.</w:t>
            </w:r>
          </w:p>
        </w:tc>
        <w:tc>
          <w:tcPr>
            <w:tcW w:w="2772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</w:pPr>
            <w:r w:rsidRPr="00575C8B">
              <w:t>Vilkų ūkiniams gyvūnams padarytos žalos atlyginimas</w:t>
            </w:r>
          </w:p>
        </w:tc>
        <w:tc>
          <w:tcPr>
            <w:tcW w:w="4945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  <w:jc w:val="both"/>
            </w:pPr>
            <w:r w:rsidRPr="00575C8B">
              <w:t xml:space="preserve">Molėtų rajono savivaldybės administracija atlygino vilkų padarytą žalą ūkiniams gyvūnams t.y. Kęstučiui </w:t>
            </w:r>
            <w:proofErr w:type="spellStart"/>
            <w:r w:rsidRPr="00575C8B">
              <w:t>Tutinui</w:t>
            </w:r>
            <w:proofErr w:type="spellEnd"/>
            <w:r w:rsidRPr="00575C8B">
              <w:t xml:space="preserve"> už 2015-09-07 Šakių k., </w:t>
            </w:r>
            <w:proofErr w:type="spellStart"/>
            <w:r w:rsidRPr="00575C8B">
              <w:t>Suginčių</w:t>
            </w:r>
            <w:proofErr w:type="spellEnd"/>
            <w:r w:rsidRPr="00575C8B">
              <w:t xml:space="preserve"> sen., Molėtų r. vilkų papjautas 3 avis ir Gintautui Areliui už 2015-06-29 </w:t>
            </w:r>
            <w:proofErr w:type="spellStart"/>
            <w:r w:rsidRPr="00575C8B">
              <w:t>Šliavelių</w:t>
            </w:r>
            <w:proofErr w:type="spellEnd"/>
            <w:r w:rsidRPr="00575C8B">
              <w:t xml:space="preserve"> k., </w:t>
            </w:r>
            <w:proofErr w:type="spellStart"/>
            <w:r w:rsidRPr="00575C8B">
              <w:t>Suginčių</w:t>
            </w:r>
            <w:proofErr w:type="spellEnd"/>
            <w:r w:rsidRPr="00575C8B">
              <w:t xml:space="preserve"> sen., Molėtų r.  vilkų papjautą  telyčią. </w:t>
            </w:r>
          </w:p>
        </w:tc>
        <w:tc>
          <w:tcPr>
            <w:tcW w:w="1381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419</w:t>
            </w:r>
          </w:p>
        </w:tc>
      </w:tr>
      <w:tr w:rsidR="001246FD" w:rsidRPr="00575C8B" w:rsidTr="003E7F18">
        <w:tc>
          <w:tcPr>
            <w:tcW w:w="756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2.2.</w:t>
            </w:r>
          </w:p>
        </w:tc>
        <w:tc>
          <w:tcPr>
            <w:tcW w:w="7717" w:type="dxa"/>
            <w:gridSpan w:val="2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  <w:jc w:val="both"/>
            </w:pPr>
            <w:r w:rsidRPr="00575C8B">
              <w:t xml:space="preserve">Kartografinės ir kitos medžiagos, reikalingos pagal Lietuvos Respublikos medžioklės įstatymo reikalavimus rengiamiems medžioklės plotų vienetų sudarymo ar jų ribų pakeitimo projektų parengimo priemonės </w:t>
            </w:r>
          </w:p>
        </w:tc>
        <w:tc>
          <w:tcPr>
            <w:tcW w:w="1381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0</w:t>
            </w:r>
          </w:p>
        </w:tc>
      </w:tr>
      <w:tr w:rsidR="001246FD" w:rsidRPr="00575C8B" w:rsidTr="003E7F18">
        <w:tc>
          <w:tcPr>
            <w:tcW w:w="756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7717" w:type="dxa"/>
            <w:gridSpan w:val="2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 xml:space="preserve">Iš viso: </w:t>
            </w:r>
          </w:p>
        </w:tc>
        <w:tc>
          <w:tcPr>
            <w:tcW w:w="1381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16881</w:t>
            </w:r>
          </w:p>
        </w:tc>
      </w:tr>
    </w:tbl>
    <w:p w:rsidR="001246FD" w:rsidRPr="00575C8B" w:rsidRDefault="001246FD" w:rsidP="001246FD">
      <w:pPr>
        <w:autoSpaceDE w:val="0"/>
        <w:autoSpaceDN w:val="0"/>
        <w:adjustRightInd w:val="0"/>
        <w:jc w:val="both"/>
      </w:pPr>
    </w:p>
    <w:p w:rsidR="001246FD" w:rsidRPr="00575C8B" w:rsidRDefault="001246FD" w:rsidP="001246FD">
      <w:pPr>
        <w:autoSpaceDE w:val="0"/>
        <w:autoSpaceDN w:val="0"/>
        <w:adjustRightInd w:val="0"/>
        <w:jc w:val="both"/>
        <w:rPr>
          <w:color w:val="000000"/>
        </w:rPr>
      </w:pPr>
    </w:p>
    <w:p w:rsidR="001246FD" w:rsidRPr="00575C8B" w:rsidRDefault="001246FD" w:rsidP="001246FD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575C8B">
        <w:rPr>
          <w:color w:val="000000"/>
        </w:rPr>
        <w:t>3. Programos lėšos, skirtos Savivaldybės visuomenės sveikatos rėmimo specialiajai programai:</w:t>
      </w:r>
    </w:p>
    <w:p w:rsidR="001246FD" w:rsidRPr="00575C8B" w:rsidRDefault="001246FD" w:rsidP="001246FD">
      <w:pPr>
        <w:autoSpaceDE w:val="0"/>
        <w:autoSpaceDN w:val="0"/>
        <w:adjustRightInd w:val="0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793"/>
        <w:gridCol w:w="2268"/>
      </w:tblGrid>
      <w:tr w:rsidR="001246FD" w:rsidRPr="00575C8B" w:rsidTr="003E7F18">
        <w:tc>
          <w:tcPr>
            <w:tcW w:w="7621" w:type="dxa"/>
            <w:gridSpan w:val="2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75C8B">
              <w:rPr>
                <w:color w:val="000000"/>
              </w:rPr>
              <w:t>Programos pavadinimas</w:t>
            </w:r>
          </w:p>
        </w:tc>
        <w:tc>
          <w:tcPr>
            <w:tcW w:w="2268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75C8B">
              <w:rPr>
                <w:color w:val="000000"/>
              </w:rPr>
              <w:t xml:space="preserve">Panaudota lėšų, </w:t>
            </w:r>
            <w:proofErr w:type="spellStart"/>
            <w:r w:rsidRPr="00575C8B">
              <w:rPr>
                <w:color w:val="000000"/>
              </w:rPr>
              <w:t>Eur</w:t>
            </w:r>
            <w:proofErr w:type="spellEnd"/>
          </w:p>
        </w:tc>
      </w:tr>
      <w:tr w:rsidR="001246FD" w:rsidRPr="00575C8B" w:rsidTr="003E7F18">
        <w:tc>
          <w:tcPr>
            <w:tcW w:w="828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75C8B">
              <w:rPr>
                <w:color w:val="000000"/>
              </w:rPr>
              <w:t xml:space="preserve">3.1. </w:t>
            </w:r>
          </w:p>
        </w:tc>
        <w:tc>
          <w:tcPr>
            <w:tcW w:w="6793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color w:val="000000"/>
              </w:rPr>
            </w:pPr>
            <w:r w:rsidRPr="00575C8B">
              <w:rPr>
                <w:color w:val="000000"/>
              </w:rPr>
              <w:t xml:space="preserve">Savivaldybės visuomenės </w:t>
            </w:r>
            <w:smartTag w:uri="urn:schemas-microsoft-com:office:smarttags" w:element="PersonName">
              <w:r w:rsidRPr="00575C8B">
                <w:rPr>
                  <w:color w:val="000000"/>
                </w:rPr>
                <w:t>sveikatos</w:t>
              </w:r>
            </w:smartTag>
            <w:r w:rsidRPr="00575C8B">
              <w:rPr>
                <w:color w:val="000000"/>
              </w:rPr>
              <w:t xml:space="preserve"> rėmimo specialioji programa</w:t>
            </w:r>
          </w:p>
        </w:tc>
        <w:tc>
          <w:tcPr>
            <w:tcW w:w="2268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75C8B">
              <w:rPr>
                <w:color w:val="000000"/>
              </w:rPr>
              <w:t>3216</w:t>
            </w:r>
          </w:p>
        </w:tc>
      </w:tr>
    </w:tbl>
    <w:p w:rsidR="001246FD" w:rsidRPr="00575C8B" w:rsidRDefault="001246FD" w:rsidP="001246FD">
      <w:pPr>
        <w:autoSpaceDE w:val="0"/>
        <w:autoSpaceDN w:val="0"/>
        <w:adjustRightInd w:val="0"/>
        <w:jc w:val="both"/>
      </w:pPr>
    </w:p>
    <w:p w:rsidR="001246FD" w:rsidRPr="00575C8B" w:rsidRDefault="001246FD" w:rsidP="001246FD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575C8B">
        <w:t>4.</w:t>
      </w:r>
      <w:r w:rsidRPr="00575C8B">
        <w:rPr>
          <w:color w:val="000000"/>
        </w:rPr>
        <w:t xml:space="preserve"> Kitos aplinkosaugos priemonės, kurioms įgyvendinti panaudotos Programos lėšos:</w:t>
      </w:r>
    </w:p>
    <w:p w:rsidR="001246FD" w:rsidRPr="00575C8B" w:rsidRDefault="001246FD" w:rsidP="001246FD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2771"/>
        <w:gridCol w:w="5125"/>
        <w:gridCol w:w="1381"/>
      </w:tblGrid>
      <w:tr w:rsidR="001246FD" w:rsidRPr="00575C8B" w:rsidTr="003E7F18">
        <w:trPr>
          <w:tblHeader/>
        </w:trPr>
        <w:tc>
          <w:tcPr>
            <w:tcW w:w="757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Eil. Nr.</w:t>
            </w:r>
          </w:p>
        </w:tc>
        <w:tc>
          <w:tcPr>
            <w:tcW w:w="2771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75C8B">
              <w:rPr>
                <w:color w:val="000000"/>
              </w:rPr>
              <w:t>Priemonės pavadinimas</w:t>
            </w:r>
          </w:p>
        </w:tc>
        <w:tc>
          <w:tcPr>
            <w:tcW w:w="5125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  <w:jc w:val="both"/>
            </w:pPr>
            <w:r w:rsidRPr="00575C8B">
              <w:t>Detalus priemonės vykdymo aprašymas</w:t>
            </w:r>
          </w:p>
        </w:tc>
        <w:tc>
          <w:tcPr>
            <w:tcW w:w="1381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 xml:space="preserve">Panaudota lėšų, </w:t>
            </w:r>
            <w:proofErr w:type="spellStart"/>
            <w:r w:rsidRPr="00575C8B">
              <w:t>Eur</w:t>
            </w:r>
            <w:proofErr w:type="spellEnd"/>
          </w:p>
        </w:tc>
      </w:tr>
      <w:tr w:rsidR="001246FD" w:rsidRPr="00575C8B" w:rsidTr="003E7F18">
        <w:tc>
          <w:tcPr>
            <w:tcW w:w="757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4.1.</w:t>
            </w:r>
          </w:p>
        </w:tc>
        <w:tc>
          <w:tcPr>
            <w:tcW w:w="7896" w:type="dxa"/>
            <w:gridSpan w:val="2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575C8B">
              <w:t>Aplinkos kokybės gerinimo ir apsaugos priemonės:</w:t>
            </w:r>
          </w:p>
        </w:tc>
        <w:tc>
          <w:tcPr>
            <w:tcW w:w="1381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1246FD" w:rsidRPr="00575C8B" w:rsidTr="003E7F18">
        <w:tc>
          <w:tcPr>
            <w:tcW w:w="757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4.1.1.</w:t>
            </w:r>
          </w:p>
        </w:tc>
        <w:tc>
          <w:tcPr>
            <w:tcW w:w="2771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575C8B">
              <w:t xml:space="preserve">Savivaldybei patikėjimo teise perleistų vandens telkinių </w:t>
            </w:r>
            <w:proofErr w:type="spellStart"/>
            <w:r w:rsidRPr="00575C8B">
              <w:t>įžuvinimo</w:t>
            </w:r>
            <w:proofErr w:type="spellEnd"/>
            <w:r w:rsidRPr="00575C8B">
              <w:t xml:space="preserve"> ir žuvų gelbėjimo, jų dusimo atveju, darbai</w:t>
            </w:r>
          </w:p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</w:p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</w:p>
        </w:tc>
        <w:tc>
          <w:tcPr>
            <w:tcW w:w="5125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</w:p>
        </w:tc>
        <w:tc>
          <w:tcPr>
            <w:tcW w:w="1381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0</w:t>
            </w:r>
          </w:p>
        </w:tc>
      </w:tr>
      <w:tr w:rsidR="001246FD" w:rsidRPr="00575C8B" w:rsidTr="003E7F18">
        <w:tc>
          <w:tcPr>
            <w:tcW w:w="757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4.1.2.</w:t>
            </w:r>
          </w:p>
        </w:tc>
        <w:tc>
          <w:tcPr>
            <w:tcW w:w="2771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575C8B">
              <w:t xml:space="preserve">Savivaldybės teritorijoje </w:t>
            </w:r>
            <w:r w:rsidRPr="00575C8B">
              <w:lastRenderedPageBreak/>
              <w:t>esančių valstybės saugomų teritorijų apsaugos ir tvarkymo darbai</w:t>
            </w:r>
          </w:p>
        </w:tc>
        <w:tc>
          <w:tcPr>
            <w:tcW w:w="5125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75C8B">
              <w:lastRenderedPageBreak/>
              <w:t xml:space="preserve">Asvejos regioninio parko ir Aukštaitijos </w:t>
            </w:r>
            <w:r w:rsidRPr="00575C8B">
              <w:lastRenderedPageBreak/>
              <w:t>nacionalinio parko ir Labanoro regioninio parko direkcijos 2015 m. skirtas lėšas panaudojo trumpalaikio sustojimo ir poilsio vietų, esančių parkų teritorijose, tvarkymui, aplinkos tvarkymo įrankiams įsigyti ir aplinkos tvarkymo technikai eksploatuoti.</w:t>
            </w:r>
          </w:p>
        </w:tc>
        <w:tc>
          <w:tcPr>
            <w:tcW w:w="1381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lastRenderedPageBreak/>
              <w:t>1200</w:t>
            </w:r>
          </w:p>
        </w:tc>
      </w:tr>
      <w:tr w:rsidR="001246FD" w:rsidRPr="00575C8B" w:rsidTr="003E7F18">
        <w:tc>
          <w:tcPr>
            <w:tcW w:w="757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lastRenderedPageBreak/>
              <w:t>4.2.</w:t>
            </w:r>
          </w:p>
        </w:tc>
        <w:tc>
          <w:tcPr>
            <w:tcW w:w="7896" w:type="dxa"/>
            <w:gridSpan w:val="2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575C8B">
              <w:t>Atliekų tvarkymo infrastruktūros plėtros priemonės:</w:t>
            </w:r>
          </w:p>
        </w:tc>
        <w:tc>
          <w:tcPr>
            <w:tcW w:w="1381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1246FD" w:rsidRPr="00575C8B" w:rsidTr="003E7F18">
        <w:tc>
          <w:tcPr>
            <w:tcW w:w="757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4.2.1.</w:t>
            </w:r>
          </w:p>
        </w:tc>
        <w:tc>
          <w:tcPr>
            <w:tcW w:w="2771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575C8B">
              <w:t>Atliekų tvarkymo planų ir kitų dokumentų rengimas</w:t>
            </w:r>
          </w:p>
        </w:tc>
        <w:tc>
          <w:tcPr>
            <w:tcW w:w="5125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575C8B">
              <w:t>Molėtų rajono savivaldybės administracija 2015 m. kovo 30 d. apmokėjo UAB „</w:t>
            </w:r>
            <w:proofErr w:type="spellStart"/>
            <w:r w:rsidRPr="00575C8B">
              <w:t>Ekokonsultacijos</w:t>
            </w:r>
            <w:proofErr w:type="spellEnd"/>
            <w:r w:rsidRPr="00575C8B">
              <w:t>“ už Molėtų rajono savivaldybės atliekų tvarkymo plano 2014-2020 m. laikotarpiui ir Molėtų rajono savivaldybės atliekų tvarkymo taisyklių rengimo paslaugas pagal 2014 m. gegužės 19 d. sutartį Nr. A14-230 ir 2014 m. gruodžio 1 d. Susitarimą Nr.  dėl sutarties Nr. A14-230 pakeitimo.</w:t>
            </w:r>
          </w:p>
        </w:tc>
        <w:tc>
          <w:tcPr>
            <w:tcW w:w="1381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7219</w:t>
            </w:r>
          </w:p>
        </w:tc>
      </w:tr>
      <w:tr w:rsidR="001246FD" w:rsidRPr="00575C8B" w:rsidTr="003E7F18">
        <w:tc>
          <w:tcPr>
            <w:tcW w:w="757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4.2.2.</w:t>
            </w:r>
          </w:p>
        </w:tc>
        <w:tc>
          <w:tcPr>
            <w:tcW w:w="2771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575C8B">
              <w:t>Komunalinių atliekų rūšiavimui jų susidarymo vietose skirtų priemonių įsigijimas ir jų transportavimas į eksploatacijos vietas ir (ar) atliekų surinkimo iš viešųjų teritorijų priemonių įsigijimas</w:t>
            </w:r>
          </w:p>
        </w:tc>
        <w:tc>
          <w:tcPr>
            <w:tcW w:w="5125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</w:p>
        </w:tc>
        <w:tc>
          <w:tcPr>
            <w:tcW w:w="1381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0</w:t>
            </w:r>
          </w:p>
        </w:tc>
      </w:tr>
      <w:tr w:rsidR="001246FD" w:rsidRPr="00575C8B" w:rsidTr="003E7F18">
        <w:tc>
          <w:tcPr>
            <w:tcW w:w="757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4.3.</w:t>
            </w:r>
          </w:p>
        </w:tc>
        <w:tc>
          <w:tcPr>
            <w:tcW w:w="7896" w:type="dxa"/>
            <w:gridSpan w:val="2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575C8B">
              <w:rPr>
                <w:color w:val="000000"/>
              </w:rPr>
              <w:t>Atliekų, kurių turėtojo nustatyti neįmanoma arba kuris nebeegzistuoja, tvarkymo priemonė:</w:t>
            </w:r>
          </w:p>
        </w:tc>
        <w:tc>
          <w:tcPr>
            <w:tcW w:w="1381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1246FD" w:rsidRPr="00575C8B" w:rsidTr="003E7F18">
        <w:tc>
          <w:tcPr>
            <w:tcW w:w="757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4.3.1.</w:t>
            </w:r>
          </w:p>
        </w:tc>
        <w:tc>
          <w:tcPr>
            <w:tcW w:w="2771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575C8B">
              <w:rPr>
                <w:color w:val="000000"/>
              </w:rPr>
              <w:t>Surinkimo, transportavimo, perdirbimo, kitokio naudojimo ar šalinimo darbų finansavimas</w:t>
            </w:r>
          </w:p>
        </w:tc>
        <w:tc>
          <w:tcPr>
            <w:tcW w:w="5125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</w:p>
        </w:tc>
        <w:tc>
          <w:tcPr>
            <w:tcW w:w="1381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0</w:t>
            </w:r>
          </w:p>
        </w:tc>
      </w:tr>
      <w:tr w:rsidR="001246FD" w:rsidRPr="00575C8B" w:rsidTr="003E7F18">
        <w:tc>
          <w:tcPr>
            <w:tcW w:w="757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4.4.</w:t>
            </w:r>
          </w:p>
        </w:tc>
        <w:tc>
          <w:tcPr>
            <w:tcW w:w="7896" w:type="dxa"/>
            <w:gridSpan w:val="2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575C8B">
              <w:rPr>
                <w:color w:val="000000"/>
              </w:rPr>
              <w:t>Aplinkos monitoringo, prevencinės, aplinkos atkūrimo priemonės:</w:t>
            </w:r>
          </w:p>
        </w:tc>
        <w:tc>
          <w:tcPr>
            <w:tcW w:w="1381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1246FD" w:rsidRPr="00575C8B" w:rsidTr="003E7F18">
        <w:tc>
          <w:tcPr>
            <w:tcW w:w="757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4.4.1</w:t>
            </w:r>
          </w:p>
        </w:tc>
        <w:tc>
          <w:tcPr>
            <w:tcW w:w="2771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575C8B">
              <w:t>Įrenginių, įrangos, priemonių, reikalingų aplinkos būklei stebėti įsigijimo finansavimas</w:t>
            </w:r>
          </w:p>
        </w:tc>
        <w:tc>
          <w:tcPr>
            <w:tcW w:w="5125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</w:p>
        </w:tc>
        <w:tc>
          <w:tcPr>
            <w:tcW w:w="1381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0</w:t>
            </w:r>
          </w:p>
        </w:tc>
      </w:tr>
      <w:tr w:rsidR="001246FD" w:rsidRPr="00575C8B" w:rsidTr="003E7F18">
        <w:tc>
          <w:tcPr>
            <w:tcW w:w="757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4.4.2.</w:t>
            </w:r>
          </w:p>
        </w:tc>
        <w:tc>
          <w:tcPr>
            <w:tcW w:w="2771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575C8B">
              <w:t xml:space="preserve">Ekstremalių ekologinių situacijų, avarijų, įvykių padarinių likvidavimo darbų, bei </w:t>
            </w:r>
            <w:proofErr w:type="spellStart"/>
            <w:r w:rsidRPr="00575C8B">
              <w:t>sorbentų</w:t>
            </w:r>
            <w:proofErr w:type="spellEnd"/>
            <w:r w:rsidRPr="00575C8B">
              <w:t xml:space="preserve"> ir kitų priemonių, reikalingų avarijų padariniams likviduoti įsigijimo finansavimas</w:t>
            </w:r>
          </w:p>
        </w:tc>
        <w:tc>
          <w:tcPr>
            <w:tcW w:w="5125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575C8B">
              <w:rPr>
                <w:color w:val="000000"/>
              </w:rPr>
              <w:t xml:space="preserve">Molėtų rajono savivaldybės administracija 2015 m. gruodžio 31 d. įsigijo ekstremalių ekologinių situacijų, avarijų, įvykių padarinių likvidavimo priemonę - užtvarinę daugkartinio naudojimo </w:t>
            </w:r>
            <w:smartTag w:uri="urn:schemas-microsoft-com:office:smarttags" w:element="metricconverter">
              <w:smartTagPr>
                <w:attr w:name="ProductID" w:val="15 metrų"/>
              </w:smartTagPr>
              <w:r w:rsidRPr="00575C8B">
                <w:rPr>
                  <w:color w:val="000000"/>
                </w:rPr>
                <w:t>15 metrų</w:t>
              </w:r>
            </w:smartTag>
            <w:r w:rsidRPr="00575C8B">
              <w:rPr>
                <w:color w:val="000000"/>
              </w:rPr>
              <w:t xml:space="preserve"> ilgio </w:t>
            </w:r>
            <w:proofErr w:type="spellStart"/>
            <w:r w:rsidRPr="00575C8B">
              <w:rPr>
                <w:color w:val="000000"/>
              </w:rPr>
              <w:t>boną</w:t>
            </w:r>
            <w:proofErr w:type="spellEnd"/>
            <w:r w:rsidRPr="00575C8B">
              <w:rPr>
                <w:color w:val="000000"/>
              </w:rPr>
              <w:t>.</w:t>
            </w:r>
          </w:p>
        </w:tc>
        <w:tc>
          <w:tcPr>
            <w:tcW w:w="1381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1223</w:t>
            </w:r>
          </w:p>
        </w:tc>
      </w:tr>
      <w:tr w:rsidR="001246FD" w:rsidRPr="00575C8B" w:rsidTr="003E7F18">
        <w:tc>
          <w:tcPr>
            <w:tcW w:w="757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4.5.</w:t>
            </w:r>
          </w:p>
        </w:tc>
        <w:tc>
          <w:tcPr>
            <w:tcW w:w="7896" w:type="dxa"/>
            <w:gridSpan w:val="2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575C8B">
              <w:rPr>
                <w:color w:val="000000"/>
              </w:rPr>
              <w:t>Visuomenės švietimo ir mokymo aplinkosaugos klausimais priemonės:</w:t>
            </w:r>
          </w:p>
        </w:tc>
        <w:tc>
          <w:tcPr>
            <w:tcW w:w="1381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1246FD" w:rsidRPr="00575C8B" w:rsidTr="003E7F18">
        <w:tc>
          <w:tcPr>
            <w:tcW w:w="757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4.5.1.</w:t>
            </w:r>
          </w:p>
        </w:tc>
        <w:tc>
          <w:tcPr>
            <w:tcW w:w="2771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575C8B">
              <w:t xml:space="preserve">Knygų, plakatų, lankstinukų, bukletų, skrajučių ir spaudinių (laikraščiai ir žurnalai) aplinkosaugine tema </w:t>
            </w:r>
            <w:r w:rsidRPr="00575C8B">
              <w:lastRenderedPageBreak/>
              <w:t>spausdinimo (leidybos), įsigijimo, platinimo darbų finansavimas</w:t>
            </w:r>
          </w:p>
        </w:tc>
        <w:tc>
          <w:tcPr>
            <w:tcW w:w="5125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575C8B">
              <w:rPr>
                <w:color w:val="000000"/>
              </w:rPr>
              <w:lastRenderedPageBreak/>
              <w:t xml:space="preserve">Molėtų rajono savivaldybės administracija 2015 m. gruodžio mėn. užsakė ir apmokėjo 2016 m. aplinkosauginių leidinių („Žurnalas apie gamtą“, „Lututė“, „Paukščiai“, „Žūklė“, „ Medžiotojas ir medžioklė“, „ Žaliasis pasaulis“, „ Žalioji </w:t>
            </w:r>
            <w:r w:rsidRPr="00575C8B">
              <w:rPr>
                <w:color w:val="000000"/>
              </w:rPr>
              <w:lastRenderedPageBreak/>
              <w:t>Lietuva“) prenumeratą švietimo įstaigoms ir bibliotekoms.</w:t>
            </w:r>
          </w:p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</w:p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</w:p>
        </w:tc>
        <w:tc>
          <w:tcPr>
            <w:tcW w:w="1381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lastRenderedPageBreak/>
              <w:t>388</w:t>
            </w:r>
          </w:p>
        </w:tc>
      </w:tr>
      <w:tr w:rsidR="001246FD" w:rsidRPr="00575C8B" w:rsidTr="003E7F18">
        <w:tc>
          <w:tcPr>
            <w:tcW w:w="757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lastRenderedPageBreak/>
              <w:t>4.5.2.</w:t>
            </w:r>
          </w:p>
        </w:tc>
        <w:tc>
          <w:tcPr>
            <w:tcW w:w="2771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575C8B">
              <w:t>Tikslinių grupių (švietimo įstaigos, neformalaus ugdymo įstaigos, nevyriausybinės organizacijos, bendruomenės ir kt.) vykdomos aplinkosauginės veiklos, aplinkosauginių programų, projektų įgyvendinimo darbų finansavimas</w:t>
            </w:r>
          </w:p>
        </w:tc>
        <w:tc>
          <w:tcPr>
            <w:tcW w:w="5125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575C8B">
              <w:rPr>
                <w:color w:val="000000"/>
              </w:rPr>
              <w:t xml:space="preserve">Molėtų rajono savivaldybės administracija 2015 m. rugpjūčio 14 d.  lėšas skyrė Molėtų gimnazijai 2015 m. gamtosauginės programos vykdymui reikalingoms priemonėms įsigyti.  </w:t>
            </w:r>
          </w:p>
        </w:tc>
        <w:tc>
          <w:tcPr>
            <w:tcW w:w="1381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580</w:t>
            </w:r>
          </w:p>
        </w:tc>
      </w:tr>
      <w:tr w:rsidR="001246FD" w:rsidRPr="00575C8B" w:rsidTr="003E7F18">
        <w:tc>
          <w:tcPr>
            <w:tcW w:w="757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4.6.</w:t>
            </w:r>
          </w:p>
        </w:tc>
        <w:tc>
          <w:tcPr>
            <w:tcW w:w="7896" w:type="dxa"/>
            <w:gridSpan w:val="2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575C8B">
              <w:rPr>
                <w:color w:val="000000"/>
              </w:rPr>
              <w:t xml:space="preserve">Želdynų ir želdinių apsaugos, tvarkymo, būklės </w:t>
            </w:r>
            <w:proofErr w:type="spellStart"/>
            <w:r w:rsidRPr="00575C8B">
              <w:rPr>
                <w:color w:val="000000"/>
              </w:rPr>
              <w:t>stebėsenos</w:t>
            </w:r>
            <w:proofErr w:type="spellEnd"/>
            <w:r w:rsidRPr="00575C8B">
              <w:rPr>
                <w:color w:val="000000"/>
              </w:rPr>
              <w:t>, želdynų kūrimo, želdinių veisimo ir inventorizavimo priemonės:</w:t>
            </w:r>
          </w:p>
        </w:tc>
        <w:tc>
          <w:tcPr>
            <w:tcW w:w="1381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1246FD" w:rsidRPr="00575C8B" w:rsidTr="003E7F18">
        <w:tc>
          <w:tcPr>
            <w:tcW w:w="757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4.6.1.</w:t>
            </w:r>
          </w:p>
        </w:tc>
        <w:tc>
          <w:tcPr>
            <w:tcW w:w="2771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575C8B">
              <w:rPr>
                <w:color w:val="000000"/>
              </w:rPr>
              <w:t>Naujų želdinių įsigijimas ir veisimas ir (arba) pavojų keliančių medžių šalinimo darbai</w:t>
            </w:r>
          </w:p>
        </w:tc>
        <w:tc>
          <w:tcPr>
            <w:tcW w:w="5125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575C8B">
              <w:rPr>
                <w:color w:val="000000"/>
              </w:rPr>
              <w:t xml:space="preserve">Molėtų rajono savivaldybės administracija 2015 m. balandžio 23 d. įsigijo 100 vnt. kadagių, 15 vnt. klevų, 5 vnt. </w:t>
            </w:r>
            <w:proofErr w:type="spellStart"/>
            <w:r w:rsidRPr="00575C8B">
              <w:rPr>
                <w:color w:val="000000"/>
              </w:rPr>
              <w:t>mažalapių</w:t>
            </w:r>
            <w:proofErr w:type="spellEnd"/>
            <w:r w:rsidRPr="00575C8B">
              <w:rPr>
                <w:color w:val="000000"/>
              </w:rPr>
              <w:t xml:space="preserve"> liepų, 3 vnt. obelų, 35 vnt. </w:t>
            </w:r>
            <w:proofErr w:type="spellStart"/>
            <w:r w:rsidRPr="00575C8B">
              <w:rPr>
                <w:color w:val="000000"/>
              </w:rPr>
              <w:t>raugerkšnių</w:t>
            </w:r>
            <w:proofErr w:type="spellEnd"/>
            <w:r w:rsidRPr="00575C8B">
              <w:rPr>
                <w:color w:val="000000"/>
              </w:rPr>
              <w:t xml:space="preserve"> Molėtų miesto Jaunimo aikštės  apželdinimui.</w:t>
            </w:r>
          </w:p>
        </w:tc>
        <w:tc>
          <w:tcPr>
            <w:tcW w:w="1381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2974</w:t>
            </w:r>
          </w:p>
        </w:tc>
      </w:tr>
      <w:tr w:rsidR="001246FD" w:rsidRPr="00575C8B" w:rsidTr="003E7F18">
        <w:tc>
          <w:tcPr>
            <w:tcW w:w="757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771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575C8B">
              <w:rPr>
                <w:color w:val="000000"/>
              </w:rPr>
              <w:t>Iš viso:</w:t>
            </w:r>
          </w:p>
        </w:tc>
        <w:tc>
          <w:tcPr>
            <w:tcW w:w="5125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</w:p>
        </w:tc>
        <w:tc>
          <w:tcPr>
            <w:tcW w:w="1381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13584</w:t>
            </w:r>
          </w:p>
        </w:tc>
      </w:tr>
    </w:tbl>
    <w:p w:rsidR="001246FD" w:rsidRPr="00575C8B" w:rsidRDefault="001246FD" w:rsidP="001246FD">
      <w:pPr>
        <w:autoSpaceDE w:val="0"/>
        <w:autoSpaceDN w:val="0"/>
        <w:adjustRightInd w:val="0"/>
        <w:jc w:val="both"/>
      </w:pPr>
    </w:p>
    <w:p w:rsidR="001246FD" w:rsidRPr="00575C8B" w:rsidRDefault="001246FD" w:rsidP="001246FD">
      <w:pPr>
        <w:autoSpaceDE w:val="0"/>
        <w:autoSpaceDN w:val="0"/>
        <w:adjustRightInd w:val="0"/>
        <w:jc w:val="both"/>
      </w:pPr>
    </w:p>
    <w:p w:rsidR="001246FD" w:rsidRPr="00575C8B" w:rsidRDefault="001246FD" w:rsidP="001246FD">
      <w:pPr>
        <w:autoSpaceDE w:val="0"/>
        <w:autoSpaceDN w:val="0"/>
        <w:adjustRightInd w:val="0"/>
        <w:ind w:firstLine="851"/>
        <w:jc w:val="both"/>
      </w:pPr>
      <w:r w:rsidRPr="00575C8B">
        <w:t>5. Ataskaitinio laikotarpio Programos lėšų likučiai (nepanaudotos lėšos):</w:t>
      </w:r>
    </w:p>
    <w:p w:rsidR="001246FD" w:rsidRPr="00575C8B" w:rsidRDefault="001246FD" w:rsidP="001246FD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6"/>
        <w:gridCol w:w="7776"/>
        <w:gridCol w:w="1382"/>
      </w:tblGrid>
      <w:tr w:rsidR="001246FD" w:rsidRPr="00575C8B" w:rsidTr="003E7F18">
        <w:tc>
          <w:tcPr>
            <w:tcW w:w="696" w:type="dxa"/>
            <w:gridSpan w:val="2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Eil. Nr.</w:t>
            </w:r>
          </w:p>
        </w:tc>
        <w:tc>
          <w:tcPr>
            <w:tcW w:w="7776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Programos priemonių grupės pavadinimas</w:t>
            </w:r>
          </w:p>
        </w:tc>
        <w:tc>
          <w:tcPr>
            <w:tcW w:w="1382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 xml:space="preserve">Lėšų likutis, </w:t>
            </w:r>
            <w:proofErr w:type="spellStart"/>
            <w:r w:rsidRPr="00575C8B">
              <w:t>Eur</w:t>
            </w:r>
            <w:proofErr w:type="spellEnd"/>
          </w:p>
        </w:tc>
      </w:tr>
      <w:tr w:rsidR="001246FD" w:rsidRPr="00575C8B" w:rsidTr="003E7F18">
        <w:tc>
          <w:tcPr>
            <w:tcW w:w="696" w:type="dxa"/>
            <w:gridSpan w:val="2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5.1.</w:t>
            </w:r>
          </w:p>
        </w:tc>
        <w:tc>
          <w:tcPr>
            <w:tcW w:w="7776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75C8B">
              <w:t>Programos priemonių grupė, kuriai naudojamos lėšos, surinktos už medžiojamųjų gyvūnų išteklių naudojimą (1.8–2)</w:t>
            </w:r>
          </w:p>
        </w:tc>
        <w:tc>
          <w:tcPr>
            <w:tcW w:w="1382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6294</w:t>
            </w:r>
          </w:p>
        </w:tc>
      </w:tr>
      <w:tr w:rsidR="001246FD" w:rsidRPr="00575C8B" w:rsidTr="003E7F18">
        <w:tc>
          <w:tcPr>
            <w:tcW w:w="696" w:type="dxa"/>
            <w:gridSpan w:val="2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5.2.</w:t>
            </w:r>
          </w:p>
        </w:tc>
        <w:tc>
          <w:tcPr>
            <w:tcW w:w="7776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rPr>
                <w:color w:val="000000"/>
              </w:rPr>
              <w:t xml:space="preserve">Savivaldybės visuomenės sveikatos rėmimo specialioji programa </w:t>
            </w:r>
            <w:r w:rsidRPr="00575C8B">
              <w:t>(1.12–3)</w:t>
            </w:r>
          </w:p>
        </w:tc>
        <w:tc>
          <w:tcPr>
            <w:tcW w:w="1382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1523</w:t>
            </w:r>
          </w:p>
        </w:tc>
      </w:tr>
      <w:tr w:rsidR="001246FD" w:rsidRPr="00575C8B" w:rsidTr="003E7F18">
        <w:tc>
          <w:tcPr>
            <w:tcW w:w="696" w:type="dxa"/>
            <w:gridSpan w:val="2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5.3.</w:t>
            </w:r>
          </w:p>
        </w:tc>
        <w:tc>
          <w:tcPr>
            <w:tcW w:w="7776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Kitų Programos aplinkosaugos priemonių grupė (1.15–4)</w:t>
            </w:r>
          </w:p>
        </w:tc>
        <w:tc>
          <w:tcPr>
            <w:tcW w:w="1382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15034</w:t>
            </w:r>
          </w:p>
        </w:tc>
      </w:tr>
      <w:tr w:rsidR="001246FD" w:rsidRPr="00575C8B" w:rsidTr="003E7F18">
        <w:tc>
          <w:tcPr>
            <w:tcW w:w="690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5.4.</w:t>
            </w:r>
          </w:p>
        </w:tc>
        <w:tc>
          <w:tcPr>
            <w:tcW w:w="7782" w:type="dxa"/>
            <w:gridSpan w:val="2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 xml:space="preserve">Iš viso: </w:t>
            </w:r>
          </w:p>
        </w:tc>
        <w:tc>
          <w:tcPr>
            <w:tcW w:w="1382" w:type="dxa"/>
          </w:tcPr>
          <w:p w:rsidR="001246FD" w:rsidRPr="00575C8B" w:rsidRDefault="001246FD" w:rsidP="003E7F1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22851</w:t>
            </w:r>
          </w:p>
        </w:tc>
      </w:tr>
    </w:tbl>
    <w:p w:rsidR="001246FD" w:rsidRPr="00575C8B" w:rsidRDefault="001246FD" w:rsidP="001246FD">
      <w:pPr>
        <w:tabs>
          <w:tab w:val="left" w:pos="1674"/>
        </w:tabs>
      </w:pPr>
    </w:p>
    <w:p w:rsidR="001246FD" w:rsidRPr="00575C8B" w:rsidRDefault="001246FD" w:rsidP="001246FD">
      <w:pPr>
        <w:tabs>
          <w:tab w:val="left" w:pos="1674"/>
        </w:tabs>
        <w:spacing w:line="360" w:lineRule="auto"/>
      </w:pPr>
    </w:p>
    <w:p w:rsidR="001246FD" w:rsidRPr="00575C8B" w:rsidRDefault="001246FD" w:rsidP="001246FD">
      <w:pPr>
        <w:jc w:val="center"/>
      </w:pPr>
      <w:r w:rsidRPr="00575C8B">
        <w:t>___________________________</w:t>
      </w:r>
    </w:p>
    <w:p w:rsidR="001246FD" w:rsidRDefault="001246FD" w:rsidP="001246FD">
      <w:pPr>
        <w:tabs>
          <w:tab w:val="left" w:pos="7513"/>
        </w:tabs>
      </w:pPr>
    </w:p>
    <w:sectPr w:rsidR="001246FD" w:rsidSect="001246FD">
      <w:headerReference w:type="default" r:id="rId10"/>
      <w:headerReference w:type="first" r:id="rId11"/>
      <w:pgSz w:w="11906" w:h="16838" w:code="9"/>
      <w:pgMar w:top="1134" w:right="567" w:bottom="1134" w:left="1701" w:header="851" w:footer="454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FD" w:rsidRDefault="001246FD">
      <w:r>
        <w:separator/>
      </w:r>
    </w:p>
  </w:endnote>
  <w:endnote w:type="continuationSeparator" w:id="0">
    <w:p w:rsidR="001246FD" w:rsidRDefault="0012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FD" w:rsidRDefault="001246FD">
      <w:r>
        <w:separator/>
      </w:r>
    </w:p>
  </w:footnote>
  <w:footnote w:type="continuationSeparator" w:id="0">
    <w:p w:rsidR="001246FD" w:rsidRDefault="00124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46F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FD" w:rsidRDefault="001246F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7723B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1246FD" w:rsidRDefault="001246FD">
    <w:pPr>
      <w:pStyle w:val="Antrats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FD" w:rsidRDefault="001246FD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FD"/>
    <w:rsid w:val="001156B7"/>
    <w:rsid w:val="0012091C"/>
    <w:rsid w:val="001246FD"/>
    <w:rsid w:val="00132437"/>
    <w:rsid w:val="00211F1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67723B"/>
    <w:rsid w:val="00776F64"/>
    <w:rsid w:val="00794407"/>
    <w:rsid w:val="00794C2F"/>
    <w:rsid w:val="007951EA"/>
    <w:rsid w:val="00796C66"/>
    <w:rsid w:val="007A3F5C"/>
    <w:rsid w:val="007C1313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1246F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246FD"/>
    <w:rPr>
      <w:rFonts w:ascii="Tahoma" w:hAnsi="Tahoma" w:cs="Tahoma"/>
      <w:sz w:val="16"/>
      <w:szCs w:val="16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246F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1246F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246FD"/>
    <w:rPr>
      <w:rFonts w:ascii="Tahoma" w:hAnsi="Tahoma" w:cs="Tahoma"/>
      <w:sz w:val="16"/>
      <w:szCs w:val="16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246F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8E50705E2C4C68A0B5CCE0D8578BA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031EC71-2199-49A5-A3B1-698F092E2470}"/>
      </w:docPartPr>
      <w:docPartBody>
        <w:p w:rsidR="008C5100" w:rsidRDefault="008C5100">
          <w:pPr>
            <w:pStyle w:val="918E50705E2C4C68A0B5CCE0D8578BA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00"/>
    <w:rsid w:val="008C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18E50705E2C4C68A0B5CCE0D8578BA7">
    <w:name w:val="918E50705E2C4C68A0B5CCE0D8578B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18E50705E2C4C68A0B5CCE0D8578BA7">
    <w:name w:val="918E50705E2C4C68A0B5CCE0D8578B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</TotalTime>
  <Pages>5</Pages>
  <Words>1103</Words>
  <Characters>7872</Characters>
  <Application>Microsoft Office Word</Application>
  <DocSecurity>0</DocSecurity>
  <Lines>65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Žemaityė Inga</dc:creator>
  <cp:keywords/>
  <dc:description/>
  <cp:lastModifiedBy>Žemaityė Inga</cp:lastModifiedBy>
  <cp:revision>3</cp:revision>
  <cp:lastPrinted>2001-06-05T13:05:00Z</cp:lastPrinted>
  <dcterms:created xsi:type="dcterms:W3CDTF">2016-02-05T07:11:00Z</dcterms:created>
  <dcterms:modified xsi:type="dcterms:W3CDTF">2016-02-05T08:35:00Z</dcterms:modified>
</cp:coreProperties>
</file>