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6D" w:rsidRDefault="00AF626D" w:rsidP="00B600BD">
      <w:pPr>
        <w:jc w:val="center"/>
      </w:pPr>
    </w:p>
    <w:p w:rsidR="004C4EDD" w:rsidRPr="0092123D" w:rsidRDefault="0024683E" w:rsidP="00B600BD">
      <w:pPr>
        <w:jc w:val="center"/>
      </w:pPr>
      <w:r w:rsidRPr="0092123D">
        <w:t>AIŠKINAMASIS RAŠTAS</w:t>
      </w:r>
    </w:p>
    <w:p w:rsidR="000F46AD" w:rsidRPr="00AB638F" w:rsidRDefault="000F46AD" w:rsidP="00B600BD">
      <w:pPr>
        <w:jc w:val="center"/>
        <w:rPr>
          <w:b/>
        </w:rPr>
      </w:pPr>
    </w:p>
    <w:p w:rsidR="007C60FE" w:rsidRPr="0092123D" w:rsidRDefault="004C4EDD" w:rsidP="00B600BD">
      <w:pPr>
        <w:jc w:val="center"/>
      </w:pPr>
      <w:r w:rsidRPr="00AB638F">
        <w:rPr>
          <w:b/>
        </w:rPr>
        <w:t xml:space="preserve"> </w:t>
      </w:r>
      <w:r w:rsidR="000F46AD" w:rsidRPr="00A9602E">
        <w:t>Dėl</w:t>
      </w:r>
      <w:r w:rsidR="00743DE3">
        <w:t xml:space="preserve"> Molėtų rajono savivaldybės 20</w:t>
      </w:r>
      <w:r w:rsidR="00345B95">
        <w:t>20</w:t>
      </w:r>
      <w:r w:rsidR="000F46AD" w:rsidRPr="00A9602E">
        <w:t xml:space="preserve"> m. biudžeto </w:t>
      </w:r>
      <w:r w:rsidR="00A9602E">
        <w:t>patvirtinimo</w:t>
      </w:r>
    </w:p>
    <w:p w:rsidR="007C60FE" w:rsidRPr="00B600BD" w:rsidRDefault="007C60FE">
      <w:pPr>
        <w:rPr>
          <w:b/>
        </w:rPr>
      </w:pPr>
    </w:p>
    <w:p w:rsidR="00BC35FE" w:rsidRDefault="00BC35FE" w:rsidP="00BC35FE">
      <w:pPr>
        <w:spacing w:line="360" w:lineRule="auto"/>
        <w:jc w:val="both"/>
      </w:pPr>
      <w:r>
        <w:rPr>
          <w:b/>
        </w:rPr>
        <w:t xml:space="preserve">1. </w:t>
      </w:r>
      <w:r w:rsidRPr="00BC35FE">
        <w:rPr>
          <w:b/>
        </w:rPr>
        <w:t>Parengto tarybos sprendimo projekto tikslai ir uždaviniai</w:t>
      </w:r>
      <w:r>
        <w:t xml:space="preserve"> </w:t>
      </w:r>
    </w:p>
    <w:p w:rsidR="009454F3" w:rsidRDefault="00743DE3" w:rsidP="00BC35FE">
      <w:pPr>
        <w:spacing w:line="360" w:lineRule="auto"/>
        <w:ind w:firstLine="720"/>
        <w:jc w:val="both"/>
        <w:rPr>
          <w:bCs/>
        </w:rPr>
      </w:pPr>
      <w:r>
        <w:rPr>
          <w:bCs/>
        </w:rPr>
        <w:t>Molėtų rajono savivaldybės 20</w:t>
      </w:r>
      <w:r w:rsidR="00345B95">
        <w:rPr>
          <w:bCs/>
        </w:rPr>
        <w:t>20</w:t>
      </w:r>
      <w:r w:rsidR="00B46A7B" w:rsidRPr="00BC35FE">
        <w:rPr>
          <w:bCs/>
        </w:rPr>
        <w:t xml:space="preserve"> m. b</w:t>
      </w:r>
      <w:r w:rsidR="00B4307E" w:rsidRPr="00BC35FE">
        <w:rPr>
          <w:bCs/>
        </w:rPr>
        <w:t>iudžeto planuojamos</w:t>
      </w:r>
      <w:r w:rsidR="006312FA" w:rsidRPr="00BC35FE">
        <w:rPr>
          <w:bCs/>
        </w:rPr>
        <w:t xml:space="preserve"> p</w:t>
      </w:r>
      <w:r w:rsidR="00B46A7B" w:rsidRPr="00BC35FE">
        <w:rPr>
          <w:bCs/>
        </w:rPr>
        <w:t>ajamos</w:t>
      </w:r>
      <w:r w:rsidR="00A9602E" w:rsidRPr="00BC35FE">
        <w:rPr>
          <w:bCs/>
        </w:rPr>
        <w:t xml:space="preserve"> </w:t>
      </w:r>
      <w:r w:rsidR="00334163">
        <w:rPr>
          <w:bCs/>
        </w:rPr>
        <w:t>–</w:t>
      </w:r>
      <w:r w:rsidR="00D7294E" w:rsidRPr="00BC35FE">
        <w:rPr>
          <w:bCs/>
        </w:rPr>
        <w:t xml:space="preserve"> </w:t>
      </w:r>
      <w:r w:rsidR="00027555">
        <w:rPr>
          <w:bCs/>
        </w:rPr>
        <w:t>22501,5</w:t>
      </w:r>
      <w:r w:rsidR="00A9602E" w:rsidRPr="00BC35FE">
        <w:rPr>
          <w:bCs/>
        </w:rPr>
        <w:t xml:space="preserve"> tūkst. Eur</w:t>
      </w:r>
      <w:r w:rsidR="00334163">
        <w:rPr>
          <w:bCs/>
        </w:rPr>
        <w:t xml:space="preserve"> </w:t>
      </w:r>
      <w:r w:rsidR="00D7294E" w:rsidRPr="00BC35FE">
        <w:rPr>
          <w:bCs/>
        </w:rPr>
        <w:t xml:space="preserve">ir planuojamos skolintis lėšos </w:t>
      </w:r>
      <w:r>
        <w:rPr>
          <w:bCs/>
        </w:rPr>
        <w:t>5</w:t>
      </w:r>
      <w:r w:rsidR="00345B95">
        <w:rPr>
          <w:bCs/>
        </w:rPr>
        <w:t>5</w:t>
      </w:r>
      <w:r>
        <w:rPr>
          <w:bCs/>
        </w:rPr>
        <w:t>0</w:t>
      </w:r>
      <w:r w:rsidR="00D7294E" w:rsidRPr="00BC35FE">
        <w:rPr>
          <w:bCs/>
        </w:rPr>
        <w:t xml:space="preserve"> tūkst. Eur</w:t>
      </w:r>
      <w:r w:rsidR="006312FA" w:rsidRPr="00BC35FE">
        <w:rPr>
          <w:bCs/>
        </w:rPr>
        <w:t xml:space="preserve"> </w:t>
      </w:r>
      <w:r w:rsidR="00FA222A" w:rsidRPr="00BC35FE">
        <w:rPr>
          <w:bCs/>
        </w:rPr>
        <w:t>(1 priedas)</w:t>
      </w:r>
      <w:r w:rsidR="006636B9" w:rsidRPr="00BC35FE">
        <w:rPr>
          <w:bCs/>
        </w:rPr>
        <w:t>, as</w:t>
      </w:r>
      <w:r w:rsidR="00FA222A" w:rsidRPr="00BC35FE">
        <w:rPr>
          <w:bCs/>
        </w:rPr>
        <w:t xml:space="preserve">ignavimai </w:t>
      </w:r>
      <w:r w:rsidR="00B4307E" w:rsidRPr="00BC35FE">
        <w:rPr>
          <w:bCs/>
        </w:rPr>
        <w:t>–</w:t>
      </w:r>
      <w:r w:rsidR="006312FA" w:rsidRPr="00BC35FE">
        <w:rPr>
          <w:bCs/>
        </w:rPr>
        <w:t xml:space="preserve"> </w:t>
      </w:r>
      <w:r w:rsidR="00027555">
        <w:rPr>
          <w:bCs/>
        </w:rPr>
        <w:t>23870</w:t>
      </w:r>
      <w:r w:rsidR="00FC1BB1" w:rsidRPr="00BC35FE">
        <w:rPr>
          <w:bCs/>
        </w:rPr>
        <w:t xml:space="preserve"> tūkst. Eur</w:t>
      </w:r>
      <w:r w:rsidR="006312FA" w:rsidRPr="00BC35FE">
        <w:rPr>
          <w:bCs/>
        </w:rPr>
        <w:t xml:space="preserve"> (</w:t>
      </w:r>
      <w:r w:rsidR="00FA222A" w:rsidRPr="00BC35FE">
        <w:rPr>
          <w:bCs/>
        </w:rPr>
        <w:t>3 priedas)</w:t>
      </w:r>
      <w:r w:rsidR="00A9602E" w:rsidRPr="00BC35FE">
        <w:rPr>
          <w:bCs/>
        </w:rPr>
        <w:t>.</w:t>
      </w:r>
      <w:r w:rsidR="00FC1BB1" w:rsidRPr="00BC35FE">
        <w:rPr>
          <w:bCs/>
        </w:rPr>
        <w:t xml:space="preserve"> </w:t>
      </w:r>
      <w:r>
        <w:rPr>
          <w:bCs/>
        </w:rPr>
        <w:t>20</w:t>
      </w:r>
      <w:r w:rsidR="00345B95">
        <w:rPr>
          <w:bCs/>
        </w:rPr>
        <w:t>20</w:t>
      </w:r>
      <w:r w:rsidR="0092123D" w:rsidRPr="00BC35FE">
        <w:rPr>
          <w:bCs/>
        </w:rPr>
        <w:t xml:space="preserve"> </w:t>
      </w:r>
      <w:r w:rsidR="00BB63B8" w:rsidRPr="00BC35FE">
        <w:rPr>
          <w:bCs/>
        </w:rPr>
        <w:t xml:space="preserve">m. rajono savivaldybės biudžeto pajamos koreguojamos </w:t>
      </w:r>
      <w:r w:rsidR="00345B95">
        <w:rPr>
          <w:bCs/>
        </w:rPr>
        <w:t>818,5</w:t>
      </w:r>
      <w:r w:rsidR="00BB63B8" w:rsidRPr="00BC35FE">
        <w:rPr>
          <w:bCs/>
        </w:rPr>
        <w:t xml:space="preserve"> tūkst. Eur</w:t>
      </w:r>
      <w:r w:rsidR="0092123D" w:rsidRPr="00BC35FE">
        <w:rPr>
          <w:bCs/>
        </w:rPr>
        <w:t xml:space="preserve"> </w:t>
      </w:r>
      <w:r w:rsidR="00A9602E" w:rsidRPr="00BC35FE">
        <w:rPr>
          <w:bCs/>
        </w:rPr>
        <w:t>(</w:t>
      </w:r>
      <w:r>
        <w:rPr>
          <w:bCs/>
        </w:rPr>
        <w:t>201</w:t>
      </w:r>
      <w:r w:rsidR="00345B95">
        <w:rPr>
          <w:bCs/>
        </w:rPr>
        <w:t>9</w:t>
      </w:r>
      <w:r w:rsidR="00BB63B8" w:rsidRPr="00BC35FE">
        <w:rPr>
          <w:bCs/>
        </w:rPr>
        <w:t xml:space="preserve"> m. nepanaudota pajamų dalimi</w:t>
      </w:r>
      <w:r w:rsidR="00A9602E" w:rsidRPr="00BC35FE">
        <w:rPr>
          <w:bCs/>
        </w:rPr>
        <w:t>)</w:t>
      </w:r>
      <w:r w:rsidR="00804A40">
        <w:rPr>
          <w:bCs/>
        </w:rPr>
        <w:t xml:space="preserve">, </w:t>
      </w:r>
      <w:r w:rsidR="00BB63B8" w:rsidRPr="00BC35FE">
        <w:rPr>
          <w:bCs/>
        </w:rPr>
        <w:t xml:space="preserve"> iš kurių </w:t>
      </w:r>
      <w:r w:rsidR="00345B95">
        <w:rPr>
          <w:bCs/>
        </w:rPr>
        <w:t>165,4</w:t>
      </w:r>
      <w:r w:rsidR="00BB63B8" w:rsidRPr="00BC35FE">
        <w:rPr>
          <w:bCs/>
        </w:rPr>
        <w:t xml:space="preserve"> tūkst</w:t>
      </w:r>
      <w:r w:rsidR="00D7294E" w:rsidRPr="00BC35FE">
        <w:rPr>
          <w:bCs/>
        </w:rPr>
        <w:t>.</w:t>
      </w:r>
      <w:r w:rsidR="00BB63B8" w:rsidRPr="00BC35FE">
        <w:rPr>
          <w:bCs/>
        </w:rPr>
        <w:t xml:space="preserve"> Eur planuojama panaudoti tiksliniam finansavimui</w:t>
      </w:r>
      <w:r w:rsidR="00334163">
        <w:rPr>
          <w:bCs/>
        </w:rPr>
        <w:t xml:space="preserve"> (7 priedas)</w:t>
      </w:r>
      <w:r w:rsidR="009454F3">
        <w:rPr>
          <w:bCs/>
        </w:rPr>
        <w:t xml:space="preserve"> ir</w:t>
      </w:r>
      <w:r w:rsidR="00334163">
        <w:rPr>
          <w:bCs/>
        </w:rPr>
        <w:t xml:space="preserve"> </w:t>
      </w:r>
      <w:r w:rsidR="00BB63B8" w:rsidRPr="00BC35FE">
        <w:rPr>
          <w:bCs/>
        </w:rPr>
        <w:t xml:space="preserve">trumpalaikiams </w:t>
      </w:r>
      <w:r>
        <w:rPr>
          <w:bCs/>
        </w:rPr>
        <w:t>įsipareigojimams, buvusiems 201</w:t>
      </w:r>
      <w:r w:rsidR="00345B95">
        <w:rPr>
          <w:bCs/>
        </w:rPr>
        <w:t>9</w:t>
      </w:r>
      <w:r w:rsidR="00BB63B8" w:rsidRPr="00BC35FE">
        <w:rPr>
          <w:bCs/>
        </w:rPr>
        <w:t xml:space="preserve"> m. gruodžio 3</w:t>
      </w:r>
      <w:r w:rsidR="00A9602E" w:rsidRPr="00BC35FE">
        <w:rPr>
          <w:bCs/>
        </w:rPr>
        <w:t>1 d.</w:t>
      </w:r>
      <w:r w:rsidR="002F32BA">
        <w:rPr>
          <w:bCs/>
        </w:rPr>
        <w:t>,</w:t>
      </w:r>
      <w:r w:rsidR="00A9602E" w:rsidRPr="00BC35FE">
        <w:rPr>
          <w:bCs/>
        </w:rPr>
        <w:t xml:space="preserve"> padengti (</w:t>
      </w:r>
      <w:r w:rsidR="00345B95">
        <w:rPr>
          <w:bCs/>
        </w:rPr>
        <w:t>30</w:t>
      </w:r>
      <w:r>
        <w:rPr>
          <w:bCs/>
        </w:rPr>
        <w:t>,3</w:t>
      </w:r>
      <w:r w:rsidR="00A9602E" w:rsidRPr="00BC35FE">
        <w:rPr>
          <w:bCs/>
        </w:rPr>
        <w:t xml:space="preserve"> tūkst. Eur</w:t>
      </w:r>
      <w:r w:rsidR="00BB63B8" w:rsidRPr="00BC35FE">
        <w:rPr>
          <w:bCs/>
        </w:rPr>
        <w:t>) (6 priedas</w:t>
      </w:r>
      <w:r w:rsidR="00804A40">
        <w:rPr>
          <w:bCs/>
        </w:rPr>
        <w:t>).</w:t>
      </w:r>
      <w:r w:rsidR="00334163">
        <w:rPr>
          <w:bCs/>
        </w:rPr>
        <w:t xml:space="preserve"> </w:t>
      </w:r>
    </w:p>
    <w:p w:rsidR="00A96DAE" w:rsidRDefault="00334163" w:rsidP="009454F3">
      <w:pPr>
        <w:spacing w:line="360" w:lineRule="auto"/>
        <w:ind w:firstLine="720"/>
        <w:jc w:val="both"/>
        <w:rPr>
          <w:bCs/>
        </w:rPr>
      </w:pPr>
      <w:r>
        <w:rPr>
          <w:bCs/>
        </w:rPr>
        <w:t>Savivaldybė 20</w:t>
      </w:r>
      <w:r w:rsidR="00345B95">
        <w:rPr>
          <w:bCs/>
        </w:rPr>
        <w:t>20</w:t>
      </w:r>
      <w:r w:rsidR="00BB3C29" w:rsidRPr="00BC35FE">
        <w:rPr>
          <w:bCs/>
        </w:rPr>
        <w:t xml:space="preserve"> m.</w:t>
      </w:r>
      <w:r w:rsidR="00D7294E" w:rsidRPr="00BC35FE">
        <w:rPr>
          <w:bCs/>
        </w:rPr>
        <w:t xml:space="preserve"> </w:t>
      </w:r>
      <w:r w:rsidR="00BB3C29" w:rsidRPr="00BC35FE">
        <w:rPr>
          <w:bCs/>
        </w:rPr>
        <w:t>pla</w:t>
      </w:r>
      <w:r w:rsidR="00A9602E" w:rsidRPr="00BC35FE">
        <w:rPr>
          <w:bCs/>
        </w:rPr>
        <w:t xml:space="preserve">nuoja skolintis </w:t>
      </w:r>
      <w:r w:rsidR="00743DE3">
        <w:rPr>
          <w:bCs/>
        </w:rPr>
        <w:t>5</w:t>
      </w:r>
      <w:r w:rsidR="00345B95">
        <w:rPr>
          <w:bCs/>
        </w:rPr>
        <w:t>5</w:t>
      </w:r>
      <w:r w:rsidR="00743DE3">
        <w:rPr>
          <w:bCs/>
        </w:rPr>
        <w:t>0 tūkst</w:t>
      </w:r>
      <w:r w:rsidR="0020424B">
        <w:rPr>
          <w:bCs/>
        </w:rPr>
        <w:t xml:space="preserve">. </w:t>
      </w:r>
      <w:r w:rsidR="00743DE3">
        <w:rPr>
          <w:bCs/>
        </w:rPr>
        <w:t xml:space="preserve"> Eur</w:t>
      </w:r>
      <w:r w:rsidR="00A9602E" w:rsidRPr="00BC35FE">
        <w:rPr>
          <w:bCs/>
        </w:rPr>
        <w:t xml:space="preserve"> </w:t>
      </w:r>
      <w:r w:rsidR="00BB3C29" w:rsidRPr="00BC35FE">
        <w:rPr>
          <w:bCs/>
        </w:rPr>
        <w:t>pasko</w:t>
      </w:r>
      <w:r w:rsidR="00743DE3">
        <w:rPr>
          <w:bCs/>
        </w:rPr>
        <w:t>lų grąžinimui.</w:t>
      </w:r>
      <w:r w:rsidR="009454F3">
        <w:rPr>
          <w:bCs/>
        </w:rPr>
        <w:t xml:space="preserve"> </w:t>
      </w:r>
      <w:r w:rsidR="00BB3C29">
        <w:rPr>
          <w:bCs/>
        </w:rPr>
        <w:t xml:space="preserve">Pasiskolinta suma būtų </w:t>
      </w:r>
      <w:r w:rsidR="00743DE3">
        <w:rPr>
          <w:bCs/>
        </w:rPr>
        <w:t>14,9</w:t>
      </w:r>
      <w:r w:rsidR="00743DE3" w:rsidRPr="00BC35FE">
        <w:rPr>
          <w:bCs/>
        </w:rPr>
        <w:t xml:space="preserve"> </w:t>
      </w:r>
      <w:r w:rsidR="00BB3C29" w:rsidRPr="00DE1645">
        <w:rPr>
          <w:bCs/>
        </w:rPr>
        <w:t>tūkst.</w:t>
      </w:r>
      <w:r w:rsidR="00BB3C29" w:rsidRPr="00804A40">
        <w:rPr>
          <w:bCs/>
        </w:rPr>
        <w:t xml:space="preserve"> </w:t>
      </w:r>
      <w:r w:rsidR="00BB3C29">
        <w:rPr>
          <w:bCs/>
        </w:rPr>
        <w:t>Eur mažesnė už grąžinamų paskolų dydį</w:t>
      </w:r>
      <w:r w:rsidR="009454F3">
        <w:rPr>
          <w:bCs/>
        </w:rPr>
        <w:t>.</w:t>
      </w:r>
      <w:r w:rsidR="00BB3C29">
        <w:rPr>
          <w:bCs/>
        </w:rPr>
        <w:t xml:space="preserve"> </w:t>
      </w:r>
    </w:p>
    <w:p w:rsidR="003D3DD3" w:rsidRDefault="003D3DD3" w:rsidP="009454F3">
      <w:pPr>
        <w:spacing w:line="360" w:lineRule="auto"/>
        <w:ind w:firstLine="720"/>
        <w:jc w:val="both"/>
        <w:rPr>
          <w:bCs/>
        </w:rPr>
      </w:pPr>
      <w:r>
        <w:rPr>
          <w:bCs/>
        </w:rPr>
        <w:t xml:space="preserve">Savivaldybė, vadovaudamasi Lietuvos Respublikos fiskalinės sutarties įgyvendinimo konstitucinio įstatymo 4 straipsnio 4 dalimi, savo biudžetą planuoja taip, kad biudžeto asignavimai neviršytų jo pajamų. </w:t>
      </w:r>
      <w:r w:rsidR="00866E4A">
        <w:rPr>
          <w:bCs/>
        </w:rPr>
        <w:t xml:space="preserve">2020 m. planuojamos pajamos yra </w:t>
      </w:r>
      <w:r w:rsidR="00027555">
        <w:rPr>
          <w:bCs/>
        </w:rPr>
        <w:t>22501,5</w:t>
      </w:r>
      <w:r w:rsidR="00866E4A">
        <w:rPr>
          <w:bCs/>
        </w:rPr>
        <w:t xml:space="preserve"> tūkst. Eur, išlaidos (be mokėtinos paskolos dalies- 564,9 tūkst. Eur) yra </w:t>
      </w:r>
      <w:r w:rsidR="001E2EDD">
        <w:rPr>
          <w:bCs/>
        </w:rPr>
        <w:t>23305,1</w:t>
      </w:r>
      <w:r w:rsidR="00866E4A">
        <w:rPr>
          <w:bCs/>
        </w:rPr>
        <w:t xml:space="preserve"> tūkst. Eur, susidaręs neigiamas skirtumas tarp pajamų ir asignavimų yra -803,</w:t>
      </w:r>
      <w:r w:rsidR="001E2EDD">
        <w:rPr>
          <w:bCs/>
        </w:rPr>
        <w:t xml:space="preserve">6 </w:t>
      </w:r>
      <w:r w:rsidR="00866E4A">
        <w:rPr>
          <w:bCs/>
        </w:rPr>
        <w:t xml:space="preserve">tūkst. Eur dengiamas  nepanaudota 2019 m pajamų dalimi 818,5 tūkst. Eur. </w:t>
      </w:r>
    </w:p>
    <w:p w:rsidR="008D1A35" w:rsidRPr="008D1A35" w:rsidRDefault="008D1A35" w:rsidP="008D1A35">
      <w:pPr>
        <w:spacing w:line="360" w:lineRule="auto"/>
        <w:jc w:val="both"/>
        <w:rPr>
          <w:bCs/>
        </w:rPr>
      </w:pPr>
      <w:r>
        <w:rPr>
          <w:bCs/>
        </w:rPr>
        <w:t>1</w:t>
      </w:r>
      <w:r w:rsidR="001E2EDD">
        <w:rPr>
          <w:bCs/>
        </w:rPr>
        <w:t>4,9</w:t>
      </w:r>
      <w:r>
        <w:rPr>
          <w:bCs/>
        </w:rPr>
        <w:t xml:space="preserve"> tūkst. Eur teigiamas balansas (818,5-803,5</w:t>
      </w:r>
      <w:r>
        <w:rPr>
          <w:bCs/>
          <w:lang w:val="en-US"/>
        </w:rPr>
        <w:t>=1</w:t>
      </w:r>
      <w:r w:rsidR="001E2EDD">
        <w:rPr>
          <w:bCs/>
          <w:lang w:val="en-US"/>
        </w:rPr>
        <w:t>4,9</w:t>
      </w:r>
      <w:r>
        <w:rPr>
          <w:bCs/>
          <w:lang w:val="en-US"/>
        </w:rPr>
        <w:t>) rodo, kad savivaldyb</w:t>
      </w:r>
      <w:r>
        <w:rPr>
          <w:bCs/>
        </w:rPr>
        <w:t xml:space="preserve">ė išlaikė fiskalinės drausmės nuostatas ir asignavimai neviršijo pajamų. </w:t>
      </w:r>
    </w:p>
    <w:p w:rsidR="007C60FE" w:rsidRPr="00A96DAE" w:rsidRDefault="00D7294E" w:rsidP="00743DE3">
      <w:pPr>
        <w:spacing w:line="360" w:lineRule="auto"/>
        <w:rPr>
          <w:b/>
          <w:bCs/>
        </w:rPr>
      </w:pPr>
      <w:r>
        <w:rPr>
          <w:b/>
          <w:bCs/>
        </w:rPr>
        <w:t>1.1</w:t>
      </w:r>
      <w:r w:rsidR="00A96DAE" w:rsidRPr="00A96DAE">
        <w:rPr>
          <w:b/>
          <w:bCs/>
        </w:rPr>
        <w:t>.</w:t>
      </w:r>
      <w:r w:rsidR="000F46AD" w:rsidRPr="00A96DAE">
        <w:rPr>
          <w:b/>
          <w:bCs/>
        </w:rPr>
        <w:t xml:space="preserve"> </w:t>
      </w:r>
      <w:r w:rsidR="007C60FE" w:rsidRPr="00A96DAE">
        <w:rPr>
          <w:b/>
          <w:bCs/>
        </w:rPr>
        <w:t>PAJAMOS</w:t>
      </w:r>
    </w:p>
    <w:p w:rsidR="00B0183C" w:rsidRDefault="00FC1BB1" w:rsidP="009454F3">
      <w:pPr>
        <w:spacing w:line="360" w:lineRule="auto"/>
        <w:ind w:firstLine="720"/>
        <w:jc w:val="both"/>
        <w:rPr>
          <w:bCs/>
        </w:rPr>
      </w:pPr>
      <w:r>
        <w:rPr>
          <w:bCs/>
        </w:rPr>
        <w:t>Molėtų</w:t>
      </w:r>
      <w:r w:rsidR="00743DE3">
        <w:rPr>
          <w:bCs/>
        </w:rPr>
        <w:t xml:space="preserve"> rajono savivaldybės 20</w:t>
      </w:r>
      <w:r w:rsidR="00345B95">
        <w:rPr>
          <w:bCs/>
        </w:rPr>
        <w:t>20</w:t>
      </w:r>
      <w:r w:rsidR="007C60FE" w:rsidRPr="00B600BD">
        <w:rPr>
          <w:bCs/>
        </w:rPr>
        <w:t xml:space="preserve"> metų </w:t>
      </w:r>
      <w:r w:rsidR="00786350">
        <w:rPr>
          <w:bCs/>
        </w:rPr>
        <w:t xml:space="preserve">biudžeto </w:t>
      </w:r>
      <w:r w:rsidR="007C60FE" w:rsidRPr="00B600BD">
        <w:rPr>
          <w:bCs/>
        </w:rPr>
        <w:t>pajamas</w:t>
      </w:r>
      <w:r w:rsidR="00D7294E">
        <w:rPr>
          <w:bCs/>
        </w:rPr>
        <w:t xml:space="preserve"> iš mokesčių, dotacijų ir kitų pajamų</w:t>
      </w:r>
      <w:r w:rsidR="007C60FE" w:rsidRPr="00B600BD">
        <w:rPr>
          <w:bCs/>
        </w:rPr>
        <w:t xml:space="preserve"> sudaro </w:t>
      </w:r>
      <w:r w:rsidR="001E2EDD">
        <w:rPr>
          <w:bCs/>
        </w:rPr>
        <w:t>22501,5</w:t>
      </w:r>
      <w:r w:rsidR="00345B95" w:rsidRPr="00BC35FE">
        <w:rPr>
          <w:bCs/>
        </w:rPr>
        <w:t xml:space="preserve"> </w:t>
      </w:r>
      <w:r w:rsidR="0015199A">
        <w:rPr>
          <w:bCs/>
        </w:rPr>
        <w:t>tūkst. Eur</w:t>
      </w:r>
      <w:r w:rsidR="00B0183C">
        <w:rPr>
          <w:bCs/>
        </w:rPr>
        <w:t xml:space="preserve">, tai yra </w:t>
      </w:r>
      <w:r w:rsidR="001E2EDD">
        <w:rPr>
          <w:bCs/>
        </w:rPr>
        <w:t>111,1</w:t>
      </w:r>
      <w:r w:rsidR="00345B95">
        <w:rPr>
          <w:bCs/>
        </w:rPr>
        <w:t xml:space="preserve"> </w:t>
      </w:r>
      <w:r w:rsidR="00C363BF">
        <w:rPr>
          <w:bCs/>
        </w:rPr>
        <w:t xml:space="preserve"> tūkst. Eur </w:t>
      </w:r>
      <w:r w:rsidR="001E2EDD">
        <w:rPr>
          <w:bCs/>
        </w:rPr>
        <w:t>daugiau</w:t>
      </w:r>
      <w:r w:rsidR="00C363BF">
        <w:rPr>
          <w:bCs/>
        </w:rPr>
        <w:t xml:space="preserve"> negu pernai</w:t>
      </w:r>
      <w:r w:rsidR="001E2EDD">
        <w:rPr>
          <w:bCs/>
        </w:rPr>
        <w:t>.</w:t>
      </w:r>
      <w:r w:rsidR="00B0183C">
        <w:rPr>
          <w:bCs/>
        </w:rPr>
        <w:t xml:space="preserve"> 201</w:t>
      </w:r>
      <w:r w:rsidR="00345B95">
        <w:rPr>
          <w:bCs/>
        </w:rPr>
        <w:t>9</w:t>
      </w:r>
      <w:r w:rsidR="00B0183C">
        <w:rPr>
          <w:bCs/>
        </w:rPr>
        <w:t xml:space="preserve"> m. patikslintas biudžeto pajamų planas yra </w:t>
      </w:r>
      <w:r w:rsidR="00345B95">
        <w:rPr>
          <w:bCs/>
        </w:rPr>
        <w:t>22390,4</w:t>
      </w:r>
      <w:r w:rsidR="00B0183C">
        <w:rPr>
          <w:bCs/>
        </w:rPr>
        <w:t xml:space="preserve"> tūkst. Eur. </w:t>
      </w:r>
    </w:p>
    <w:p w:rsidR="007D1B87" w:rsidRDefault="007D1B87" w:rsidP="009454F3">
      <w:pPr>
        <w:spacing w:line="360" w:lineRule="auto"/>
        <w:ind w:firstLine="720"/>
        <w:jc w:val="both"/>
        <w:rPr>
          <w:bCs/>
        </w:rPr>
      </w:pPr>
      <w:r>
        <w:rPr>
          <w:bCs/>
        </w:rPr>
        <w:t xml:space="preserve">Savivaldybės prognozuojamos pajamos ir savivaldybės biudžetui skiriamos gyventojų pajamų mokesčio dalys patvirtintos </w:t>
      </w:r>
      <w:r w:rsidR="00743DE3">
        <w:rPr>
          <w:bCs/>
        </w:rPr>
        <w:t>20</w:t>
      </w:r>
      <w:r w:rsidR="00345B95">
        <w:rPr>
          <w:bCs/>
        </w:rPr>
        <w:t>20</w:t>
      </w:r>
      <w:r w:rsidR="00AB638F" w:rsidRPr="00AB638F">
        <w:rPr>
          <w:bCs/>
        </w:rPr>
        <w:t xml:space="preserve"> metų valstybės ir savivaldybių biudžetų finansinių rodiklių patvirtinimo </w:t>
      </w:r>
      <w:r w:rsidR="007C60FE" w:rsidRPr="00AB638F">
        <w:rPr>
          <w:bCs/>
        </w:rPr>
        <w:t>įsta</w:t>
      </w:r>
      <w:r w:rsidR="004D0CB2">
        <w:rPr>
          <w:bCs/>
        </w:rPr>
        <w:t>tyme</w:t>
      </w:r>
      <w:r>
        <w:rPr>
          <w:bCs/>
        </w:rPr>
        <w:t>.</w:t>
      </w:r>
      <w:r w:rsidR="004D0CB2">
        <w:rPr>
          <w:bCs/>
        </w:rPr>
        <w:t xml:space="preserve"> </w:t>
      </w:r>
      <w:r>
        <w:rPr>
          <w:bCs/>
        </w:rPr>
        <w:t>Savivaldybės</w:t>
      </w:r>
      <w:r w:rsidR="007C60FE" w:rsidRPr="00AB638F">
        <w:rPr>
          <w:bCs/>
        </w:rPr>
        <w:t xml:space="preserve"> prognozuojam</w:t>
      </w:r>
      <w:r w:rsidR="00E4015A">
        <w:rPr>
          <w:bCs/>
        </w:rPr>
        <w:t>os gauti pajamos skaičiuojant savivaldybių biudžetų finansinius rodikl</w:t>
      </w:r>
      <w:r>
        <w:rPr>
          <w:bCs/>
        </w:rPr>
        <w:t>ius yra</w:t>
      </w:r>
      <w:r w:rsidR="00905A1B">
        <w:rPr>
          <w:bCs/>
        </w:rPr>
        <w:t xml:space="preserve"> </w:t>
      </w:r>
      <w:r w:rsidR="00345B95">
        <w:rPr>
          <w:bCs/>
        </w:rPr>
        <w:t>11359</w:t>
      </w:r>
      <w:r w:rsidR="00D34900">
        <w:rPr>
          <w:bCs/>
        </w:rPr>
        <w:t xml:space="preserve"> tūkst. Eur. </w:t>
      </w:r>
      <w:r w:rsidR="00A03E48">
        <w:rPr>
          <w:bCs/>
        </w:rPr>
        <w:t>Prognozuojamų pajamų, gyventojų pajamų mokesčio, tenkančio Molėtų rajono savivaldybei apskaičiavimas pateikiamas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2504"/>
        <w:gridCol w:w="1292"/>
        <w:gridCol w:w="1385"/>
        <w:gridCol w:w="1258"/>
        <w:gridCol w:w="2216"/>
      </w:tblGrid>
      <w:tr w:rsidR="000D2916" w:rsidTr="002A5A81">
        <w:trPr>
          <w:trHeight w:val="1140"/>
        </w:trPr>
        <w:tc>
          <w:tcPr>
            <w:tcW w:w="974" w:type="dxa"/>
            <w:shd w:val="clear" w:color="auto" w:fill="auto"/>
            <w:vAlign w:val="center"/>
            <w:hideMark/>
          </w:tcPr>
          <w:p w:rsidR="000D2916" w:rsidRDefault="000D2916">
            <w:pPr>
              <w:rPr>
                <w:b/>
                <w:bCs/>
                <w:color w:val="000000"/>
                <w:sz w:val="22"/>
                <w:szCs w:val="22"/>
              </w:rPr>
            </w:pPr>
            <w:r>
              <w:rPr>
                <w:b/>
                <w:bCs/>
                <w:color w:val="000000"/>
                <w:sz w:val="22"/>
                <w:szCs w:val="22"/>
              </w:rPr>
              <w:t xml:space="preserve">Eil. </w:t>
            </w:r>
            <w:r>
              <w:rPr>
                <w:b/>
                <w:bCs/>
                <w:color w:val="000000"/>
                <w:sz w:val="22"/>
                <w:szCs w:val="22"/>
              </w:rPr>
              <w:br/>
              <w:t xml:space="preserve">Nr. </w:t>
            </w:r>
          </w:p>
        </w:tc>
        <w:tc>
          <w:tcPr>
            <w:tcW w:w="2505" w:type="dxa"/>
            <w:shd w:val="clear" w:color="auto" w:fill="auto"/>
            <w:noWrap/>
            <w:vAlign w:val="center"/>
            <w:hideMark/>
          </w:tcPr>
          <w:p w:rsidR="000D2916" w:rsidRDefault="000D2916">
            <w:pPr>
              <w:rPr>
                <w:b/>
                <w:bCs/>
                <w:color w:val="000000"/>
                <w:sz w:val="22"/>
                <w:szCs w:val="22"/>
              </w:rPr>
            </w:pPr>
            <w:r>
              <w:rPr>
                <w:b/>
                <w:bCs/>
                <w:color w:val="000000"/>
                <w:sz w:val="22"/>
                <w:szCs w:val="22"/>
              </w:rPr>
              <w:t>Mokesčių pavadinimas</w:t>
            </w:r>
          </w:p>
        </w:tc>
        <w:tc>
          <w:tcPr>
            <w:tcW w:w="1290" w:type="dxa"/>
            <w:shd w:val="clear" w:color="auto" w:fill="auto"/>
            <w:vAlign w:val="center"/>
            <w:hideMark/>
          </w:tcPr>
          <w:p w:rsidR="000D2916" w:rsidRDefault="000D2916">
            <w:pPr>
              <w:jc w:val="center"/>
              <w:rPr>
                <w:b/>
                <w:bCs/>
                <w:color w:val="000000"/>
                <w:sz w:val="22"/>
                <w:szCs w:val="22"/>
              </w:rPr>
            </w:pPr>
            <w:r>
              <w:rPr>
                <w:b/>
                <w:bCs/>
                <w:color w:val="000000"/>
                <w:sz w:val="22"/>
                <w:szCs w:val="22"/>
              </w:rPr>
              <w:t xml:space="preserve">2019 metų </w:t>
            </w:r>
            <w:r>
              <w:rPr>
                <w:b/>
                <w:bCs/>
                <w:color w:val="000000"/>
                <w:sz w:val="22"/>
                <w:szCs w:val="22"/>
              </w:rPr>
              <w:br/>
              <w:t>prognozuo-jamos pajamos</w:t>
            </w:r>
          </w:p>
        </w:tc>
        <w:tc>
          <w:tcPr>
            <w:tcW w:w="1385" w:type="dxa"/>
            <w:shd w:val="clear" w:color="auto" w:fill="auto"/>
            <w:vAlign w:val="center"/>
            <w:hideMark/>
          </w:tcPr>
          <w:p w:rsidR="000D2916" w:rsidRDefault="000D2916">
            <w:pPr>
              <w:jc w:val="center"/>
              <w:rPr>
                <w:b/>
                <w:bCs/>
                <w:color w:val="000000"/>
                <w:sz w:val="22"/>
                <w:szCs w:val="22"/>
              </w:rPr>
            </w:pPr>
            <w:r>
              <w:rPr>
                <w:b/>
                <w:bCs/>
                <w:color w:val="000000"/>
                <w:sz w:val="22"/>
                <w:szCs w:val="22"/>
              </w:rPr>
              <w:t xml:space="preserve">2020 metų </w:t>
            </w:r>
            <w:r>
              <w:rPr>
                <w:b/>
                <w:bCs/>
                <w:color w:val="000000"/>
                <w:sz w:val="22"/>
                <w:szCs w:val="22"/>
              </w:rPr>
              <w:br/>
              <w:t>prognozuo-jamos pajamos</w:t>
            </w:r>
          </w:p>
        </w:tc>
        <w:tc>
          <w:tcPr>
            <w:tcW w:w="1258" w:type="dxa"/>
            <w:shd w:val="clear" w:color="auto" w:fill="auto"/>
            <w:vAlign w:val="center"/>
            <w:hideMark/>
          </w:tcPr>
          <w:p w:rsidR="000D2916" w:rsidRDefault="000D2916">
            <w:pPr>
              <w:rPr>
                <w:b/>
                <w:bCs/>
                <w:color w:val="000000"/>
                <w:sz w:val="22"/>
                <w:szCs w:val="22"/>
              </w:rPr>
            </w:pPr>
            <w:r>
              <w:rPr>
                <w:b/>
                <w:bCs/>
                <w:color w:val="000000"/>
                <w:sz w:val="22"/>
                <w:szCs w:val="22"/>
              </w:rPr>
              <w:t xml:space="preserve">Skirtumas </w:t>
            </w:r>
            <w:r>
              <w:rPr>
                <w:b/>
                <w:bCs/>
                <w:color w:val="000000"/>
                <w:sz w:val="22"/>
                <w:szCs w:val="22"/>
              </w:rPr>
              <w:br/>
              <w:t>tarp 2020 ir 2019 metų</w:t>
            </w:r>
          </w:p>
        </w:tc>
        <w:tc>
          <w:tcPr>
            <w:tcW w:w="2216" w:type="dxa"/>
            <w:shd w:val="clear" w:color="auto" w:fill="auto"/>
            <w:noWrap/>
            <w:vAlign w:val="center"/>
            <w:hideMark/>
          </w:tcPr>
          <w:p w:rsidR="000D2916" w:rsidRDefault="000D2916">
            <w:pPr>
              <w:rPr>
                <w:b/>
                <w:bCs/>
                <w:color w:val="000000"/>
                <w:sz w:val="22"/>
                <w:szCs w:val="22"/>
              </w:rPr>
            </w:pPr>
            <w:r>
              <w:rPr>
                <w:b/>
                <w:bCs/>
                <w:color w:val="000000"/>
                <w:sz w:val="22"/>
                <w:szCs w:val="22"/>
              </w:rPr>
              <w:t>Pastabos</w:t>
            </w:r>
          </w:p>
        </w:tc>
      </w:tr>
      <w:tr w:rsidR="000D2916" w:rsidTr="002A5A81">
        <w:trPr>
          <w:trHeight w:val="300"/>
        </w:trPr>
        <w:tc>
          <w:tcPr>
            <w:tcW w:w="974" w:type="dxa"/>
            <w:shd w:val="clear" w:color="auto" w:fill="auto"/>
            <w:noWrap/>
            <w:vAlign w:val="bottom"/>
            <w:hideMark/>
          </w:tcPr>
          <w:p w:rsidR="000D2916" w:rsidRDefault="000D2916">
            <w:pPr>
              <w:rPr>
                <w:b/>
                <w:bCs/>
                <w:color w:val="000000"/>
                <w:sz w:val="22"/>
                <w:szCs w:val="22"/>
              </w:rPr>
            </w:pPr>
            <w:r>
              <w:rPr>
                <w:b/>
                <w:bCs/>
                <w:color w:val="000000"/>
                <w:sz w:val="22"/>
                <w:szCs w:val="22"/>
              </w:rPr>
              <w:t>1.</w:t>
            </w:r>
          </w:p>
        </w:tc>
        <w:tc>
          <w:tcPr>
            <w:tcW w:w="2505" w:type="dxa"/>
            <w:shd w:val="clear" w:color="auto" w:fill="auto"/>
            <w:noWrap/>
            <w:vAlign w:val="bottom"/>
            <w:hideMark/>
          </w:tcPr>
          <w:p w:rsidR="000D2916" w:rsidRDefault="000D2916">
            <w:pPr>
              <w:rPr>
                <w:b/>
                <w:bCs/>
                <w:color w:val="000000"/>
                <w:sz w:val="22"/>
                <w:szCs w:val="22"/>
              </w:rPr>
            </w:pPr>
            <w:r>
              <w:rPr>
                <w:b/>
                <w:bCs/>
                <w:color w:val="000000"/>
                <w:sz w:val="22"/>
                <w:szCs w:val="22"/>
              </w:rPr>
              <w:t>Gyventojų pajamų mokestis</w:t>
            </w:r>
          </w:p>
        </w:tc>
        <w:tc>
          <w:tcPr>
            <w:tcW w:w="1290" w:type="dxa"/>
            <w:shd w:val="clear" w:color="auto" w:fill="auto"/>
            <w:noWrap/>
            <w:vAlign w:val="bottom"/>
            <w:hideMark/>
          </w:tcPr>
          <w:p w:rsidR="000D2916" w:rsidRDefault="000D2916">
            <w:pPr>
              <w:jc w:val="right"/>
              <w:rPr>
                <w:b/>
                <w:bCs/>
                <w:color w:val="000000"/>
                <w:sz w:val="22"/>
                <w:szCs w:val="22"/>
              </w:rPr>
            </w:pPr>
            <w:r>
              <w:rPr>
                <w:b/>
                <w:bCs/>
                <w:color w:val="000000"/>
                <w:sz w:val="22"/>
                <w:szCs w:val="22"/>
              </w:rPr>
              <w:t>9925</w:t>
            </w:r>
          </w:p>
        </w:tc>
        <w:tc>
          <w:tcPr>
            <w:tcW w:w="1385" w:type="dxa"/>
            <w:shd w:val="clear" w:color="auto" w:fill="auto"/>
            <w:noWrap/>
            <w:vAlign w:val="bottom"/>
            <w:hideMark/>
          </w:tcPr>
          <w:p w:rsidR="000D2916" w:rsidRDefault="000D2916">
            <w:pPr>
              <w:jc w:val="right"/>
              <w:rPr>
                <w:b/>
                <w:bCs/>
                <w:color w:val="000000"/>
                <w:sz w:val="22"/>
                <w:szCs w:val="22"/>
              </w:rPr>
            </w:pPr>
            <w:r>
              <w:rPr>
                <w:b/>
                <w:bCs/>
                <w:color w:val="000000"/>
                <w:sz w:val="22"/>
                <w:szCs w:val="22"/>
              </w:rPr>
              <w:t>10917</w:t>
            </w:r>
          </w:p>
        </w:tc>
        <w:tc>
          <w:tcPr>
            <w:tcW w:w="1258" w:type="dxa"/>
            <w:shd w:val="clear" w:color="auto" w:fill="auto"/>
            <w:noWrap/>
            <w:vAlign w:val="bottom"/>
            <w:hideMark/>
          </w:tcPr>
          <w:p w:rsidR="000D2916" w:rsidRDefault="000D2916">
            <w:pPr>
              <w:jc w:val="right"/>
              <w:rPr>
                <w:b/>
                <w:bCs/>
                <w:color w:val="000000"/>
                <w:sz w:val="22"/>
                <w:szCs w:val="22"/>
              </w:rPr>
            </w:pPr>
            <w:r>
              <w:rPr>
                <w:b/>
                <w:bCs/>
                <w:color w:val="000000"/>
                <w:sz w:val="22"/>
                <w:szCs w:val="22"/>
              </w:rPr>
              <w:t>992</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b/>
                <w:bCs/>
                <w:i/>
                <w:iCs/>
                <w:color w:val="000000"/>
                <w:sz w:val="22"/>
                <w:szCs w:val="22"/>
              </w:rPr>
            </w:pPr>
            <w:r>
              <w:rPr>
                <w:b/>
                <w:bCs/>
                <w:i/>
                <w:iCs/>
                <w:color w:val="000000"/>
                <w:sz w:val="22"/>
                <w:szCs w:val="22"/>
              </w:rPr>
              <w:t>1.1.</w:t>
            </w:r>
          </w:p>
        </w:tc>
        <w:tc>
          <w:tcPr>
            <w:tcW w:w="2505" w:type="dxa"/>
            <w:shd w:val="clear" w:color="auto" w:fill="auto"/>
            <w:noWrap/>
            <w:vAlign w:val="bottom"/>
            <w:hideMark/>
          </w:tcPr>
          <w:p w:rsidR="000D2916" w:rsidRDefault="000D2916">
            <w:pPr>
              <w:rPr>
                <w:b/>
                <w:bCs/>
                <w:i/>
                <w:iCs/>
                <w:color w:val="000000"/>
                <w:sz w:val="22"/>
                <w:szCs w:val="22"/>
              </w:rPr>
            </w:pPr>
            <w:r>
              <w:rPr>
                <w:b/>
                <w:bCs/>
                <w:i/>
                <w:iCs/>
                <w:color w:val="000000"/>
                <w:sz w:val="22"/>
                <w:szCs w:val="22"/>
              </w:rPr>
              <w:t>Pastovioji GPM dalis (42,84 %)</w:t>
            </w:r>
          </w:p>
        </w:tc>
        <w:tc>
          <w:tcPr>
            <w:tcW w:w="1290" w:type="dxa"/>
            <w:shd w:val="clear" w:color="auto" w:fill="auto"/>
            <w:noWrap/>
            <w:vAlign w:val="bottom"/>
            <w:hideMark/>
          </w:tcPr>
          <w:p w:rsidR="000D2916" w:rsidRDefault="000D2916">
            <w:pPr>
              <w:jc w:val="right"/>
              <w:rPr>
                <w:b/>
                <w:bCs/>
                <w:i/>
                <w:iCs/>
                <w:color w:val="000000"/>
                <w:sz w:val="22"/>
                <w:szCs w:val="22"/>
              </w:rPr>
            </w:pPr>
            <w:r>
              <w:rPr>
                <w:b/>
                <w:bCs/>
                <w:i/>
                <w:iCs/>
                <w:color w:val="000000"/>
                <w:sz w:val="22"/>
                <w:szCs w:val="22"/>
              </w:rPr>
              <w:t>8753</w:t>
            </w:r>
          </w:p>
        </w:tc>
        <w:tc>
          <w:tcPr>
            <w:tcW w:w="1385" w:type="dxa"/>
            <w:shd w:val="clear" w:color="auto" w:fill="auto"/>
            <w:noWrap/>
            <w:vAlign w:val="bottom"/>
            <w:hideMark/>
          </w:tcPr>
          <w:p w:rsidR="000D2916" w:rsidRDefault="000D2916">
            <w:pPr>
              <w:jc w:val="right"/>
              <w:rPr>
                <w:b/>
                <w:bCs/>
                <w:i/>
                <w:iCs/>
                <w:color w:val="000000"/>
                <w:sz w:val="22"/>
                <w:szCs w:val="22"/>
              </w:rPr>
            </w:pPr>
            <w:r>
              <w:rPr>
                <w:b/>
                <w:bCs/>
                <w:i/>
                <w:iCs/>
                <w:color w:val="000000"/>
                <w:sz w:val="22"/>
                <w:szCs w:val="22"/>
              </w:rPr>
              <w:t>9844</w:t>
            </w:r>
          </w:p>
        </w:tc>
        <w:tc>
          <w:tcPr>
            <w:tcW w:w="1258" w:type="dxa"/>
            <w:shd w:val="clear" w:color="auto" w:fill="auto"/>
            <w:noWrap/>
            <w:vAlign w:val="bottom"/>
            <w:hideMark/>
          </w:tcPr>
          <w:p w:rsidR="000D2916" w:rsidRDefault="000D2916">
            <w:pPr>
              <w:jc w:val="right"/>
              <w:rPr>
                <w:b/>
                <w:bCs/>
                <w:i/>
                <w:iCs/>
                <w:color w:val="000000"/>
                <w:sz w:val="22"/>
                <w:szCs w:val="22"/>
              </w:rPr>
            </w:pPr>
            <w:r>
              <w:rPr>
                <w:b/>
                <w:bCs/>
                <w:i/>
                <w:iCs/>
                <w:color w:val="000000"/>
                <w:sz w:val="22"/>
                <w:szCs w:val="22"/>
              </w:rPr>
              <w:t>1091</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900"/>
        </w:trPr>
        <w:tc>
          <w:tcPr>
            <w:tcW w:w="974" w:type="dxa"/>
            <w:shd w:val="clear" w:color="auto" w:fill="auto"/>
            <w:noWrap/>
            <w:vAlign w:val="center"/>
            <w:hideMark/>
          </w:tcPr>
          <w:p w:rsidR="000D2916" w:rsidRDefault="000D2916">
            <w:pPr>
              <w:rPr>
                <w:color w:val="000000"/>
                <w:sz w:val="22"/>
                <w:szCs w:val="22"/>
              </w:rPr>
            </w:pPr>
            <w:r>
              <w:rPr>
                <w:color w:val="000000"/>
                <w:sz w:val="22"/>
                <w:szCs w:val="22"/>
              </w:rPr>
              <w:lastRenderedPageBreak/>
              <w:t>1.1.1.</w:t>
            </w:r>
          </w:p>
        </w:tc>
        <w:tc>
          <w:tcPr>
            <w:tcW w:w="2505" w:type="dxa"/>
            <w:shd w:val="clear" w:color="auto" w:fill="auto"/>
            <w:vAlign w:val="center"/>
            <w:hideMark/>
          </w:tcPr>
          <w:p w:rsidR="000D2916" w:rsidRDefault="000D2916">
            <w:pPr>
              <w:rPr>
                <w:color w:val="000000"/>
                <w:sz w:val="22"/>
                <w:szCs w:val="22"/>
              </w:rPr>
            </w:pPr>
            <w:r>
              <w:rPr>
                <w:color w:val="000000"/>
                <w:sz w:val="22"/>
                <w:szCs w:val="22"/>
              </w:rPr>
              <w:t>Molėtų rajono savivaldybės prognozuo</w:t>
            </w:r>
            <w:r w:rsidR="002A5A81">
              <w:rPr>
                <w:color w:val="000000"/>
                <w:sz w:val="22"/>
                <w:szCs w:val="22"/>
              </w:rPr>
              <w:t>-</w:t>
            </w:r>
            <w:r>
              <w:rPr>
                <w:color w:val="000000"/>
                <w:sz w:val="22"/>
                <w:szCs w:val="22"/>
              </w:rPr>
              <w:t>j</w:t>
            </w:r>
            <w:r w:rsidR="002A5A81">
              <w:rPr>
                <w:color w:val="000000"/>
                <w:sz w:val="22"/>
                <w:szCs w:val="22"/>
              </w:rPr>
              <w:t xml:space="preserve">amas gyventojų pajamų mokestis </w:t>
            </w:r>
            <w:r>
              <w:rPr>
                <w:color w:val="000000"/>
                <w:sz w:val="22"/>
                <w:szCs w:val="22"/>
              </w:rPr>
              <w:t>(100 % pervedamas savivaldybei)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4353</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6670</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2317</w:t>
            </w:r>
          </w:p>
        </w:tc>
        <w:tc>
          <w:tcPr>
            <w:tcW w:w="2216" w:type="dxa"/>
            <w:shd w:val="clear" w:color="auto" w:fill="auto"/>
            <w:vAlign w:val="bottom"/>
            <w:hideMark/>
          </w:tcPr>
          <w:p w:rsidR="000D2916" w:rsidRDefault="000D2916">
            <w:pPr>
              <w:rPr>
                <w:color w:val="000000"/>
                <w:sz w:val="22"/>
                <w:szCs w:val="22"/>
              </w:rPr>
            </w:pPr>
            <w:r>
              <w:rPr>
                <w:color w:val="000000"/>
                <w:sz w:val="22"/>
                <w:szCs w:val="22"/>
              </w:rPr>
              <w:t xml:space="preserve">Prognozuojamas Molėtų </w:t>
            </w:r>
            <w:r>
              <w:rPr>
                <w:color w:val="000000"/>
                <w:sz w:val="22"/>
                <w:szCs w:val="22"/>
              </w:rPr>
              <w:br/>
              <w:t xml:space="preserve">rajono gyventojų pajamų mokestis </w:t>
            </w:r>
          </w:p>
        </w:tc>
      </w:tr>
      <w:tr w:rsidR="000D2916" w:rsidTr="002A5A81">
        <w:trPr>
          <w:trHeight w:val="1305"/>
        </w:trPr>
        <w:tc>
          <w:tcPr>
            <w:tcW w:w="974" w:type="dxa"/>
            <w:shd w:val="clear" w:color="auto" w:fill="auto"/>
            <w:noWrap/>
            <w:vAlign w:val="center"/>
            <w:hideMark/>
          </w:tcPr>
          <w:p w:rsidR="000D2916" w:rsidRDefault="000D2916">
            <w:pPr>
              <w:rPr>
                <w:color w:val="000000"/>
                <w:sz w:val="22"/>
                <w:szCs w:val="22"/>
              </w:rPr>
            </w:pPr>
            <w:r>
              <w:rPr>
                <w:color w:val="000000"/>
                <w:sz w:val="22"/>
                <w:szCs w:val="22"/>
              </w:rPr>
              <w:t>1.1.2.</w:t>
            </w:r>
          </w:p>
        </w:tc>
        <w:tc>
          <w:tcPr>
            <w:tcW w:w="2505" w:type="dxa"/>
            <w:shd w:val="clear" w:color="auto" w:fill="auto"/>
            <w:noWrap/>
            <w:vAlign w:val="center"/>
            <w:hideMark/>
          </w:tcPr>
          <w:p w:rsidR="000D2916" w:rsidRDefault="000D2916">
            <w:pPr>
              <w:rPr>
                <w:color w:val="000000"/>
                <w:sz w:val="22"/>
                <w:szCs w:val="22"/>
              </w:rPr>
            </w:pPr>
            <w:r>
              <w:rPr>
                <w:color w:val="000000"/>
                <w:sz w:val="22"/>
                <w:szCs w:val="22"/>
              </w:rPr>
              <w:t xml:space="preserve">Išlaidų struktūros skirtumams išlyginti </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1951</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1605</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-346</w:t>
            </w:r>
          </w:p>
        </w:tc>
        <w:tc>
          <w:tcPr>
            <w:tcW w:w="2216" w:type="dxa"/>
            <w:shd w:val="clear" w:color="auto" w:fill="auto"/>
            <w:vAlign w:val="bottom"/>
            <w:hideMark/>
          </w:tcPr>
          <w:p w:rsidR="000D2916" w:rsidRDefault="001E2EDD">
            <w:pPr>
              <w:rPr>
                <w:color w:val="000000"/>
                <w:sz w:val="22"/>
                <w:szCs w:val="22"/>
              </w:rPr>
            </w:pPr>
            <w:r>
              <w:rPr>
                <w:color w:val="000000"/>
                <w:sz w:val="22"/>
                <w:szCs w:val="22"/>
              </w:rPr>
              <w:t xml:space="preserve">Šią GPM sumą lemia nuo </w:t>
            </w:r>
            <w:r w:rsidR="000D2916">
              <w:rPr>
                <w:color w:val="000000"/>
                <w:sz w:val="22"/>
                <w:szCs w:val="22"/>
              </w:rPr>
              <w:t>savivaldybės veiklos nepriklau</w:t>
            </w:r>
            <w:r w:rsidR="002A5A81">
              <w:rPr>
                <w:color w:val="000000"/>
                <w:sz w:val="22"/>
                <w:szCs w:val="22"/>
              </w:rPr>
              <w:t>-</w:t>
            </w:r>
            <w:r w:rsidR="000D2916">
              <w:rPr>
                <w:color w:val="000000"/>
                <w:sz w:val="22"/>
                <w:szCs w:val="22"/>
              </w:rPr>
              <w:t xml:space="preserve">santys </w:t>
            </w:r>
            <w:r>
              <w:rPr>
                <w:color w:val="000000"/>
                <w:sz w:val="22"/>
                <w:szCs w:val="22"/>
              </w:rPr>
              <w:t xml:space="preserve">objektyvūs veiksniai (rodikliai </w:t>
            </w:r>
            <w:r w:rsidR="000D2916">
              <w:rPr>
                <w:color w:val="000000"/>
                <w:sz w:val="22"/>
                <w:szCs w:val="22"/>
              </w:rPr>
              <w:t xml:space="preserve">detalizuojami </w:t>
            </w:r>
            <w:r w:rsidR="00AD2DB8">
              <w:rPr>
                <w:color w:val="000000"/>
                <w:sz w:val="22"/>
                <w:szCs w:val="22"/>
              </w:rPr>
              <w:t xml:space="preserve">1 –oje </w:t>
            </w:r>
            <w:r w:rsidR="000D2916">
              <w:rPr>
                <w:color w:val="000000"/>
                <w:sz w:val="22"/>
                <w:szCs w:val="22"/>
              </w:rPr>
              <w:t>lentelėje)</w:t>
            </w:r>
          </w:p>
        </w:tc>
      </w:tr>
      <w:tr w:rsidR="000D2916" w:rsidTr="002A5A81">
        <w:trPr>
          <w:trHeight w:val="1110"/>
        </w:trPr>
        <w:tc>
          <w:tcPr>
            <w:tcW w:w="974" w:type="dxa"/>
            <w:shd w:val="clear" w:color="auto" w:fill="auto"/>
            <w:noWrap/>
            <w:vAlign w:val="center"/>
            <w:hideMark/>
          </w:tcPr>
          <w:p w:rsidR="000D2916" w:rsidRDefault="000D2916">
            <w:pPr>
              <w:rPr>
                <w:color w:val="000000"/>
                <w:sz w:val="22"/>
                <w:szCs w:val="22"/>
              </w:rPr>
            </w:pPr>
            <w:r>
              <w:rPr>
                <w:color w:val="000000"/>
                <w:sz w:val="22"/>
                <w:szCs w:val="22"/>
              </w:rPr>
              <w:t>1.1.3.</w:t>
            </w:r>
          </w:p>
        </w:tc>
        <w:tc>
          <w:tcPr>
            <w:tcW w:w="2505" w:type="dxa"/>
            <w:shd w:val="clear" w:color="auto" w:fill="auto"/>
            <w:noWrap/>
            <w:vAlign w:val="center"/>
            <w:hideMark/>
          </w:tcPr>
          <w:p w:rsidR="000D2916" w:rsidRDefault="000D2916">
            <w:pPr>
              <w:rPr>
                <w:color w:val="000000"/>
                <w:sz w:val="22"/>
                <w:szCs w:val="22"/>
              </w:rPr>
            </w:pPr>
            <w:r>
              <w:rPr>
                <w:color w:val="000000"/>
                <w:sz w:val="22"/>
                <w:szCs w:val="22"/>
              </w:rPr>
              <w:t>Gyventojų pajamų mokesčiui išlyginti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2449</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1569</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-880</w:t>
            </w:r>
          </w:p>
        </w:tc>
        <w:tc>
          <w:tcPr>
            <w:tcW w:w="2216" w:type="dxa"/>
            <w:shd w:val="clear" w:color="auto" w:fill="auto"/>
            <w:vAlign w:val="bottom"/>
            <w:hideMark/>
          </w:tcPr>
          <w:p w:rsidR="000D2916" w:rsidRDefault="000D2916">
            <w:pPr>
              <w:rPr>
                <w:color w:val="000000"/>
                <w:sz w:val="22"/>
                <w:szCs w:val="22"/>
              </w:rPr>
            </w:pPr>
            <w:r>
              <w:rPr>
                <w:color w:val="000000"/>
                <w:sz w:val="22"/>
                <w:szCs w:val="22"/>
              </w:rPr>
              <w:t>Ši suma apskaičiuo</w:t>
            </w:r>
            <w:r w:rsidR="002A5A81">
              <w:rPr>
                <w:color w:val="000000"/>
                <w:sz w:val="22"/>
                <w:szCs w:val="22"/>
              </w:rPr>
              <w:t xml:space="preserve">-jama </w:t>
            </w:r>
            <w:r>
              <w:rPr>
                <w:color w:val="000000"/>
                <w:sz w:val="22"/>
                <w:szCs w:val="22"/>
              </w:rPr>
              <w:t>pagal nustatytą išlyginimo koeficientą ir pagal gyventojų pajamų mokestį 1-am gyventojui</w:t>
            </w:r>
          </w:p>
        </w:tc>
      </w:tr>
      <w:tr w:rsidR="000D2916" w:rsidTr="002A5A81">
        <w:trPr>
          <w:trHeight w:val="300"/>
        </w:trPr>
        <w:tc>
          <w:tcPr>
            <w:tcW w:w="974" w:type="dxa"/>
            <w:shd w:val="clear" w:color="auto" w:fill="auto"/>
            <w:noWrap/>
            <w:vAlign w:val="bottom"/>
            <w:hideMark/>
          </w:tcPr>
          <w:p w:rsidR="000D2916" w:rsidRDefault="000D2916">
            <w:pPr>
              <w:rPr>
                <w:b/>
                <w:bCs/>
                <w:i/>
                <w:iCs/>
                <w:color w:val="000000"/>
                <w:sz w:val="22"/>
                <w:szCs w:val="22"/>
              </w:rPr>
            </w:pPr>
            <w:r>
              <w:rPr>
                <w:b/>
                <w:bCs/>
                <w:i/>
                <w:iCs/>
                <w:color w:val="000000"/>
                <w:sz w:val="22"/>
                <w:szCs w:val="22"/>
              </w:rPr>
              <w:t>1.2.</w:t>
            </w:r>
          </w:p>
        </w:tc>
        <w:tc>
          <w:tcPr>
            <w:tcW w:w="2505" w:type="dxa"/>
            <w:shd w:val="clear" w:color="auto" w:fill="auto"/>
            <w:noWrap/>
            <w:vAlign w:val="bottom"/>
            <w:hideMark/>
          </w:tcPr>
          <w:p w:rsidR="000D2916" w:rsidRDefault="000D2916">
            <w:pPr>
              <w:rPr>
                <w:b/>
                <w:bCs/>
                <w:i/>
                <w:iCs/>
                <w:color w:val="000000"/>
                <w:sz w:val="22"/>
                <w:szCs w:val="22"/>
              </w:rPr>
            </w:pPr>
            <w:r>
              <w:rPr>
                <w:b/>
                <w:bCs/>
                <w:i/>
                <w:iCs/>
                <w:color w:val="000000"/>
                <w:sz w:val="22"/>
                <w:szCs w:val="22"/>
              </w:rPr>
              <w:t>Kintamoji GPM dalis (3,1 %)</w:t>
            </w:r>
          </w:p>
        </w:tc>
        <w:tc>
          <w:tcPr>
            <w:tcW w:w="1290" w:type="dxa"/>
            <w:shd w:val="clear" w:color="auto" w:fill="auto"/>
            <w:noWrap/>
            <w:vAlign w:val="bottom"/>
            <w:hideMark/>
          </w:tcPr>
          <w:p w:rsidR="000D2916" w:rsidRDefault="000D2916">
            <w:pPr>
              <w:jc w:val="right"/>
              <w:rPr>
                <w:b/>
                <w:bCs/>
                <w:i/>
                <w:iCs/>
                <w:color w:val="000000"/>
                <w:sz w:val="22"/>
                <w:szCs w:val="22"/>
              </w:rPr>
            </w:pPr>
            <w:r>
              <w:rPr>
                <w:b/>
                <w:bCs/>
                <w:i/>
                <w:iCs/>
                <w:color w:val="000000"/>
                <w:sz w:val="22"/>
                <w:szCs w:val="22"/>
              </w:rPr>
              <w:t>1172</w:t>
            </w:r>
          </w:p>
        </w:tc>
        <w:tc>
          <w:tcPr>
            <w:tcW w:w="1385" w:type="dxa"/>
            <w:shd w:val="clear" w:color="auto" w:fill="auto"/>
            <w:noWrap/>
            <w:vAlign w:val="bottom"/>
            <w:hideMark/>
          </w:tcPr>
          <w:p w:rsidR="000D2916" w:rsidRDefault="000D2916">
            <w:pPr>
              <w:jc w:val="right"/>
              <w:rPr>
                <w:b/>
                <w:bCs/>
                <w:i/>
                <w:iCs/>
                <w:color w:val="000000"/>
                <w:sz w:val="22"/>
                <w:szCs w:val="22"/>
              </w:rPr>
            </w:pPr>
            <w:r>
              <w:rPr>
                <w:b/>
                <w:bCs/>
                <w:i/>
                <w:iCs/>
                <w:color w:val="000000"/>
                <w:sz w:val="22"/>
                <w:szCs w:val="22"/>
              </w:rPr>
              <w:t>1073</w:t>
            </w:r>
          </w:p>
        </w:tc>
        <w:tc>
          <w:tcPr>
            <w:tcW w:w="1258" w:type="dxa"/>
            <w:shd w:val="clear" w:color="auto" w:fill="auto"/>
            <w:noWrap/>
            <w:vAlign w:val="bottom"/>
            <w:hideMark/>
          </w:tcPr>
          <w:p w:rsidR="000D2916" w:rsidRDefault="000D2916">
            <w:pPr>
              <w:jc w:val="right"/>
              <w:rPr>
                <w:b/>
                <w:bCs/>
                <w:i/>
                <w:iCs/>
                <w:color w:val="000000"/>
                <w:sz w:val="22"/>
                <w:szCs w:val="22"/>
              </w:rPr>
            </w:pPr>
            <w:r>
              <w:rPr>
                <w:b/>
                <w:bCs/>
                <w:i/>
                <w:iCs/>
                <w:color w:val="000000"/>
                <w:sz w:val="22"/>
                <w:szCs w:val="22"/>
              </w:rPr>
              <w:t>-99</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600"/>
        </w:trPr>
        <w:tc>
          <w:tcPr>
            <w:tcW w:w="974" w:type="dxa"/>
            <w:shd w:val="clear" w:color="auto" w:fill="auto"/>
            <w:noWrap/>
            <w:vAlign w:val="bottom"/>
            <w:hideMark/>
          </w:tcPr>
          <w:p w:rsidR="000D2916" w:rsidRDefault="000D2916">
            <w:pPr>
              <w:rPr>
                <w:color w:val="000000"/>
                <w:sz w:val="22"/>
                <w:szCs w:val="22"/>
              </w:rPr>
            </w:pPr>
            <w:r>
              <w:rPr>
                <w:color w:val="000000"/>
                <w:sz w:val="22"/>
                <w:szCs w:val="22"/>
              </w:rPr>
              <w:t>1.2.1.</w:t>
            </w:r>
          </w:p>
        </w:tc>
        <w:tc>
          <w:tcPr>
            <w:tcW w:w="2505" w:type="dxa"/>
            <w:shd w:val="clear" w:color="auto" w:fill="auto"/>
            <w:vAlign w:val="bottom"/>
            <w:hideMark/>
          </w:tcPr>
          <w:p w:rsidR="000D2916" w:rsidRDefault="000D2916">
            <w:pPr>
              <w:rPr>
                <w:color w:val="000000"/>
                <w:sz w:val="22"/>
                <w:szCs w:val="22"/>
              </w:rPr>
            </w:pPr>
            <w:r>
              <w:rPr>
                <w:color w:val="000000"/>
                <w:sz w:val="22"/>
                <w:szCs w:val="22"/>
              </w:rPr>
              <w:t xml:space="preserve">Praeitų metų suma kintamajai GPM daliai apskaičiuoti </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711</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679</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-32</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670"/>
        </w:trPr>
        <w:tc>
          <w:tcPr>
            <w:tcW w:w="974" w:type="dxa"/>
            <w:shd w:val="clear" w:color="auto" w:fill="auto"/>
            <w:noWrap/>
            <w:vAlign w:val="bottom"/>
            <w:hideMark/>
          </w:tcPr>
          <w:p w:rsidR="000D2916" w:rsidRDefault="000D2916">
            <w:pPr>
              <w:rPr>
                <w:color w:val="000000"/>
                <w:sz w:val="22"/>
                <w:szCs w:val="22"/>
              </w:rPr>
            </w:pPr>
            <w:r>
              <w:rPr>
                <w:color w:val="000000"/>
                <w:sz w:val="22"/>
                <w:szCs w:val="22"/>
              </w:rPr>
              <w:t>1.2.2.</w:t>
            </w:r>
          </w:p>
        </w:tc>
        <w:tc>
          <w:tcPr>
            <w:tcW w:w="2505" w:type="dxa"/>
            <w:shd w:val="clear" w:color="auto" w:fill="auto"/>
            <w:vAlign w:val="bottom"/>
            <w:hideMark/>
          </w:tcPr>
          <w:p w:rsidR="000D2916" w:rsidRDefault="000D2916">
            <w:pPr>
              <w:rPr>
                <w:color w:val="000000"/>
                <w:sz w:val="22"/>
                <w:szCs w:val="22"/>
              </w:rPr>
            </w:pPr>
            <w:r>
              <w:rPr>
                <w:color w:val="000000"/>
                <w:sz w:val="22"/>
                <w:szCs w:val="22"/>
              </w:rPr>
              <w:t xml:space="preserve">Savivaldybės išlaidų pokyčiams </w:t>
            </w:r>
            <w:r>
              <w:rPr>
                <w:color w:val="000000"/>
                <w:sz w:val="22"/>
                <w:szCs w:val="22"/>
              </w:rPr>
              <w:br/>
              <w:t xml:space="preserve">kompensuoti </w:t>
            </w:r>
          </w:p>
        </w:tc>
        <w:tc>
          <w:tcPr>
            <w:tcW w:w="1290" w:type="dxa"/>
            <w:shd w:val="clear" w:color="auto" w:fill="auto"/>
            <w:noWrap/>
            <w:vAlign w:val="bottom"/>
            <w:hideMark/>
          </w:tcPr>
          <w:p w:rsidR="000D2916" w:rsidRDefault="000D2916">
            <w:pPr>
              <w:jc w:val="right"/>
              <w:rPr>
                <w:b/>
                <w:bCs/>
                <w:color w:val="000000"/>
                <w:sz w:val="22"/>
                <w:szCs w:val="22"/>
              </w:rPr>
            </w:pPr>
            <w:r>
              <w:rPr>
                <w:b/>
                <w:bCs/>
                <w:color w:val="000000"/>
                <w:sz w:val="22"/>
                <w:szCs w:val="22"/>
              </w:rPr>
              <w:t>236</w:t>
            </w:r>
          </w:p>
        </w:tc>
        <w:tc>
          <w:tcPr>
            <w:tcW w:w="1385" w:type="dxa"/>
            <w:shd w:val="clear" w:color="auto" w:fill="auto"/>
            <w:noWrap/>
            <w:vAlign w:val="bottom"/>
            <w:hideMark/>
          </w:tcPr>
          <w:p w:rsidR="000D2916" w:rsidRDefault="000D2916">
            <w:pPr>
              <w:jc w:val="right"/>
              <w:rPr>
                <w:b/>
                <w:bCs/>
                <w:color w:val="000000"/>
                <w:sz w:val="22"/>
                <w:szCs w:val="22"/>
              </w:rPr>
            </w:pPr>
            <w:r>
              <w:rPr>
                <w:b/>
                <w:bCs/>
                <w:color w:val="000000"/>
                <w:sz w:val="22"/>
                <w:szCs w:val="22"/>
              </w:rPr>
              <w:t>268</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32</w:t>
            </w:r>
          </w:p>
        </w:tc>
        <w:tc>
          <w:tcPr>
            <w:tcW w:w="2216" w:type="dxa"/>
            <w:shd w:val="clear" w:color="auto" w:fill="auto"/>
            <w:vAlign w:val="bottom"/>
            <w:hideMark/>
          </w:tcPr>
          <w:p w:rsidR="000D2916" w:rsidRDefault="000D2916">
            <w:pPr>
              <w:rPr>
                <w:color w:val="000000"/>
                <w:sz w:val="22"/>
                <w:szCs w:val="22"/>
              </w:rPr>
            </w:pPr>
            <w:r>
              <w:rPr>
                <w:color w:val="000000"/>
                <w:sz w:val="22"/>
                <w:szCs w:val="22"/>
              </w:rPr>
              <w:t>Skiriama dėl Seimo ir Vyriausybės</w:t>
            </w:r>
            <w:r>
              <w:rPr>
                <w:color w:val="000000"/>
                <w:sz w:val="22"/>
                <w:szCs w:val="22"/>
              </w:rPr>
              <w:br/>
              <w:t xml:space="preserve"> priimtų sprendimų</w:t>
            </w:r>
          </w:p>
        </w:tc>
      </w:tr>
      <w:tr w:rsidR="000D2916" w:rsidTr="002A5A81">
        <w:trPr>
          <w:trHeight w:val="900"/>
        </w:trPr>
        <w:tc>
          <w:tcPr>
            <w:tcW w:w="974" w:type="dxa"/>
            <w:shd w:val="clear" w:color="auto" w:fill="auto"/>
            <w:noWrap/>
            <w:vAlign w:val="bottom"/>
            <w:hideMark/>
          </w:tcPr>
          <w:p w:rsidR="000D2916" w:rsidRDefault="000D2916">
            <w:pPr>
              <w:rPr>
                <w:color w:val="000000"/>
                <w:sz w:val="22"/>
                <w:szCs w:val="22"/>
              </w:rPr>
            </w:pPr>
            <w:r>
              <w:rPr>
                <w:color w:val="000000"/>
                <w:sz w:val="22"/>
                <w:szCs w:val="22"/>
              </w:rPr>
              <w:t>1.2.2.1.</w:t>
            </w:r>
          </w:p>
        </w:tc>
        <w:tc>
          <w:tcPr>
            <w:tcW w:w="2505" w:type="dxa"/>
            <w:shd w:val="clear" w:color="auto" w:fill="auto"/>
            <w:vAlign w:val="bottom"/>
            <w:hideMark/>
          </w:tcPr>
          <w:p w:rsidR="000D2916" w:rsidRDefault="000D2916">
            <w:pPr>
              <w:rPr>
                <w:color w:val="000000"/>
                <w:sz w:val="22"/>
                <w:szCs w:val="22"/>
              </w:rPr>
            </w:pPr>
            <w:r>
              <w:rPr>
                <w:color w:val="000000"/>
                <w:sz w:val="22"/>
                <w:szCs w:val="22"/>
              </w:rPr>
              <w:t>Valstybės ir savivaldybių</w:t>
            </w:r>
            <w:r>
              <w:rPr>
                <w:color w:val="000000"/>
                <w:sz w:val="22"/>
                <w:szCs w:val="22"/>
              </w:rPr>
              <w:br/>
              <w:t xml:space="preserve"> įstaigų darbuotojų darbo apmokėjimo įstatymui laipsniškai įgyvendinti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69</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69</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0</w:t>
            </w:r>
          </w:p>
        </w:tc>
        <w:tc>
          <w:tcPr>
            <w:tcW w:w="2216" w:type="dxa"/>
            <w:shd w:val="clear" w:color="auto" w:fill="auto"/>
            <w:vAlign w:val="bottom"/>
            <w:hideMark/>
          </w:tcPr>
          <w:p w:rsidR="000D2916" w:rsidRDefault="000D2916">
            <w:pPr>
              <w:rPr>
                <w:color w:val="000000"/>
                <w:sz w:val="22"/>
                <w:szCs w:val="22"/>
              </w:rPr>
            </w:pPr>
            <w:r>
              <w:rPr>
                <w:color w:val="000000"/>
                <w:sz w:val="22"/>
                <w:szCs w:val="22"/>
              </w:rPr>
              <w:t>Kintamosios dalies nustatymui ir didinimui</w:t>
            </w:r>
          </w:p>
        </w:tc>
      </w:tr>
      <w:tr w:rsidR="000D2916" w:rsidTr="002A5A81">
        <w:trPr>
          <w:trHeight w:val="600"/>
        </w:trPr>
        <w:tc>
          <w:tcPr>
            <w:tcW w:w="974" w:type="dxa"/>
            <w:shd w:val="clear" w:color="auto" w:fill="auto"/>
            <w:noWrap/>
            <w:vAlign w:val="bottom"/>
            <w:hideMark/>
          </w:tcPr>
          <w:p w:rsidR="000D2916" w:rsidRDefault="000D2916">
            <w:pPr>
              <w:rPr>
                <w:color w:val="000000"/>
                <w:sz w:val="22"/>
                <w:szCs w:val="22"/>
              </w:rPr>
            </w:pPr>
            <w:r>
              <w:rPr>
                <w:color w:val="000000"/>
                <w:sz w:val="22"/>
                <w:szCs w:val="22"/>
              </w:rPr>
              <w:t>1.2.2.2.</w:t>
            </w:r>
          </w:p>
        </w:tc>
        <w:tc>
          <w:tcPr>
            <w:tcW w:w="2505" w:type="dxa"/>
            <w:shd w:val="clear" w:color="auto" w:fill="auto"/>
            <w:noWrap/>
            <w:vAlign w:val="center"/>
            <w:hideMark/>
          </w:tcPr>
          <w:p w:rsidR="000D2916" w:rsidRDefault="000D2916">
            <w:pPr>
              <w:rPr>
                <w:color w:val="000000"/>
                <w:sz w:val="22"/>
                <w:szCs w:val="22"/>
              </w:rPr>
            </w:pPr>
            <w:r>
              <w:rPr>
                <w:color w:val="000000"/>
                <w:sz w:val="22"/>
                <w:szCs w:val="22"/>
              </w:rPr>
              <w:t>Minimaliai mėnesinei algai padidinti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79</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86</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7</w:t>
            </w:r>
          </w:p>
        </w:tc>
        <w:tc>
          <w:tcPr>
            <w:tcW w:w="2216" w:type="dxa"/>
            <w:shd w:val="clear" w:color="auto" w:fill="auto"/>
            <w:vAlign w:val="bottom"/>
            <w:hideMark/>
          </w:tcPr>
          <w:p w:rsidR="000D2916" w:rsidRDefault="000D2916">
            <w:pPr>
              <w:rPr>
                <w:color w:val="000000"/>
                <w:sz w:val="22"/>
                <w:szCs w:val="22"/>
              </w:rPr>
            </w:pPr>
            <w:r>
              <w:rPr>
                <w:color w:val="000000"/>
                <w:sz w:val="22"/>
                <w:szCs w:val="22"/>
              </w:rPr>
              <w:t xml:space="preserve">2019 m. iki 555  Eur </w:t>
            </w:r>
            <w:r>
              <w:rPr>
                <w:color w:val="000000"/>
                <w:sz w:val="22"/>
                <w:szCs w:val="22"/>
              </w:rPr>
              <w:br/>
              <w:t>2020 m. iki 607 Eur</w:t>
            </w:r>
          </w:p>
        </w:tc>
      </w:tr>
      <w:tr w:rsidR="000D2916" w:rsidTr="002A5A81">
        <w:trPr>
          <w:trHeight w:val="540"/>
        </w:trPr>
        <w:tc>
          <w:tcPr>
            <w:tcW w:w="974" w:type="dxa"/>
            <w:shd w:val="clear" w:color="auto" w:fill="auto"/>
            <w:noWrap/>
            <w:vAlign w:val="bottom"/>
            <w:hideMark/>
          </w:tcPr>
          <w:p w:rsidR="000D2916" w:rsidRDefault="000D2916">
            <w:pPr>
              <w:rPr>
                <w:color w:val="000000"/>
                <w:sz w:val="22"/>
                <w:szCs w:val="22"/>
              </w:rPr>
            </w:pPr>
            <w:r>
              <w:rPr>
                <w:color w:val="000000"/>
                <w:sz w:val="22"/>
                <w:szCs w:val="22"/>
              </w:rPr>
              <w:t>1.2.2.3.</w:t>
            </w:r>
          </w:p>
        </w:tc>
        <w:tc>
          <w:tcPr>
            <w:tcW w:w="2505" w:type="dxa"/>
            <w:shd w:val="clear" w:color="auto" w:fill="auto"/>
            <w:vAlign w:val="center"/>
            <w:hideMark/>
          </w:tcPr>
          <w:p w:rsidR="000D2916" w:rsidRDefault="000D2916">
            <w:pPr>
              <w:rPr>
                <w:color w:val="000000"/>
                <w:sz w:val="22"/>
                <w:szCs w:val="22"/>
              </w:rPr>
            </w:pPr>
            <w:r>
              <w:rPr>
                <w:color w:val="000000"/>
                <w:sz w:val="22"/>
                <w:szCs w:val="22"/>
              </w:rPr>
              <w:t>Kultūros darbuotojų darbo užmokesčiui padidinti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39</w:t>
            </w:r>
          </w:p>
        </w:tc>
        <w:tc>
          <w:tcPr>
            <w:tcW w:w="1385" w:type="dxa"/>
            <w:shd w:val="clear" w:color="auto" w:fill="auto"/>
            <w:noWrap/>
            <w:vAlign w:val="bottom"/>
            <w:hideMark/>
          </w:tcPr>
          <w:p w:rsidR="000D2916" w:rsidRDefault="000D2916">
            <w:pPr>
              <w:rPr>
                <w:color w:val="000000"/>
                <w:sz w:val="22"/>
                <w:szCs w:val="22"/>
              </w:rPr>
            </w:pPr>
            <w:r>
              <w:rPr>
                <w:color w:val="000000"/>
                <w:sz w:val="22"/>
                <w:szCs w:val="22"/>
              </w:rPr>
              <w:t> </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-39</w:t>
            </w:r>
          </w:p>
        </w:tc>
        <w:tc>
          <w:tcPr>
            <w:tcW w:w="2216" w:type="dxa"/>
            <w:shd w:val="clear" w:color="auto" w:fill="auto"/>
            <w:vAlign w:val="center"/>
            <w:hideMark/>
          </w:tcPr>
          <w:p w:rsidR="000D2916" w:rsidRDefault="000D2916">
            <w:pPr>
              <w:rPr>
                <w:color w:val="000000"/>
                <w:sz w:val="22"/>
                <w:szCs w:val="22"/>
              </w:rPr>
            </w:pPr>
            <w:r>
              <w:rPr>
                <w:color w:val="000000"/>
                <w:sz w:val="22"/>
                <w:szCs w:val="22"/>
              </w:rPr>
              <w:t> </w:t>
            </w:r>
          </w:p>
        </w:tc>
      </w:tr>
      <w:tr w:rsidR="000D2916" w:rsidTr="002A5A81">
        <w:trPr>
          <w:trHeight w:val="600"/>
        </w:trPr>
        <w:tc>
          <w:tcPr>
            <w:tcW w:w="974" w:type="dxa"/>
            <w:shd w:val="clear" w:color="auto" w:fill="auto"/>
            <w:noWrap/>
            <w:vAlign w:val="bottom"/>
            <w:hideMark/>
          </w:tcPr>
          <w:p w:rsidR="000D2916" w:rsidRDefault="000D2916">
            <w:pPr>
              <w:rPr>
                <w:color w:val="000000"/>
                <w:sz w:val="22"/>
                <w:szCs w:val="22"/>
              </w:rPr>
            </w:pPr>
            <w:r>
              <w:rPr>
                <w:color w:val="000000"/>
                <w:sz w:val="22"/>
                <w:szCs w:val="22"/>
              </w:rPr>
              <w:t>1.2.2.4.</w:t>
            </w:r>
          </w:p>
        </w:tc>
        <w:tc>
          <w:tcPr>
            <w:tcW w:w="2505" w:type="dxa"/>
            <w:shd w:val="clear" w:color="auto" w:fill="auto"/>
            <w:vAlign w:val="bottom"/>
            <w:hideMark/>
          </w:tcPr>
          <w:p w:rsidR="000D2916" w:rsidRDefault="000D2916">
            <w:pPr>
              <w:rPr>
                <w:color w:val="000000"/>
                <w:sz w:val="22"/>
                <w:szCs w:val="22"/>
              </w:rPr>
            </w:pPr>
            <w:r>
              <w:rPr>
                <w:color w:val="000000"/>
                <w:sz w:val="22"/>
                <w:szCs w:val="22"/>
              </w:rPr>
              <w:t>Pareiginės algos (atlyginimo)</w:t>
            </w:r>
            <w:r>
              <w:rPr>
                <w:color w:val="000000"/>
                <w:sz w:val="22"/>
                <w:szCs w:val="22"/>
              </w:rPr>
              <w:br/>
              <w:t xml:space="preserve"> baziniam dydžiui didinti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62</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88</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26</w:t>
            </w:r>
          </w:p>
        </w:tc>
        <w:tc>
          <w:tcPr>
            <w:tcW w:w="2216" w:type="dxa"/>
            <w:shd w:val="clear" w:color="auto" w:fill="auto"/>
            <w:vAlign w:val="bottom"/>
            <w:hideMark/>
          </w:tcPr>
          <w:p w:rsidR="000D2916" w:rsidRDefault="000D2916">
            <w:pPr>
              <w:rPr>
                <w:color w:val="000000"/>
                <w:sz w:val="22"/>
                <w:szCs w:val="22"/>
              </w:rPr>
            </w:pPr>
            <w:r>
              <w:rPr>
                <w:color w:val="000000"/>
                <w:sz w:val="22"/>
                <w:szCs w:val="22"/>
              </w:rPr>
              <w:t>nuo 173 iki 176</w:t>
            </w:r>
          </w:p>
        </w:tc>
      </w:tr>
      <w:tr w:rsidR="000D2916" w:rsidTr="002A5A81">
        <w:trPr>
          <w:trHeight w:val="600"/>
        </w:trPr>
        <w:tc>
          <w:tcPr>
            <w:tcW w:w="974" w:type="dxa"/>
            <w:shd w:val="clear" w:color="auto" w:fill="auto"/>
            <w:noWrap/>
            <w:vAlign w:val="bottom"/>
            <w:hideMark/>
          </w:tcPr>
          <w:p w:rsidR="000D2916" w:rsidRDefault="000D2916">
            <w:pPr>
              <w:rPr>
                <w:color w:val="000000"/>
                <w:sz w:val="22"/>
                <w:szCs w:val="22"/>
              </w:rPr>
            </w:pPr>
            <w:r>
              <w:rPr>
                <w:color w:val="000000"/>
                <w:sz w:val="22"/>
                <w:szCs w:val="22"/>
              </w:rPr>
              <w:t>1.2.2.5.</w:t>
            </w:r>
          </w:p>
        </w:tc>
        <w:tc>
          <w:tcPr>
            <w:tcW w:w="2505" w:type="dxa"/>
            <w:shd w:val="clear" w:color="auto" w:fill="auto"/>
            <w:vAlign w:val="bottom"/>
            <w:hideMark/>
          </w:tcPr>
          <w:p w:rsidR="000D2916" w:rsidRDefault="000D2916">
            <w:pPr>
              <w:rPr>
                <w:color w:val="000000"/>
                <w:sz w:val="22"/>
                <w:szCs w:val="22"/>
              </w:rPr>
            </w:pPr>
            <w:r>
              <w:rPr>
                <w:color w:val="000000"/>
                <w:sz w:val="22"/>
                <w:szCs w:val="22"/>
              </w:rPr>
              <w:t>Pagal teisės aktus perduotoms funkcijoms vykdyti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-13</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-24</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-11</w:t>
            </w:r>
          </w:p>
        </w:tc>
        <w:tc>
          <w:tcPr>
            <w:tcW w:w="2216" w:type="dxa"/>
            <w:shd w:val="clear" w:color="auto" w:fill="auto"/>
            <w:vAlign w:val="bottom"/>
            <w:hideMark/>
          </w:tcPr>
          <w:p w:rsidR="000D2916" w:rsidRDefault="00F503F6">
            <w:pPr>
              <w:rPr>
                <w:color w:val="000000"/>
                <w:sz w:val="22"/>
                <w:szCs w:val="22"/>
              </w:rPr>
            </w:pPr>
            <w:r>
              <w:rPr>
                <w:color w:val="000000"/>
                <w:sz w:val="22"/>
                <w:szCs w:val="22"/>
              </w:rPr>
              <w:t>Apskaičiuota pagal 2019 m.</w:t>
            </w:r>
            <w:r w:rsidR="000D2916">
              <w:rPr>
                <w:color w:val="000000"/>
                <w:sz w:val="22"/>
                <w:szCs w:val="22"/>
              </w:rPr>
              <w:t xml:space="preserve"> faktinius mokėjimus</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1.2.2.6.</w:t>
            </w:r>
          </w:p>
        </w:tc>
        <w:tc>
          <w:tcPr>
            <w:tcW w:w="2505" w:type="dxa"/>
            <w:shd w:val="clear" w:color="auto" w:fill="auto"/>
            <w:vAlign w:val="center"/>
            <w:hideMark/>
          </w:tcPr>
          <w:p w:rsidR="000D2916" w:rsidRDefault="000D2916">
            <w:pPr>
              <w:rPr>
                <w:color w:val="000000"/>
                <w:sz w:val="22"/>
                <w:szCs w:val="22"/>
              </w:rPr>
            </w:pPr>
            <w:r>
              <w:rPr>
                <w:color w:val="000000"/>
                <w:sz w:val="22"/>
                <w:szCs w:val="22"/>
              </w:rPr>
              <w:t>Mažiausiems koeficientams padidinti</w:t>
            </w:r>
          </w:p>
        </w:tc>
        <w:tc>
          <w:tcPr>
            <w:tcW w:w="1290" w:type="dxa"/>
            <w:shd w:val="clear" w:color="auto" w:fill="auto"/>
            <w:noWrap/>
            <w:vAlign w:val="bottom"/>
            <w:hideMark/>
          </w:tcPr>
          <w:p w:rsidR="000D2916" w:rsidRDefault="000D2916">
            <w:pPr>
              <w:rPr>
                <w:color w:val="000000"/>
                <w:sz w:val="22"/>
                <w:szCs w:val="22"/>
              </w:rPr>
            </w:pPr>
            <w:r>
              <w:rPr>
                <w:color w:val="000000"/>
                <w:sz w:val="22"/>
                <w:szCs w:val="22"/>
              </w:rPr>
              <w:t> </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49</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49</w:t>
            </w:r>
          </w:p>
        </w:tc>
        <w:tc>
          <w:tcPr>
            <w:tcW w:w="2216" w:type="dxa"/>
            <w:shd w:val="clear" w:color="auto" w:fill="auto"/>
            <w:vAlign w:val="bottom"/>
            <w:hideMark/>
          </w:tcPr>
          <w:p w:rsidR="000D2916" w:rsidRDefault="000D2916">
            <w:pPr>
              <w:rPr>
                <w:color w:val="000000"/>
                <w:sz w:val="22"/>
                <w:szCs w:val="22"/>
              </w:rPr>
            </w:pPr>
            <w:r>
              <w:rPr>
                <w:color w:val="000000"/>
                <w:sz w:val="22"/>
                <w:szCs w:val="22"/>
              </w:rPr>
              <w:t>dirbantiems pagal darbo sutartis</w:t>
            </w:r>
          </w:p>
        </w:tc>
      </w:tr>
      <w:tr w:rsidR="000D2916" w:rsidTr="002A5A81">
        <w:trPr>
          <w:trHeight w:val="558"/>
        </w:trPr>
        <w:tc>
          <w:tcPr>
            <w:tcW w:w="974" w:type="dxa"/>
            <w:shd w:val="clear" w:color="auto" w:fill="auto"/>
            <w:noWrap/>
            <w:vAlign w:val="bottom"/>
            <w:hideMark/>
          </w:tcPr>
          <w:p w:rsidR="000D2916" w:rsidRDefault="000D2916">
            <w:pPr>
              <w:rPr>
                <w:color w:val="000000"/>
                <w:sz w:val="22"/>
                <w:szCs w:val="22"/>
              </w:rPr>
            </w:pPr>
            <w:r>
              <w:rPr>
                <w:color w:val="000000"/>
                <w:sz w:val="22"/>
                <w:szCs w:val="22"/>
              </w:rPr>
              <w:t>1.2.3.</w:t>
            </w:r>
          </w:p>
        </w:tc>
        <w:tc>
          <w:tcPr>
            <w:tcW w:w="2505" w:type="dxa"/>
            <w:shd w:val="clear" w:color="auto" w:fill="auto"/>
            <w:vAlign w:val="center"/>
            <w:hideMark/>
          </w:tcPr>
          <w:p w:rsidR="000D2916" w:rsidRDefault="000D2916">
            <w:pPr>
              <w:rPr>
                <w:color w:val="000000"/>
                <w:sz w:val="22"/>
                <w:szCs w:val="22"/>
              </w:rPr>
            </w:pPr>
            <w:r>
              <w:rPr>
                <w:color w:val="000000"/>
                <w:sz w:val="22"/>
                <w:szCs w:val="22"/>
              </w:rPr>
              <w:t xml:space="preserve">Savivaldybės prognozuojamų pajamų </w:t>
            </w:r>
            <w:r>
              <w:rPr>
                <w:color w:val="000000"/>
                <w:sz w:val="22"/>
                <w:szCs w:val="22"/>
              </w:rPr>
              <w:br/>
              <w:t>mažėjimui kompensuoti</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225</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0</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-225</w:t>
            </w:r>
          </w:p>
        </w:tc>
        <w:tc>
          <w:tcPr>
            <w:tcW w:w="2216" w:type="dxa"/>
            <w:shd w:val="clear" w:color="auto" w:fill="auto"/>
            <w:vAlign w:val="bottom"/>
            <w:hideMark/>
          </w:tcPr>
          <w:p w:rsidR="000D2916" w:rsidRDefault="000D2916">
            <w:pPr>
              <w:rPr>
                <w:color w:val="000000"/>
                <w:sz w:val="22"/>
                <w:szCs w:val="22"/>
              </w:rPr>
            </w:pPr>
            <w:r>
              <w:rPr>
                <w:color w:val="000000"/>
                <w:sz w:val="22"/>
                <w:szCs w:val="22"/>
              </w:rPr>
              <w:t>Ši dalis apskaičiuo</w:t>
            </w:r>
            <w:r w:rsidR="002A5A81">
              <w:rPr>
                <w:color w:val="000000"/>
                <w:sz w:val="22"/>
                <w:szCs w:val="22"/>
              </w:rPr>
              <w:t xml:space="preserve">ta palyginus ateinančių (90 %) </w:t>
            </w:r>
            <w:r>
              <w:rPr>
                <w:color w:val="000000"/>
                <w:sz w:val="22"/>
                <w:szCs w:val="22"/>
              </w:rPr>
              <w:t>ir einamųjų metų savivaldybių prognozuojamas pajamas</w:t>
            </w:r>
          </w:p>
        </w:tc>
      </w:tr>
      <w:tr w:rsidR="000D2916" w:rsidTr="002A5A81">
        <w:trPr>
          <w:trHeight w:val="900"/>
        </w:trPr>
        <w:tc>
          <w:tcPr>
            <w:tcW w:w="974" w:type="dxa"/>
            <w:shd w:val="clear" w:color="auto" w:fill="auto"/>
            <w:noWrap/>
            <w:vAlign w:val="bottom"/>
            <w:hideMark/>
          </w:tcPr>
          <w:p w:rsidR="000D2916" w:rsidRDefault="000D2916">
            <w:pPr>
              <w:rPr>
                <w:color w:val="000000"/>
                <w:sz w:val="22"/>
                <w:szCs w:val="22"/>
              </w:rPr>
            </w:pPr>
            <w:r>
              <w:rPr>
                <w:color w:val="000000"/>
                <w:sz w:val="22"/>
                <w:szCs w:val="22"/>
              </w:rPr>
              <w:t>1.2.4.</w:t>
            </w:r>
          </w:p>
        </w:tc>
        <w:tc>
          <w:tcPr>
            <w:tcW w:w="2505" w:type="dxa"/>
            <w:shd w:val="clear" w:color="auto" w:fill="auto"/>
            <w:vAlign w:val="center"/>
            <w:hideMark/>
          </w:tcPr>
          <w:p w:rsidR="000D2916" w:rsidRDefault="000D2916">
            <w:pPr>
              <w:rPr>
                <w:color w:val="000000"/>
                <w:sz w:val="22"/>
                <w:szCs w:val="22"/>
              </w:rPr>
            </w:pPr>
            <w:r>
              <w:rPr>
                <w:color w:val="000000"/>
                <w:sz w:val="22"/>
                <w:szCs w:val="22"/>
              </w:rPr>
              <w:t>Kultūros darbuotojų darbo užmokesčiui padidinti</w:t>
            </w:r>
          </w:p>
        </w:tc>
        <w:tc>
          <w:tcPr>
            <w:tcW w:w="1290" w:type="dxa"/>
            <w:shd w:val="clear" w:color="auto" w:fill="auto"/>
            <w:noWrap/>
            <w:vAlign w:val="bottom"/>
            <w:hideMark/>
          </w:tcPr>
          <w:p w:rsidR="000D2916" w:rsidRDefault="000D2916">
            <w:pPr>
              <w:rPr>
                <w:color w:val="000000"/>
                <w:sz w:val="22"/>
                <w:szCs w:val="22"/>
              </w:rPr>
            </w:pPr>
            <w:r>
              <w:rPr>
                <w:color w:val="000000"/>
                <w:sz w:val="22"/>
                <w:szCs w:val="22"/>
              </w:rPr>
              <w:t> </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64</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64</w:t>
            </w:r>
          </w:p>
        </w:tc>
        <w:tc>
          <w:tcPr>
            <w:tcW w:w="2216" w:type="dxa"/>
            <w:shd w:val="clear" w:color="auto" w:fill="auto"/>
            <w:vAlign w:val="center"/>
            <w:hideMark/>
          </w:tcPr>
          <w:p w:rsidR="000D2916" w:rsidRDefault="000D2916">
            <w:pPr>
              <w:rPr>
                <w:color w:val="000000"/>
                <w:sz w:val="22"/>
                <w:szCs w:val="22"/>
              </w:rPr>
            </w:pPr>
            <w:r>
              <w:rPr>
                <w:color w:val="000000"/>
                <w:sz w:val="22"/>
                <w:szCs w:val="22"/>
              </w:rPr>
              <w:t>Didinama 10 proc. pastovioji koeficiento dalis  kiekvienai</w:t>
            </w:r>
            <w:r>
              <w:rPr>
                <w:color w:val="000000"/>
                <w:sz w:val="22"/>
                <w:szCs w:val="22"/>
              </w:rPr>
              <w:br/>
              <w:t xml:space="preserve">kultūros darbuotojo pareigybei </w:t>
            </w:r>
          </w:p>
        </w:tc>
      </w:tr>
      <w:tr w:rsidR="000D2916" w:rsidTr="002A5A81">
        <w:trPr>
          <w:trHeight w:val="600"/>
        </w:trPr>
        <w:tc>
          <w:tcPr>
            <w:tcW w:w="974" w:type="dxa"/>
            <w:shd w:val="clear" w:color="auto" w:fill="auto"/>
            <w:noWrap/>
            <w:vAlign w:val="bottom"/>
            <w:hideMark/>
          </w:tcPr>
          <w:p w:rsidR="000D2916" w:rsidRDefault="000D2916">
            <w:pPr>
              <w:rPr>
                <w:color w:val="000000"/>
                <w:sz w:val="22"/>
                <w:szCs w:val="22"/>
              </w:rPr>
            </w:pPr>
            <w:r>
              <w:rPr>
                <w:color w:val="000000"/>
                <w:sz w:val="22"/>
                <w:szCs w:val="22"/>
              </w:rPr>
              <w:lastRenderedPageBreak/>
              <w:t>1.2.5.</w:t>
            </w:r>
          </w:p>
        </w:tc>
        <w:tc>
          <w:tcPr>
            <w:tcW w:w="2505" w:type="dxa"/>
            <w:shd w:val="clear" w:color="auto" w:fill="auto"/>
            <w:vAlign w:val="center"/>
            <w:hideMark/>
          </w:tcPr>
          <w:p w:rsidR="000D2916" w:rsidRDefault="000D2916">
            <w:pPr>
              <w:rPr>
                <w:color w:val="000000"/>
                <w:sz w:val="22"/>
                <w:szCs w:val="22"/>
              </w:rPr>
            </w:pPr>
            <w:r>
              <w:rPr>
                <w:color w:val="000000"/>
                <w:sz w:val="22"/>
                <w:szCs w:val="22"/>
              </w:rPr>
              <w:t>Verslo plėtros sąlygoms gerinti</w:t>
            </w:r>
          </w:p>
        </w:tc>
        <w:tc>
          <w:tcPr>
            <w:tcW w:w="1290" w:type="dxa"/>
            <w:shd w:val="clear" w:color="auto" w:fill="auto"/>
            <w:noWrap/>
            <w:vAlign w:val="bottom"/>
            <w:hideMark/>
          </w:tcPr>
          <w:p w:rsidR="000D2916" w:rsidRDefault="000D2916">
            <w:pPr>
              <w:rPr>
                <w:color w:val="000000"/>
                <w:sz w:val="22"/>
                <w:szCs w:val="22"/>
              </w:rPr>
            </w:pPr>
            <w:r>
              <w:rPr>
                <w:color w:val="000000"/>
                <w:sz w:val="22"/>
                <w:szCs w:val="22"/>
              </w:rPr>
              <w:t> </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62</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62</w:t>
            </w:r>
          </w:p>
        </w:tc>
        <w:tc>
          <w:tcPr>
            <w:tcW w:w="2216" w:type="dxa"/>
            <w:shd w:val="clear" w:color="auto" w:fill="auto"/>
            <w:vAlign w:val="bottom"/>
            <w:hideMark/>
          </w:tcPr>
          <w:p w:rsidR="000D2916" w:rsidRDefault="00F503F6">
            <w:pPr>
              <w:rPr>
                <w:color w:val="000000"/>
                <w:sz w:val="22"/>
                <w:szCs w:val="22"/>
              </w:rPr>
            </w:pPr>
            <w:r>
              <w:rPr>
                <w:color w:val="000000"/>
                <w:sz w:val="22"/>
                <w:szCs w:val="22"/>
              </w:rPr>
              <w:t xml:space="preserve">Lėšos bus naudojamos verslo plėtros sąlygoms gerinti </w:t>
            </w:r>
          </w:p>
        </w:tc>
      </w:tr>
      <w:tr w:rsidR="000D2916" w:rsidTr="002A5A81">
        <w:trPr>
          <w:trHeight w:val="300"/>
        </w:trPr>
        <w:tc>
          <w:tcPr>
            <w:tcW w:w="974" w:type="dxa"/>
            <w:shd w:val="clear" w:color="auto" w:fill="auto"/>
            <w:noWrap/>
            <w:vAlign w:val="bottom"/>
            <w:hideMark/>
          </w:tcPr>
          <w:p w:rsidR="000D2916" w:rsidRDefault="000D2916">
            <w:pPr>
              <w:rPr>
                <w:b/>
                <w:bCs/>
                <w:color w:val="000000"/>
                <w:sz w:val="22"/>
                <w:szCs w:val="22"/>
              </w:rPr>
            </w:pPr>
            <w:r>
              <w:rPr>
                <w:b/>
                <w:bCs/>
                <w:color w:val="000000"/>
                <w:sz w:val="22"/>
                <w:szCs w:val="22"/>
              </w:rPr>
              <w:t xml:space="preserve">2. </w:t>
            </w:r>
          </w:p>
        </w:tc>
        <w:tc>
          <w:tcPr>
            <w:tcW w:w="2505" w:type="dxa"/>
            <w:shd w:val="clear" w:color="auto" w:fill="auto"/>
            <w:vAlign w:val="bottom"/>
            <w:hideMark/>
          </w:tcPr>
          <w:p w:rsidR="000D2916" w:rsidRDefault="000D2916">
            <w:pPr>
              <w:rPr>
                <w:b/>
                <w:bCs/>
                <w:color w:val="000000"/>
                <w:sz w:val="22"/>
                <w:szCs w:val="22"/>
              </w:rPr>
            </w:pPr>
            <w:r>
              <w:rPr>
                <w:b/>
                <w:bCs/>
                <w:color w:val="000000"/>
                <w:sz w:val="22"/>
                <w:szCs w:val="22"/>
              </w:rPr>
              <w:t>Pajamos ir mokesčiai iš turto</w:t>
            </w:r>
          </w:p>
        </w:tc>
        <w:tc>
          <w:tcPr>
            <w:tcW w:w="1290" w:type="dxa"/>
            <w:shd w:val="clear" w:color="auto" w:fill="auto"/>
            <w:noWrap/>
            <w:vAlign w:val="bottom"/>
            <w:hideMark/>
          </w:tcPr>
          <w:p w:rsidR="000D2916" w:rsidRDefault="000D2916">
            <w:pPr>
              <w:jc w:val="right"/>
              <w:rPr>
                <w:b/>
                <w:bCs/>
                <w:color w:val="000000"/>
                <w:sz w:val="22"/>
                <w:szCs w:val="22"/>
              </w:rPr>
            </w:pPr>
            <w:r>
              <w:rPr>
                <w:b/>
                <w:bCs/>
                <w:color w:val="000000"/>
                <w:sz w:val="22"/>
                <w:szCs w:val="22"/>
              </w:rPr>
              <w:t>370</w:t>
            </w:r>
          </w:p>
        </w:tc>
        <w:tc>
          <w:tcPr>
            <w:tcW w:w="1385" w:type="dxa"/>
            <w:shd w:val="clear" w:color="auto" w:fill="auto"/>
            <w:noWrap/>
            <w:vAlign w:val="bottom"/>
            <w:hideMark/>
          </w:tcPr>
          <w:p w:rsidR="000D2916" w:rsidRDefault="000D2916">
            <w:pPr>
              <w:jc w:val="right"/>
              <w:rPr>
                <w:b/>
                <w:bCs/>
                <w:color w:val="000000"/>
                <w:sz w:val="22"/>
                <w:szCs w:val="22"/>
              </w:rPr>
            </w:pPr>
            <w:r>
              <w:rPr>
                <w:b/>
                <w:bCs/>
                <w:color w:val="000000"/>
                <w:sz w:val="22"/>
                <w:szCs w:val="22"/>
              </w:rPr>
              <w:t>407</w:t>
            </w:r>
          </w:p>
        </w:tc>
        <w:tc>
          <w:tcPr>
            <w:tcW w:w="1258" w:type="dxa"/>
            <w:shd w:val="clear" w:color="auto" w:fill="auto"/>
            <w:noWrap/>
            <w:vAlign w:val="bottom"/>
            <w:hideMark/>
          </w:tcPr>
          <w:p w:rsidR="000D2916" w:rsidRDefault="000D2916">
            <w:pPr>
              <w:jc w:val="right"/>
              <w:rPr>
                <w:b/>
                <w:bCs/>
                <w:color w:val="000000"/>
                <w:sz w:val="22"/>
                <w:szCs w:val="22"/>
              </w:rPr>
            </w:pPr>
            <w:r>
              <w:rPr>
                <w:b/>
                <w:bCs/>
                <w:color w:val="000000"/>
                <w:sz w:val="22"/>
                <w:szCs w:val="22"/>
              </w:rPr>
              <w:t>37</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2.1.</w:t>
            </w:r>
          </w:p>
        </w:tc>
        <w:tc>
          <w:tcPr>
            <w:tcW w:w="2505" w:type="dxa"/>
            <w:shd w:val="clear" w:color="auto" w:fill="auto"/>
            <w:vAlign w:val="bottom"/>
            <w:hideMark/>
          </w:tcPr>
          <w:p w:rsidR="000D2916" w:rsidRDefault="000D2916">
            <w:pPr>
              <w:rPr>
                <w:color w:val="000000"/>
                <w:sz w:val="22"/>
                <w:szCs w:val="22"/>
              </w:rPr>
            </w:pPr>
            <w:r>
              <w:rPr>
                <w:color w:val="000000"/>
                <w:sz w:val="22"/>
                <w:szCs w:val="22"/>
              </w:rPr>
              <w:t>Žemės mokestis</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200</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230</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30</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2.2.</w:t>
            </w:r>
          </w:p>
        </w:tc>
        <w:tc>
          <w:tcPr>
            <w:tcW w:w="2505" w:type="dxa"/>
            <w:shd w:val="clear" w:color="auto" w:fill="auto"/>
            <w:vAlign w:val="bottom"/>
            <w:hideMark/>
          </w:tcPr>
          <w:p w:rsidR="000D2916" w:rsidRDefault="000D2916">
            <w:pPr>
              <w:rPr>
                <w:color w:val="000000"/>
                <w:sz w:val="22"/>
                <w:szCs w:val="22"/>
              </w:rPr>
            </w:pPr>
            <w:r>
              <w:rPr>
                <w:color w:val="000000"/>
                <w:sz w:val="22"/>
                <w:szCs w:val="22"/>
              </w:rPr>
              <w:t>Nekilnojamojo turto mokestis</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90</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100</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10</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2.3.</w:t>
            </w:r>
          </w:p>
        </w:tc>
        <w:tc>
          <w:tcPr>
            <w:tcW w:w="2505" w:type="dxa"/>
            <w:shd w:val="clear" w:color="auto" w:fill="auto"/>
            <w:vAlign w:val="bottom"/>
            <w:hideMark/>
          </w:tcPr>
          <w:p w:rsidR="000D2916" w:rsidRDefault="000D2916">
            <w:pPr>
              <w:rPr>
                <w:color w:val="000000"/>
                <w:sz w:val="22"/>
                <w:szCs w:val="22"/>
              </w:rPr>
            </w:pPr>
            <w:r>
              <w:rPr>
                <w:color w:val="000000"/>
                <w:sz w:val="22"/>
                <w:szCs w:val="22"/>
              </w:rPr>
              <w:t>Paveldimo turto mokestis</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10</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5</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-5</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2.4.</w:t>
            </w:r>
          </w:p>
        </w:tc>
        <w:tc>
          <w:tcPr>
            <w:tcW w:w="2505" w:type="dxa"/>
            <w:shd w:val="clear" w:color="auto" w:fill="auto"/>
            <w:vAlign w:val="bottom"/>
            <w:hideMark/>
          </w:tcPr>
          <w:p w:rsidR="000D2916" w:rsidRDefault="000D2916">
            <w:pPr>
              <w:rPr>
                <w:color w:val="000000"/>
                <w:sz w:val="22"/>
                <w:szCs w:val="22"/>
              </w:rPr>
            </w:pPr>
            <w:r>
              <w:rPr>
                <w:color w:val="000000"/>
                <w:sz w:val="22"/>
                <w:szCs w:val="22"/>
              </w:rPr>
              <w:t>Valstybinės žemės nuomos mokestis</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70</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72</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2</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b/>
                <w:bCs/>
                <w:color w:val="000000"/>
                <w:sz w:val="22"/>
                <w:szCs w:val="22"/>
              </w:rPr>
            </w:pPr>
            <w:r>
              <w:rPr>
                <w:b/>
                <w:bCs/>
                <w:color w:val="000000"/>
                <w:sz w:val="22"/>
                <w:szCs w:val="22"/>
              </w:rPr>
              <w:t>3.</w:t>
            </w:r>
          </w:p>
        </w:tc>
        <w:tc>
          <w:tcPr>
            <w:tcW w:w="2505" w:type="dxa"/>
            <w:shd w:val="clear" w:color="auto" w:fill="auto"/>
            <w:vAlign w:val="bottom"/>
            <w:hideMark/>
          </w:tcPr>
          <w:p w:rsidR="000D2916" w:rsidRDefault="000D2916">
            <w:pPr>
              <w:rPr>
                <w:b/>
                <w:bCs/>
                <w:color w:val="000000"/>
                <w:sz w:val="22"/>
                <w:szCs w:val="22"/>
              </w:rPr>
            </w:pPr>
            <w:r>
              <w:rPr>
                <w:b/>
                <w:bCs/>
                <w:color w:val="000000"/>
                <w:sz w:val="22"/>
                <w:szCs w:val="22"/>
              </w:rPr>
              <w:t>Kitos pajamos</w:t>
            </w:r>
          </w:p>
        </w:tc>
        <w:tc>
          <w:tcPr>
            <w:tcW w:w="1290" w:type="dxa"/>
            <w:shd w:val="clear" w:color="auto" w:fill="auto"/>
            <w:noWrap/>
            <w:vAlign w:val="bottom"/>
            <w:hideMark/>
          </w:tcPr>
          <w:p w:rsidR="000D2916" w:rsidRDefault="000D2916">
            <w:pPr>
              <w:jc w:val="right"/>
              <w:rPr>
                <w:b/>
                <w:bCs/>
                <w:color w:val="000000"/>
                <w:sz w:val="22"/>
                <w:szCs w:val="22"/>
              </w:rPr>
            </w:pPr>
            <w:r>
              <w:rPr>
                <w:b/>
                <w:bCs/>
                <w:color w:val="000000"/>
                <w:sz w:val="22"/>
                <w:szCs w:val="22"/>
              </w:rPr>
              <w:t>34</w:t>
            </w:r>
          </w:p>
        </w:tc>
        <w:tc>
          <w:tcPr>
            <w:tcW w:w="1385" w:type="dxa"/>
            <w:shd w:val="clear" w:color="auto" w:fill="auto"/>
            <w:noWrap/>
            <w:vAlign w:val="bottom"/>
            <w:hideMark/>
          </w:tcPr>
          <w:p w:rsidR="000D2916" w:rsidRDefault="000D2916">
            <w:pPr>
              <w:jc w:val="right"/>
              <w:rPr>
                <w:b/>
                <w:bCs/>
                <w:color w:val="000000"/>
                <w:sz w:val="22"/>
                <w:szCs w:val="22"/>
              </w:rPr>
            </w:pPr>
            <w:r>
              <w:rPr>
                <w:b/>
                <w:bCs/>
                <w:color w:val="000000"/>
                <w:sz w:val="22"/>
                <w:szCs w:val="22"/>
              </w:rPr>
              <w:t>35</w:t>
            </w:r>
          </w:p>
        </w:tc>
        <w:tc>
          <w:tcPr>
            <w:tcW w:w="1258" w:type="dxa"/>
            <w:shd w:val="clear" w:color="auto" w:fill="auto"/>
            <w:noWrap/>
            <w:vAlign w:val="bottom"/>
            <w:hideMark/>
          </w:tcPr>
          <w:p w:rsidR="000D2916" w:rsidRDefault="000D2916">
            <w:pPr>
              <w:jc w:val="right"/>
              <w:rPr>
                <w:b/>
                <w:bCs/>
                <w:color w:val="000000"/>
                <w:sz w:val="22"/>
                <w:szCs w:val="22"/>
              </w:rPr>
            </w:pPr>
            <w:r>
              <w:rPr>
                <w:b/>
                <w:bCs/>
                <w:color w:val="000000"/>
                <w:sz w:val="22"/>
                <w:szCs w:val="22"/>
              </w:rPr>
              <w:t>1</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3.1.</w:t>
            </w:r>
          </w:p>
        </w:tc>
        <w:tc>
          <w:tcPr>
            <w:tcW w:w="2505" w:type="dxa"/>
            <w:shd w:val="clear" w:color="auto" w:fill="auto"/>
            <w:vAlign w:val="bottom"/>
            <w:hideMark/>
          </w:tcPr>
          <w:p w:rsidR="000D2916" w:rsidRDefault="000D2916">
            <w:pPr>
              <w:rPr>
                <w:color w:val="000000"/>
                <w:sz w:val="22"/>
                <w:szCs w:val="22"/>
              </w:rPr>
            </w:pPr>
            <w:r>
              <w:rPr>
                <w:color w:val="000000"/>
                <w:sz w:val="22"/>
                <w:szCs w:val="22"/>
              </w:rPr>
              <w:t>Valstybės rinklavos</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22</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22</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0</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3.2.</w:t>
            </w:r>
          </w:p>
        </w:tc>
        <w:tc>
          <w:tcPr>
            <w:tcW w:w="2505" w:type="dxa"/>
            <w:shd w:val="clear" w:color="auto" w:fill="auto"/>
            <w:vAlign w:val="bottom"/>
            <w:hideMark/>
          </w:tcPr>
          <w:p w:rsidR="000D2916" w:rsidRDefault="000D2916">
            <w:pPr>
              <w:rPr>
                <w:color w:val="000000"/>
                <w:sz w:val="22"/>
                <w:szCs w:val="22"/>
              </w:rPr>
            </w:pPr>
            <w:r>
              <w:rPr>
                <w:color w:val="000000"/>
                <w:sz w:val="22"/>
                <w:szCs w:val="22"/>
              </w:rPr>
              <w:t>Pajamos iš baudų ir konfiskacijų</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10</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11</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1</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974" w:type="dxa"/>
            <w:shd w:val="clear" w:color="auto" w:fill="auto"/>
            <w:noWrap/>
            <w:vAlign w:val="bottom"/>
            <w:hideMark/>
          </w:tcPr>
          <w:p w:rsidR="000D2916" w:rsidRDefault="000D2916">
            <w:pPr>
              <w:rPr>
                <w:color w:val="000000"/>
                <w:sz w:val="22"/>
                <w:szCs w:val="22"/>
              </w:rPr>
            </w:pPr>
            <w:r>
              <w:rPr>
                <w:color w:val="000000"/>
                <w:sz w:val="22"/>
                <w:szCs w:val="22"/>
              </w:rPr>
              <w:t>3.3.</w:t>
            </w:r>
          </w:p>
        </w:tc>
        <w:tc>
          <w:tcPr>
            <w:tcW w:w="2505" w:type="dxa"/>
            <w:shd w:val="clear" w:color="auto" w:fill="auto"/>
            <w:vAlign w:val="bottom"/>
            <w:hideMark/>
          </w:tcPr>
          <w:p w:rsidR="000D2916" w:rsidRDefault="000D2916">
            <w:pPr>
              <w:rPr>
                <w:color w:val="000000"/>
                <w:sz w:val="22"/>
                <w:szCs w:val="22"/>
              </w:rPr>
            </w:pPr>
            <w:r>
              <w:rPr>
                <w:color w:val="000000"/>
                <w:sz w:val="22"/>
                <w:szCs w:val="22"/>
              </w:rPr>
              <w:t>Kitos neišvardintos pajamos</w:t>
            </w:r>
          </w:p>
        </w:tc>
        <w:tc>
          <w:tcPr>
            <w:tcW w:w="1290" w:type="dxa"/>
            <w:shd w:val="clear" w:color="auto" w:fill="auto"/>
            <w:noWrap/>
            <w:vAlign w:val="bottom"/>
            <w:hideMark/>
          </w:tcPr>
          <w:p w:rsidR="000D2916" w:rsidRDefault="000D2916">
            <w:pPr>
              <w:jc w:val="right"/>
              <w:rPr>
                <w:color w:val="000000"/>
                <w:sz w:val="22"/>
                <w:szCs w:val="22"/>
              </w:rPr>
            </w:pPr>
            <w:r>
              <w:rPr>
                <w:color w:val="000000"/>
                <w:sz w:val="22"/>
                <w:szCs w:val="22"/>
              </w:rPr>
              <w:t>2</w:t>
            </w:r>
          </w:p>
        </w:tc>
        <w:tc>
          <w:tcPr>
            <w:tcW w:w="1385" w:type="dxa"/>
            <w:shd w:val="clear" w:color="auto" w:fill="auto"/>
            <w:noWrap/>
            <w:vAlign w:val="bottom"/>
            <w:hideMark/>
          </w:tcPr>
          <w:p w:rsidR="000D2916" w:rsidRDefault="000D2916">
            <w:pPr>
              <w:jc w:val="right"/>
              <w:rPr>
                <w:color w:val="000000"/>
                <w:sz w:val="22"/>
                <w:szCs w:val="22"/>
              </w:rPr>
            </w:pPr>
            <w:r>
              <w:rPr>
                <w:color w:val="000000"/>
                <w:sz w:val="22"/>
                <w:szCs w:val="22"/>
              </w:rPr>
              <w:t>2</w:t>
            </w:r>
          </w:p>
        </w:tc>
        <w:tc>
          <w:tcPr>
            <w:tcW w:w="1258" w:type="dxa"/>
            <w:shd w:val="clear" w:color="auto" w:fill="auto"/>
            <w:noWrap/>
            <w:vAlign w:val="bottom"/>
            <w:hideMark/>
          </w:tcPr>
          <w:p w:rsidR="000D2916" w:rsidRDefault="000D2916">
            <w:pPr>
              <w:jc w:val="right"/>
              <w:rPr>
                <w:color w:val="000000"/>
                <w:sz w:val="22"/>
                <w:szCs w:val="22"/>
              </w:rPr>
            </w:pPr>
            <w:r>
              <w:rPr>
                <w:color w:val="000000"/>
                <w:sz w:val="22"/>
                <w:szCs w:val="22"/>
              </w:rPr>
              <w:t>0</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r w:rsidR="000D2916" w:rsidTr="002A5A81">
        <w:trPr>
          <w:trHeight w:val="300"/>
        </w:trPr>
        <w:tc>
          <w:tcPr>
            <w:tcW w:w="3479" w:type="dxa"/>
            <w:gridSpan w:val="2"/>
            <w:shd w:val="clear" w:color="auto" w:fill="auto"/>
            <w:noWrap/>
            <w:vAlign w:val="bottom"/>
            <w:hideMark/>
          </w:tcPr>
          <w:p w:rsidR="000D2916" w:rsidRDefault="000D2916">
            <w:pPr>
              <w:jc w:val="center"/>
              <w:rPr>
                <w:b/>
                <w:bCs/>
                <w:color w:val="000000"/>
                <w:sz w:val="22"/>
                <w:szCs w:val="22"/>
              </w:rPr>
            </w:pPr>
            <w:r>
              <w:rPr>
                <w:b/>
                <w:bCs/>
                <w:color w:val="000000"/>
                <w:sz w:val="22"/>
                <w:szCs w:val="22"/>
              </w:rPr>
              <w:t>Iš viso pajamų:</w:t>
            </w:r>
          </w:p>
        </w:tc>
        <w:tc>
          <w:tcPr>
            <w:tcW w:w="1290" w:type="dxa"/>
            <w:shd w:val="clear" w:color="auto" w:fill="auto"/>
            <w:noWrap/>
            <w:vAlign w:val="bottom"/>
            <w:hideMark/>
          </w:tcPr>
          <w:p w:rsidR="000D2916" w:rsidRDefault="000D2916">
            <w:pPr>
              <w:jc w:val="right"/>
              <w:rPr>
                <w:b/>
                <w:bCs/>
                <w:color w:val="000000"/>
                <w:sz w:val="22"/>
                <w:szCs w:val="22"/>
              </w:rPr>
            </w:pPr>
            <w:r>
              <w:rPr>
                <w:b/>
                <w:bCs/>
                <w:color w:val="000000"/>
                <w:sz w:val="22"/>
                <w:szCs w:val="22"/>
              </w:rPr>
              <w:t>10329</w:t>
            </w:r>
          </w:p>
        </w:tc>
        <w:tc>
          <w:tcPr>
            <w:tcW w:w="1385" w:type="dxa"/>
            <w:shd w:val="clear" w:color="auto" w:fill="auto"/>
            <w:noWrap/>
            <w:vAlign w:val="bottom"/>
            <w:hideMark/>
          </w:tcPr>
          <w:p w:rsidR="000D2916" w:rsidRDefault="000D2916">
            <w:pPr>
              <w:jc w:val="right"/>
              <w:rPr>
                <w:b/>
                <w:bCs/>
                <w:color w:val="000000"/>
                <w:sz w:val="22"/>
                <w:szCs w:val="22"/>
              </w:rPr>
            </w:pPr>
            <w:r>
              <w:rPr>
                <w:b/>
                <w:bCs/>
                <w:color w:val="000000"/>
                <w:sz w:val="22"/>
                <w:szCs w:val="22"/>
              </w:rPr>
              <w:t>11359</w:t>
            </w:r>
          </w:p>
        </w:tc>
        <w:tc>
          <w:tcPr>
            <w:tcW w:w="1258" w:type="dxa"/>
            <w:shd w:val="clear" w:color="auto" w:fill="auto"/>
            <w:noWrap/>
            <w:vAlign w:val="bottom"/>
            <w:hideMark/>
          </w:tcPr>
          <w:p w:rsidR="000D2916" w:rsidRDefault="000D2916">
            <w:pPr>
              <w:jc w:val="right"/>
              <w:rPr>
                <w:b/>
                <w:bCs/>
                <w:color w:val="000000"/>
                <w:sz w:val="22"/>
                <w:szCs w:val="22"/>
              </w:rPr>
            </w:pPr>
            <w:r>
              <w:rPr>
                <w:b/>
                <w:bCs/>
                <w:color w:val="000000"/>
                <w:sz w:val="22"/>
                <w:szCs w:val="22"/>
              </w:rPr>
              <w:t>1030</w:t>
            </w:r>
          </w:p>
        </w:tc>
        <w:tc>
          <w:tcPr>
            <w:tcW w:w="2216" w:type="dxa"/>
            <w:shd w:val="clear" w:color="auto" w:fill="auto"/>
            <w:noWrap/>
            <w:vAlign w:val="bottom"/>
            <w:hideMark/>
          </w:tcPr>
          <w:p w:rsidR="000D2916" w:rsidRDefault="000D2916">
            <w:pPr>
              <w:rPr>
                <w:color w:val="000000"/>
                <w:sz w:val="22"/>
                <w:szCs w:val="22"/>
              </w:rPr>
            </w:pPr>
            <w:r>
              <w:rPr>
                <w:color w:val="000000"/>
                <w:sz w:val="22"/>
                <w:szCs w:val="22"/>
              </w:rPr>
              <w:t> </w:t>
            </w:r>
          </w:p>
        </w:tc>
      </w:tr>
    </w:tbl>
    <w:p w:rsidR="001A5A80" w:rsidRPr="00E11490" w:rsidRDefault="001A5A80" w:rsidP="001A5A80">
      <w:pPr>
        <w:spacing w:line="360" w:lineRule="auto"/>
        <w:ind w:firstLine="720"/>
        <w:jc w:val="both"/>
      </w:pPr>
      <w:r w:rsidRPr="00E11490">
        <w:t>20</w:t>
      </w:r>
      <w:r w:rsidR="000D2916">
        <w:t>20</w:t>
      </w:r>
      <w:r w:rsidRPr="00E11490">
        <w:t xml:space="preserve"> m. planuojama surinkti </w:t>
      </w:r>
      <w:r w:rsidR="000D2916">
        <w:t>10917</w:t>
      </w:r>
      <w:r w:rsidRPr="00E11490">
        <w:t xml:space="preserve"> tūkst. Eur gyventojų pajamų mokesčio, tai </w:t>
      </w:r>
      <w:r w:rsidR="000D2916">
        <w:t>992</w:t>
      </w:r>
      <w:r w:rsidRPr="00E11490">
        <w:t xml:space="preserve"> tūkst. Eur daugiau nei 201</w:t>
      </w:r>
      <w:r w:rsidR="000D2916">
        <w:t>9</w:t>
      </w:r>
      <w:r w:rsidRPr="00E11490">
        <w:t xml:space="preserve"> m. </w:t>
      </w:r>
    </w:p>
    <w:p w:rsidR="001A5A80" w:rsidRPr="00E11490" w:rsidRDefault="001A5A80" w:rsidP="001A5A80">
      <w:pPr>
        <w:spacing w:line="360" w:lineRule="auto"/>
        <w:ind w:firstLine="720"/>
        <w:jc w:val="both"/>
      </w:pPr>
      <w:r w:rsidRPr="00E11490">
        <w:t>20</w:t>
      </w:r>
      <w:r w:rsidR="000D2916">
        <w:t>20</w:t>
      </w:r>
      <w:r w:rsidRPr="00E11490">
        <w:t xml:space="preserve"> m. planuojama surinkti </w:t>
      </w:r>
      <w:r w:rsidR="000D2916">
        <w:t>335</w:t>
      </w:r>
      <w:r w:rsidRPr="00E11490">
        <w:t xml:space="preserve"> tūkst. Eur turto pajamų, iš kurių  žemės mokestis -2</w:t>
      </w:r>
      <w:r w:rsidR="000D2916">
        <w:t>3</w:t>
      </w:r>
      <w:r w:rsidRPr="00E11490">
        <w:t>0 tūkst. Eur,   nekilnojamojo turto mokestis-</w:t>
      </w:r>
      <w:r w:rsidR="000D2916">
        <w:t>100</w:t>
      </w:r>
      <w:r w:rsidRPr="00E11490">
        <w:t xml:space="preserve"> tūkst. Eur ir paveldimo turto mokestis-</w:t>
      </w:r>
      <w:r w:rsidR="000D2916">
        <w:t>5</w:t>
      </w:r>
      <w:r w:rsidRPr="00E11490">
        <w:t xml:space="preserve"> tūkst. Eur.  201</w:t>
      </w:r>
      <w:r w:rsidR="000D2916">
        <w:t>9</w:t>
      </w:r>
      <w:r w:rsidRPr="00E11490">
        <w:t xml:space="preserve"> m.  metais iš šių mokesčių savivaldybės biudžetas gavo </w:t>
      </w:r>
      <w:r w:rsidR="000D2916">
        <w:t>427,3</w:t>
      </w:r>
      <w:r w:rsidRPr="00E11490">
        <w:t xml:space="preserve"> tūkst. Eur. pajamų.  </w:t>
      </w:r>
    </w:p>
    <w:p w:rsidR="000D2916" w:rsidRDefault="001A5A80" w:rsidP="001A5A80">
      <w:pPr>
        <w:autoSpaceDE w:val="0"/>
        <w:autoSpaceDN w:val="0"/>
        <w:adjustRightInd w:val="0"/>
        <w:spacing w:line="360" w:lineRule="auto"/>
        <w:ind w:firstLine="720"/>
        <w:jc w:val="both"/>
      </w:pPr>
      <w:r w:rsidRPr="00725D2F">
        <w:t>Žemės nuomos mokesčio 20</w:t>
      </w:r>
      <w:r w:rsidR="000D2916">
        <w:t>20</w:t>
      </w:r>
      <w:r w:rsidRPr="00725D2F">
        <w:t xml:space="preserve"> m. planuojama surinkti – </w:t>
      </w:r>
      <w:r w:rsidR="000D2916">
        <w:t xml:space="preserve">72 tūkst. Eur, tačiau </w:t>
      </w:r>
      <w:r w:rsidRPr="00725D2F">
        <w:t xml:space="preserve"> 201</w:t>
      </w:r>
      <w:r w:rsidR="000D2916">
        <w:t>9</w:t>
      </w:r>
      <w:r w:rsidRPr="00725D2F">
        <w:t xml:space="preserve"> metais gauta </w:t>
      </w:r>
      <w:r w:rsidR="000D2916">
        <w:t>86,6</w:t>
      </w:r>
      <w:r w:rsidRPr="00725D2F">
        <w:t xml:space="preserve"> tūkst. Eur. </w:t>
      </w:r>
    </w:p>
    <w:p w:rsidR="001A5A80" w:rsidRPr="00725D2F" w:rsidRDefault="001A5A80" w:rsidP="001A5A80">
      <w:pPr>
        <w:autoSpaceDE w:val="0"/>
        <w:autoSpaceDN w:val="0"/>
        <w:adjustRightInd w:val="0"/>
        <w:spacing w:line="360" w:lineRule="auto"/>
        <w:ind w:firstLine="720"/>
        <w:jc w:val="both"/>
      </w:pPr>
      <w:r w:rsidRPr="00725D2F">
        <w:t xml:space="preserve">Kitų pajamų dalis bendrose pajamose nežymi ir didesnės įtakos pajamų vykdymui neturės. </w:t>
      </w:r>
    </w:p>
    <w:p w:rsidR="00850139" w:rsidRDefault="00D34900" w:rsidP="009454F3">
      <w:pPr>
        <w:spacing w:line="360" w:lineRule="auto"/>
        <w:ind w:firstLine="720"/>
        <w:jc w:val="both"/>
        <w:rPr>
          <w:bCs/>
        </w:rPr>
      </w:pPr>
      <w:r w:rsidRPr="00232447">
        <w:rPr>
          <w:bCs/>
        </w:rPr>
        <w:t>P</w:t>
      </w:r>
      <w:r w:rsidR="007C60FE" w:rsidRPr="00232447">
        <w:rPr>
          <w:bCs/>
        </w:rPr>
        <w:t xml:space="preserve">agrindiniai rodikliai, </w:t>
      </w:r>
      <w:r w:rsidR="00AB638F" w:rsidRPr="00232447">
        <w:rPr>
          <w:bCs/>
        </w:rPr>
        <w:t>darantys įtaką</w:t>
      </w:r>
      <w:r w:rsidR="007C60FE" w:rsidRPr="00232447">
        <w:rPr>
          <w:bCs/>
        </w:rPr>
        <w:t xml:space="preserve"> </w:t>
      </w:r>
      <w:r w:rsidR="00850139" w:rsidRPr="00232447">
        <w:rPr>
          <w:bCs/>
        </w:rPr>
        <w:t>prognozuojam</w:t>
      </w:r>
      <w:r w:rsidR="00FF6509">
        <w:rPr>
          <w:bCs/>
        </w:rPr>
        <w:t xml:space="preserve">am </w:t>
      </w:r>
      <w:r w:rsidR="00850139" w:rsidRPr="00232447">
        <w:rPr>
          <w:bCs/>
        </w:rPr>
        <w:t xml:space="preserve">gyventojų pajamų mokesčiui ir reikalingi išlaidų struktūros skirtumų išlyginimui apskaičiuoti </w:t>
      </w:r>
      <w:r w:rsidR="00EC2A14">
        <w:rPr>
          <w:bCs/>
        </w:rPr>
        <w:t>detalizuojami 1 lentelėje.</w:t>
      </w:r>
    </w:p>
    <w:p w:rsidR="00EC2A14" w:rsidRPr="00232447" w:rsidRDefault="00EC2A14" w:rsidP="009454F3">
      <w:pPr>
        <w:spacing w:line="360" w:lineRule="auto"/>
        <w:ind w:firstLine="720"/>
        <w:jc w:val="both"/>
        <w:rPr>
          <w:bCs/>
        </w:rPr>
      </w:pPr>
      <w:r>
        <w:rPr>
          <w:bCs/>
        </w:rPr>
        <w:tab/>
      </w:r>
      <w:r>
        <w:rPr>
          <w:bCs/>
        </w:rPr>
        <w:tab/>
      </w:r>
      <w:r>
        <w:rPr>
          <w:bCs/>
        </w:rPr>
        <w:tab/>
      </w:r>
      <w:r>
        <w:rPr>
          <w:bCs/>
        </w:rPr>
        <w:tab/>
      </w:r>
      <w:r>
        <w:rPr>
          <w:bCs/>
        </w:rPr>
        <w:tab/>
      </w:r>
      <w:r>
        <w:rPr>
          <w:bCs/>
        </w:rPr>
        <w:tab/>
        <w:t>1 lentelė</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518"/>
        <w:gridCol w:w="993"/>
        <w:gridCol w:w="1134"/>
        <w:gridCol w:w="1701"/>
      </w:tblGrid>
      <w:tr w:rsidR="00172E9B" w:rsidTr="008D1A35">
        <w:trPr>
          <w:trHeight w:val="1260"/>
        </w:trPr>
        <w:tc>
          <w:tcPr>
            <w:tcW w:w="580" w:type="dxa"/>
            <w:shd w:val="clear" w:color="auto" w:fill="auto"/>
            <w:vAlign w:val="bottom"/>
            <w:hideMark/>
          </w:tcPr>
          <w:p w:rsidR="00172E9B" w:rsidRDefault="00172E9B">
            <w:pPr>
              <w:rPr>
                <w:b/>
                <w:bCs/>
                <w:color w:val="000000"/>
              </w:rPr>
            </w:pPr>
            <w:r>
              <w:rPr>
                <w:b/>
                <w:bCs/>
                <w:color w:val="000000"/>
              </w:rPr>
              <w:t xml:space="preserve">Eil. </w:t>
            </w:r>
            <w:r>
              <w:rPr>
                <w:b/>
                <w:bCs/>
                <w:color w:val="000000"/>
              </w:rPr>
              <w:br/>
              <w:t xml:space="preserve">Nr. </w:t>
            </w:r>
          </w:p>
        </w:tc>
        <w:tc>
          <w:tcPr>
            <w:tcW w:w="4518" w:type="dxa"/>
            <w:shd w:val="clear" w:color="auto" w:fill="auto"/>
            <w:noWrap/>
            <w:vAlign w:val="center"/>
            <w:hideMark/>
          </w:tcPr>
          <w:p w:rsidR="00172E9B" w:rsidRDefault="00172E9B">
            <w:pPr>
              <w:rPr>
                <w:b/>
                <w:bCs/>
                <w:color w:val="000000"/>
              </w:rPr>
            </w:pPr>
            <w:r>
              <w:rPr>
                <w:b/>
                <w:bCs/>
                <w:color w:val="000000"/>
              </w:rPr>
              <w:t>Demografiniai, socialiniai ir kiti rodikliai</w:t>
            </w:r>
          </w:p>
        </w:tc>
        <w:tc>
          <w:tcPr>
            <w:tcW w:w="993" w:type="dxa"/>
            <w:shd w:val="clear" w:color="auto" w:fill="auto"/>
            <w:noWrap/>
            <w:vAlign w:val="center"/>
            <w:hideMark/>
          </w:tcPr>
          <w:p w:rsidR="00172E9B" w:rsidRDefault="00172E9B">
            <w:pPr>
              <w:jc w:val="center"/>
              <w:rPr>
                <w:b/>
                <w:bCs/>
                <w:color w:val="000000"/>
              </w:rPr>
            </w:pPr>
            <w:r>
              <w:rPr>
                <w:b/>
                <w:bCs/>
                <w:color w:val="000000"/>
              </w:rPr>
              <w:t xml:space="preserve">2019 m. </w:t>
            </w:r>
          </w:p>
        </w:tc>
        <w:tc>
          <w:tcPr>
            <w:tcW w:w="1134" w:type="dxa"/>
            <w:shd w:val="clear" w:color="auto" w:fill="auto"/>
            <w:noWrap/>
            <w:vAlign w:val="center"/>
            <w:hideMark/>
          </w:tcPr>
          <w:p w:rsidR="00172E9B" w:rsidRDefault="00172E9B">
            <w:pPr>
              <w:jc w:val="center"/>
              <w:rPr>
                <w:b/>
                <w:bCs/>
                <w:color w:val="000000"/>
              </w:rPr>
            </w:pPr>
            <w:r>
              <w:rPr>
                <w:b/>
                <w:bCs/>
                <w:color w:val="000000"/>
              </w:rPr>
              <w:t xml:space="preserve">2020 m. </w:t>
            </w:r>
          </w:p>
        </w:tc>
        <w:tc>
          <w:tcPr>
            <w:tcW w:w="1701" w:type="dxa"/>
            <w:shd w:val="clear" w:color="auto" w:fill="auto"/>
            <w:vAlign w:val="bottom"/>
            <w:hideMark/>
          </w:tcPr>
          <w:p w:rsidR="00172E9B" w:rsidRDefault="00172E9B">
            <w:pPr>
              <w:jc w:val="center"/>
              <w:rPr>
                <w:b/>
                <w:bCs/>
                <w:color w:val="000000"/>
              </w:rPr>
            </w:pPr>
            <w:r>
              <w:rPr>
                <w:b/>
                <w:bCs/>
                <w:color w:val="000000"/>
              </w:rPr>
              <w:t xml:space="preserve">Skirtumas tarp </w:t>
            </w:r>
            <w:r>
              <w:rPr>
                <w:b/>
                <w:bCs/>
                <w:color w:val="000000"/>
              </w:rPr>
              <w:br/>
              <w:t>2020 ir 2019 metų</w:t>
            </w:r>
          </w:p>
        </w:tc>
      </w:tr>
      <w:tr w:rsidR="00172E9B" w:rsidTr="008D1A35">
        <w:trPr>
          <w:trHeight w:val="315"/>
        </w:trPr>
        <w:tc>
          <w:tcPr>
            <w:tcW w:w="580" w:type="dxa"/>
            <w:shd w:val="clear" w:color="auto" w:fill="auto"/>
            <w:noWrap/>
            <w:vAlign w:val="bottom"/>
            <w:hideMark/>
          </w:tcPr>
          <w:p w:rsidR="00172E9B" w:rsidRDefault="00172E9B">
            <w:pPr>
              <w:rPr>
                <w:color w:val="000000"/>
              </w:rPr>
            </w:pPr>
            <w:r>
              <w:rPr>
                <w:color w:val="000000"/>
              </w:rPr>
              <w:t>1.</w:t>
            </w:r>
          </w:p>
        </w:tc>
        <w:tc>
          <w:tcPr>
            <w:tcW w:w="4518" w:type="dxa"/>
            <w:shd w:val="clear" w:color="auto" w:fill="auto"/>
            <w:noWrap/>
            <w:vAlign w:val="bottom"/>
            <w:hideMark/>
          </w:tcPr>
          <w:p w:rsidR="00172E9B" w:rsidRDefault="00172E9B">
            <w:pPr>
              <w:rPr>
                <w:color w:val="000000"/>
              </w:rPr>
            </w:pPr>
            <w:r>
              <w:rPr>
                <w:color w:val="000000"/>
              </w:rPr>
              <w:t>Gyventojų skaičius</w:t>
            </w:r>
          </w:p>
        </w:tc>
        <w:tc>
          <w:tcPr>
            <w:tcW w:w="993" w:type="dxa"/>
            <w:shd w:val="clear" w:color="auto" w:fill="auto"/>
            <w:noWrap/>
            <w:vAlign w:val="bottom"/>
            <w:hideMark/>
          </w:tcPr>
          <w:p w:rsidR="00172E9B" w:rsidRDefault="00172E9B">
            <w:pPr>
              <w:jc w:val="right"/>
              <w:rPr>
                <w:color w:val="000000"/>
              </w:rPr>
            </w:pPr>
            <w:r>
              <w:rPr>
                <w:color w:val="000000"/>
              </w:rPr>
              <w:t>19858</w:t>
            </w:r>
          </w:p>
        </w:tc>
        <w:tc>
          <w:tcPr>
            <w:tcW w:w="1134" w:type="dxa"/>
            <w:shd w:val="clear" w:color="auto" w:fill="auto"/>
            <w:noWrap/>
            <w:vAlign w:val="bottom"/>
            <w:hideMark/>
          </w:tcPr>
          <w:p w:rsidR="00172E9B" w:rsidRDefault="00172E9B">
            <w:pPr>
              <w:jc w:val="right"/>
              <w:rPr>
                <w:color w:val="000000"/>
              </w:rPr>
            </w:pPr>
            <w:r>
              <w:rPr>
                <w:color w:val="000000"/>
              </w:rPr>
              <w:t>19346</w:t>
            </w:r>
          </w:p>
        </w:tc>
        <w:tc>
          <w:tcPr>
            <w:tcW w:w="1701" w:type="dxa"/>
            <w:shd w:val="clear" w:color="auto" w:fill="auto"/>
            <w:noWrap/>
            <w:vAlign w:val="bottom"/>
            <w:hideMark/>
          </w:tcPr>
          <w:p w:rsidR="00172E9B" w:rsidRDefault="00172E9B">
            <w:pPr>
              <w:jc w:val="right"/>
              <w:rPr>
                <w:color w:val="000000"/>
              </w:rPr>
            </w:pPr>
            <w:r>
              <w:rPr>
                <w:color w:val="000000"/>
              </w:rPr>
              <w:t>-512</w:t>
            </w:r>
          </w:p>
        </w:tc>
      </w:tr>
      <w:tr w:rsidR="00172E9B" w:rsidTr="008D1A35">
        <w:trPr>
          <w:trHeight w:val="315"/>
        </w:trPr>
        <w:tc>
          <w:tcPr>
            <w:tcW w:w="580" w:type="dxa"/>
            <w:shd w:val="clear" w:color="auto" w:fill="auto"/>
            <w:noWrap/>
            <w:vAlign w:val="bottom"/>
            <w:hideMark/>
          </w:tcPr>
          <w:p w:rsidR="00172E9B" w:rsidRDefault="00172E9B">
            <w:pPr>
              <w:rPr>
                <w:color w:val="000000"/>
              </w:rPr>
            </w:pPr>
            <w:r>
              <w:rPr>
                <w:color w:val="000000"/>
              </w:rPr>
              <w:t>2.</w:t>
            </w:r>
          </w:p>
        </w:tc>
        <w:tc>
          <w:tcPr>
            <w:tcW w:w="4518" w:type="dxa"/>
            <w:shd w:val="clear" w:color="auto" w:fill="auto"/>
            <w:noWrap/>
            <w:vAlign w:val="bottom"/>
            <w:hideMark/>
          </w:tcPr>
          <w:p w:rsidR="00172E9B" w:rsidRDefault="00172E9B">
            <w:pPr>
              <w:rPr>
                <w:color w:val="000000"/>
              </w:rPr>
            </w:pPr>
            <w:r>
              <w:rPr>
                <w:color w:val="000000"/>
              </w:rPr>
              <w:t>Vaikų skaičius nuo 0 iki 6 metų, vnt.</w:t>
            </w:r>
          </w:p>
        </w:tc>
        <w:tc>
          <w:tcPr>
            <w:tcW w:w="993" w:type="dxa"/>
            <w:shd w:val="clear" w:color="auto" w:fill="auto"/>
            <w:noWrap/>
            <w:vAlign w:val="bottom"/>
            <w:hideMark/>
          </w:tcPr>
          <w:p w:rsidR="00172E9B" w:rsidRDefault="00172E9B">
            <w:pPr>
              <w:jc w:val="right"/>
              <w:rPr>
                <w:color w:val="000000"/>
              </w:rPr>
            </w:pPr>
            <w:r>
              <w:rPr>
                <w:color w:val="000000"/>
              </w:rPr>
              <w:t>780</w:t>
            </w:r>
          </w:p>
        </w:tc>
        <w:tc>
          <w:tcPr>
            <w:tcW w:w="1134" w:type="dxa"/>
            <w:shd w:val="clear" w:color="auto" w:fill="auto"/>
            <w:noWrap/>
            <w:vAlign w:val="bottom"/>
            <w:hideMark/>
          </w:tcPr>
          <w:p w:rsidR="00172E9B" w:rsidRDefault="00172E9B">
            <w:pPr>
              <w:jc w:val="right"/>
              <w:rPr>
                <w:color w:val="000000"/>
              </w:rPr>
            </w:pPr>
            <w:r>
              <w:rPr>
                <w:color w:val="000000"/>
              </w:rPr>
              <w:t>760</w:t>
            </w:r>
          </w:p>
        </w:tc>
        <w:tc>
          <w:tcPr>
            <w:tcW w:w="1701" w:type="dxa"/>
            <w:shd w:val="clear" w:color="auto" w:fill="auto"/>
            <w:noWrap/>
            <w:vAlign w:val="bottom"/>
            <w:hideMark/>
          </w:tcPr>
          <w:p w:rsidR="00172E9B" w:rsidRDefault="00172E9B">
            <w:pPr>
              <w:jc w:val="right"/>
              <w:rPr>
                <w:color w:val="000000"/>
              </w:rPr>
            </w:pPr>
            <w:r>
              <w:rPr>
                <w:color w:val="000000"/>
              </w:rPr>
              <w:t>-20</w:t>
            </w:r>
          </w:p>
        </w:tc>
      </w:tr>
      <w:tr w:rsidR="00172E9B" w:rsidTr="008D1A35">
        <w:trPr>
          <w:trHeight w:val="315"/>
        </w:trPr>
        <w:tc>
          <w:tcPr>
            <w:tcW w:w="580" w:type="dxa"/>
            <w:shd w:val="clear" w:color="auto" w:fill="auto"/>
            <w:noWrap/>
            <w:vAlign w:val="bottom"/>
            <w:hideMark/>
          </w:tcPr>
          <w:p w:rsidR="00172E9B" w:rsidRDefault="00172E9B">
            <w:pPr>
              <w:rPr>
                <w:color w:val="000000"/>
              </w:rPr>
            </w:pPr>
            <w:r>
              <w:rPr>
                <w:color w:val="000000"/>
              </w:rPr>
              <w:t>3.</w:t>
            </w:r>
          </w:p>
        </w:tc>
        <w:tc>
          <w:tcPr>
            <w:tcW w:w="4518" w:type="dxa"/>
            <w:shd w:val="clear" w:color="auto" w:fill="auto"/>
            <w:noWrap/>
            <w:vAlign w:val="bottom"/>
            <w:hideMark/>
          </w:tcPr>
          <w:p w:rsidR="00172E9B" w:rsidRDefault="00172E9B">
            <w:pPr>
              <w:rPr>
                <w:color w:val="000000"/>
              </w:rPr>
            </w:pPr>
            <w:r>
              <w:rPr>
                <w:color w:val="000000"/>
              </w:rPr>
              <w:t>Vaikų skaičius nuo 7 iki 17 metų, vnt.</w:t>
            </w:r>
          </w:p>
        </w:tc>
        <w:tc>
          <w:tcPr>
            <w:tcW w:w="993" w:type="dxa"/>
            <w:shd w:val="clear" w:color="auto" w:fill="auto"/>
            <w:noWrap/>
            <w:vAlign w:val="bottom"/>
            <w:hideMark/>
          </w:tcPr>
          <w:p w:rsidR="00172E9B" w:rsidRDefault="00172E9B">
            <w:pPr>
              <w:jc w:val="right"/>
              <w:rPr>
                <w:color w:val="000000"/>
              </w:rPr>
            </w:pPr>
            <w:r>
              <w:rPr>
                <w:color w:val="000000"/>
              </w:rPr>
              <w:t>1753</w:t>
            </w:r>
          </w:p>
        </w:tc>
        <w:tc>
          <w:tcPr>
            <w:tcW w:w="1134" w:type="dxa"/>
            <w:shd w:val="clear" w:color="auto" w:fill="auto"/>
            <w:noWrap/>
            <w:vAlign w:val="bottom"/>
            <w:hideMark/>
          </w:tcPr>
          <w:p w:rsidR="00172E9B" w:rsidRDefault="00172E9B">
            <w:pPr>
              <w:jc w:val="right"/>
              <w:rPr>
                <w:color w:val="000000"/>
              </w:rPr>
            </w:pPr>
            <w:r>
              <w:rPr>
                <w:color w:val="000000"/>
              </w:rPr>
              <w:t>1628</w:t>
            </w:r>
          </w:p>
        </w:tc>
        <w:tc>
          <w:tcPr>
            <w:tcW w:w="1701" w:type="dxa"/>
            <w:shd w:val="clear" w:color="auto" w:fill="auto"/>
            <w:noWrap/>
            <w:vAlign w:val="bottom"/>
            <w:hideMark/>
          </w:tcPr>
          <w:p w:rsidR="00172E9B" w:rsidRDefault="00172E9B">
            <w:pPr>
              <w:jc w:val="right"/>
              <w:rPr>
                <w:color w:val="000000"/>
              </w:rPr>
            </w:pPr>
            <w:r>
              <w:rPr>
                <w:color w:val="000000"/>
              </w:rPr>
              <w:t>-125</w:t>
            </w:r>
          </w:p>
        </w:tc>
      </w:tr>
      <w:tr w:rsidR="00172E9B" w:rsidTr="008D1A35">
        <w:trPr>
          <w:trHeight w:val="315"/>
        </w:trPr>
        <w:tc>
          <w:tcPr>
            <w:tcW w:w="580" w:type="dxa"/>
            <w:shd w:val="clear" w:color="auto" w:fill="auto"/>
            <w:noWrap/>
            <w:vAlign w:val="bottom"/>
            <w:hideMark/>
          </w:tcPr>
          <w:p w:rsidR="00172E9B" w:rsidRDefault="00172E9B">
            <w:pPr>
              <w:rPr>
                <w:color w:val="000000"/>
              </w:rPr>
            </w:pPr>
            <w:r>
              <w:rPr>
                <w:color w:val="000000"/>
              </w:rPr>
              <w:t>4.</w:t>
            </w:r>
          </w:p>
        </w:tc>
        <w:tc>
          <w:tcPr>
            <w:tcW w:w="4518" w:type="dxa"/>
            <w:shd w:val="clear" w:color="auto" w:fill="auto"/>
            <w:noWrap/>
            <w:vAlign w:val="bottom"/>
            <w:hideMark/>
          </w:tcPr>
          <w:p w:rsidR="00172E9B" w:rsidRDefault="00172E9B">
            <w:pPr>
              <w:rPr>
                <w:color w:val="000000"/>
              </w:rPr>
            </w:pPr>
            <w:r>
              <w:rPr>
                <w:color w:val="000000"/>
              </w:rPr>
              <w:t>Pensinio amžiaus gyventojų skaičius, vnt.</w:t>
            </w:r>
          </w:p>
        </w:tc>
        <w:tc>
          <w:tcPr>
            <w:tcW w:w="993" w:type="dxa"/>
            <w:shd w:val="clear" w:color="auto" w:fill="auto"/>
            <w:noWrap/>
            <w:vAlign w:val="bottom"/>
            <w:hideMark/>
          </w:tcPr>
          <w:p w:rsidR="00172E9B" w:rsidRDefault="00172E9B">
            <w:pPr>
              <w:jc w:val="right"/>
              <w:rPr>
                <w:color w:val="000000"/>
              </w:rPr>
            </w:pPr>
            <w:r>
              <w:rPr>
                <w:color w:val="000000"/>
              </w:rPr>
              <w:t>4984</w:t>
            </w:r>
          </w:p>
        </w:tc>
        <w:tc>
          <w:tcPr>
            <w:tcW w:w="1134" w:type="dxa"/>
            <w:shd w:val="clear" w:color="auto" w:fill="auto"/>
            <w:noWrap/>
            <w:vAlign w:val="bottom"/>
            <w:hideMark/>
          </w:tcPr>
          <w:p w:rsidR="00172E9B" w:rsidRDefault="00172E9B">
            <w:pPr>
              <w:jc w:val="right"/>
              <w:rPr>
                <w:color w:val="000000"/>
              </w:rPr>
            </w:pPr>
            <w:r>
              <w:rPr>
                <w:color w:val="000000"/>
              </w:rPr>
              <w:t>4830</w:t>
            </w:r>
          </w:p>
        </w:tc>
        <w:tc>
          <w:tcPr>
            <w:tcW w:w="1701" w:type="dxa"/>
            <w:shd w:val="clear" w:color="auto" w:fill="auto"/>
            <w:noWrap/>
            <w:vAlign w:val="bottom"/>
            <w:hideMark/>
          </w:tcPr>
          <w:p w:rsidR="00172E9B" w:rsidRDefault="00172E9B">
            <w:pPr>
              <w:jc w:val="right"/>
              <w:rPr>
                <w:color w:val="000000"/>
              </w:rPr>
            </w:pPr>
            <w:r>
              <w:rPr>
                <w:color w:val="000000"/>
              </w:rPr>
              <w:t>-154</w:t>
            </w:r>
          </w:p>
        </w:tc>
      </w:tr>
      <w:tr w:rsidR="00172E9B" w:rsidTr="008D1A35">
        <w:trPr>
          <w:trHeight w:val="315"/>
        </w:trPr>
        <w:tc>
          <w:tcPr>
            <w:tcW w:w="580" w:type="dxa"/>
            <w:shd w:val="clear" w:color="auto" w:fill="auto"/>
            <w:noWrap/>
            <w:vAlign w:val="bottom"/>
            <w:hideMark/>
          </w:tcPr>
          <w:p w:rsidR="00172E9B" w:rsidRDefault="00172E9B">
            <w:pPr>
              <w:rPr>
                <w:color w:val="000000"/>
              </w:rPr>
            </w:pPr>
            <w:r>
              <w:rPr>
                <w:color w:val="000000"/>
              </w:rPr>
              <w:t>5.</w:t>
            </w:r>
          </w:p>
        </w:tc>
        <w:tc>
          <w:tcPr>
            <w:tcW w:w="4518" w:type="dxa"/>
            <w:shd w:val="clear" w:color="auto" w:fill="auto"/>
            <w:noWrap/>
            <w:vAlign w:val="bottom"/>
            <w:hideMark/>
          </w:tcPr>
          <w:p w:rsidR="00172E9B" w:rsidRDefault="00172E9B">
            <w:pPr>
              <w:rPr>
                <w:color w:val="000000"/>
              </w:rPr>
            </w:pPr>
            <w:r>
              <w:rPr>
                <w:color w:val="000000"/>
              </w:rPr>
              <w:t>Vietinių kelių ir gatvių ilgis, km</w:t>
            </w:r>
          </w:p>
        </w:tc>
        <w:tc>
          <w:tcPr>
            <w:tcW w:w="993" w:type="dxa"/>
            <w:shd w:val="clear" w:color="auto" w:fill="auto"/>
            <w:noWrap/>
            <w:vAlign w:val="bottom"/>
            <w:hideMark/>
          </w:tcPr>
          <w:p w:rsidR="00172E9B" w:rsidRDefault="00172E9B">
            <w:pPr>
              <w:jc w:val="right"/>
              <w:rPr>
                <w:color w:val="000000"/>
              </w:rPr>
            </w:pPr>
            <w:r>
              <w:rPr>
                <w:color w:val="000000"/>
              </w:rPr>
              <w:t>1247</w:t>
            </w:r>
          </w:p>
        </w:tc>
        <w:tc>
          <w:tcPr>
            <w:tcW w:w="1134" w:type="dxa"/>
            <w:shd w:val="clear" w:color="auto" w:fill="auto"/>
            <w:noWrap/>
            <w:vAlign w:val="bottom"/>
            <w:hideMark/>
          </w:tcPr>
          <w:p w:rsidR="00172E9B" w:rsidRDefault="00172E9B">
            <w:pPr>
              <w:jc w:val="right"/>
              <w:rPr>
                <w:color w:val="000000"/>
              </w:rPr>
            </w:pPr>
            <w:r>
              <w:rPr>
                <w:color w:val="000000"/>
              </w:rPr>
              <w:t>1261</w:t>
            </w:r>
          </w:p>
        </w:tc>
        <w:tc>
          <w:tcPr>
            <w:tcW w:w="1701" w:type="dxa"/>
            <w:shd w:val="clear" w:color="auto" w:fill="auto"/>
            <w:noWrap/>
            <w:vAlign w:val="bottom"/>
            <w:hideMark/>
          </w:tcPr>
          <w:p w:rsidR="00172E9B" w:rsidRDefault="00172E9B">
            <w:pPr>
              <w:jc w:val="right"/>
              <w:rPr>
                <w:color w:val="000000"/>
              </w:rPr>
            </w:pPr>
            <w:r>
              <w:rPr>
                <w:color w:val="000000"/>
              </w:rPr>
              <w:t>14</w:t>
            </w:r>
          </w:p>
        </w:tc>
      </w:tr>
      <w:tr w:rsidR="00172E9B" w:rsidTr="008D1A35">
        <w:trPr>
          <w:trHeight w:val="315"/>
        </w:trPr>
        <w:tc>
          <w:tcPr>
            <w:tcW w:w="580" w:type="dxa"/>
            <w:shd w:val="clear" w:color="auto" w:fill="auto"/>
            <w:noWrap/>
            <w:vAlign w:val="bottom"/>
            <w:hideMark/>
          </w:tcPr>
          <w:p w:rsidR="00172E9B" w:rsidRDefault="00172E9B">
            <w:pPr>
              <w:rPr>
                <w:color w:val="000000"/>
              </w:rPr>
            </w:pPr>
            <w:r>
              <w:rPr>
                <w:color w:val="000000"/>
              </w:rPr>
              <w:t>6.</w:t>
            </w:r>
          </w:p>
        </w:tc>
        <w:tc>
          <w:tcPr>
            <w:tcW w:w="4518" w:type="dxa"/>
            <w:shd w:val="clear" w:color="auto" w:fill="auto"/>
            <w:noWrap/>
            <w:vAlign w:val="bottom"/>
            <w:hideMark/>
          </w:tcPr>
          <w:p w:rsidR="00172E9B" w:rsidRDefault="00172E9B">
            <w:pPr>
              <w:rPr>
                <w:color w:val="000000"/>
              </w:rPr>
            </w:pPr>
            <w:r>
              <w:rPr>
                <w:color w:val="000000"/>
              </w:rPr>
              <w:t>Teritorijos plotas, ha</w:t>
            </w:r>
          </w:p>
        </w:tc>
        <w:tc>
          <w:tcPr>
            <w:tcW w:w="993" w:type="dxa"/>
            <w:shd w:val="clear" w:color="auto" w:fill="auto"/>
            <w:noWrap/>
            <w:vAlign w:val="bottom"/>
            <w:hideMark/>
          </w:tcPr>
          <w:p w:rsidR="00172E9B" w:rsidRDefault="00172E9B">
            <w:pPr>
              <w:jc w:val="right"/>
              <w:rPr>
                <w:color w:val="000000"/>
              </w:rPr>
            </w:pPr>
            <w:r>
              <w:rPr>
                <w:color w:val="000000"/>
              </w:rPr>
              <w:t>136682</w:t>
            </w:r>
          </w:p>
        </w:tc>
        <w:tc>
          <w:tcPr>
            <w:tcW w:w="1134" w:type="dxa"/>
            <w:shd w:val="clear" w:color="auto" w:fill="auto"/>
            <w:noWrap/>
            <w:vAlign w:val="bottom"/>
            <w:hideMark/>
          </w:tcPr>
          <w:p w:rsidR="00172E9B" w:rsidRDefault="00172E9B">
            <w:pPr>
              <w:jc w:val="right"/>
              <w:rPr>
                <w:color w:val="000000"/>
              </w:rPr>
            </w:pPr>
            <w:r>
              <w:rPr>
                <w:color w:val="000000"/>
              </w:rPr>
              <w:t>136682</w:t>
            </w:r>
          </w:p>
        </w:tc>
        <w:tc>
          <w:tcPr>
            <w:tcW w:w="1701" w:type="dxa"/>
            <w:shd w:val="clear" w:color="auto" w:fill="auto"/>
            <w:noWrap/>
            <w:vAlign w:val="bottom"/>
            <w:hideMark/>
          </w:tcPr>
          <w:p w:rsidR="00172E9B" w:rsidRDefault="00172E9B">
            <w:pPr>
              <w:jc w:val="right"/>
              <w:rPr>
                <w:color w:val="000000"/>
              </w:rPr>
            </w:pPr>
            <w:r>
              <w:rPr>
                <w:color w:val="000000"/>
              </w:rPr>
              <w:t>0</w:t>
            </w:r>
          </w:p>
        </w:tc>
      </w:tr>
      <w:tr w:rsidR="00172E9B" w:rsidTr="00AD2DB8">
        <w:trPr>
          <w:trHeight w:val="480"/>
        </w:trPr>
        <w:tc>
          <w:tcPr>
            <w:tcW w:w="580" w:type="dxa"/>
            <w:shd w:val="clear" w:color="auto" w:fill="auto"/>
            <w:noWrap/>
            <w:vAlign w:val="bottom"/>
            <w:hideMark/>
          </w:tcPr>
          <w:p w:rsidR="00172E9B" w:rsidRDefault="00172E9B">
            <w:pPr>
              <w:rPr>
                <w:color w:val="000000"/>
              </w:rPr>
            </w:pPr>
            <w:r>
              <w:rPr>
                <w:color w:val="000000"/>
              </w:rPr>
              <w:t>7.</w:t>
            </w:r>
          </w:p>
        </w:tc>
        <w:tc>
          <w:tcPr>
            <w:tcW w:w="4518" w:type="dxa"/>
            <w:shd w:val="clear" w:color="auto" w:fill="auto"/>
            <w:vAlign w:val="bottom"/>
            <w:hideMark/>
          </w:tcPr>
          <w:p w:rsidR="00172E9B" w:rsidRDefault="00172E9B">
            <w:pPr>
              <w:rPr>
                <w:color w:val="000000"/>
              </w:rPr>
            </w:pPr>
            <w:r>
              <w:rPr>
                <w:color w:val="000000"/>
              </w:rPr>
              <w:t xml:space="preserve">Savivaldybei priklausančių švietimo įstaigų </w:t>
            </w:r>
            <w:r>
              <w:rPr>
                <w:color w:val="000000"/>
              </w:rPr>
              <w:br/>
              <w:t>naudingas patalpų plotas, m</w:t>
            </w:r>
            <w:r>
              <w:rPr>
                <w:color w:val="000000"/>
                <w:vertAlign w:val="superscript"/>
              </w:rPr>
              <w:t>2</w:t>
            </w:r>
          </w:p>
        </w:tc>
        <w:tc>
          <w:tcPr>
            <w:tcW w:w="993" w:type="dxa"/>
            <w:shd w:val="clear" w:color="auto" w:fill="auto"/>
            <w:noWrap/>
            <w:vAlign w:val="bottom"/>
            <w:hideMark/>
          </w:tcPr>
          <w:p w:rsidR="00172E9B" w:rsidRDefault="00172E9B">
            <w:pPr>
              <w:jc w:val="right"/>
              <w:rPr>
                <w:color w:val="000000"/>
              </w:rPr>
            </w:pPr>
            <w:r>
              <w:rPr>
                <w:color w:val="000000"/>
              </w:rPr>
              <w:t>51783</w:t>
            </w:r>
          </w:p>
        </w:tc>
        <w:tc>
          <w:tcPr>
            <w:tcW w:w="1134" w:type="dxa"/>
            <w:shd w:val="clear" w:color="auto" w:fill="auto"/>
            <w:noWrap/>
            <w:vAlign w:val="bottom"/>
            <w:hideMark/>
          </w:tcPr>
          <w:p w:rsidR="00172E9B" w:rsidRDefault="00172E9B">
            <w:pPr>
              <w:jc w:val="right"/>
              <w:rPr>
                <w:color w:val="000000"/>
              </w:rPr>
            </w:pPr>
            <w:r>
              <w:rPr>
                <w:color w:val="000000"/>
              </w:rPr>
              <w:t>49742</w:t>
            </w:r>
          </w:p>
        </w:tc>
        <w:tc>
          <w:tcPr>
            <w:tcW w:w="1701" w:type="dxa"/>
            <w:shd w:val="clear" w:color="auto" w:fill="auto"/>
            <w:noWrap/>
            <w:vAlign w:val="bottom"/>
            <w:hideMark/>
          </w:tcPr>
          <w:p w:rsidR="00172E9B" w:rsidRDefault="00172E9B">
            <w:pPr>
              <w:jc w:val="right"/>
              <w:rPr>
                <w:color w:val="000000"/>
              </w:rPr>
            </w:pPr>
            <w:r>
              <w:rPr>
                <w:color w:val="000000"/>
              </w:rPr>
              <w:t>-2041</w:t>
            </w:r>
          </w:p>
        </w:tc>
      </w:tr>
      <w:tr w:rsidR="00172E9B" w:rsidTr="008D1A35">
        <w:trPr>
          <w:trHeight w:val="315"/>
        </w:trPr>
        <w:tc>
          <w:tcPr>
            <w:tcW w:w="580" w:type="dxa"/>
            <w:shd w:val="clear" w:color="auto" w:fill="auto"/>
            <w:noWrap/>
            <w:vAlign w:val="bottom"/>
            <w:hideMark/>
          </w:tcPr>
          <w:p w:rsidR="00172E9B" w:rsidRDefault="00172E9B">
            <w:pPr>
              <w:rPr>
                <w:color w:val="000000"/>
              </w:rPr>
            </w:pPr>
            <w:r>
              <w:rPr>
                <w:color w:val="000000"/>
              </w:rPr>
              <w:t>8.</w:t>
            </w:r>
          </w:p>
        </w:tc>
        <w:tc>
          <w:tcPr>
            <w:tcW w:w="4518" w:type="dxa"/>
            <w:shd w:val="clear" w:color="auto" w:fill="auto"/>
            <w:noWrap/>
            <w:vAlign w:val="bottom"/>
            <w:hideMark/>
          </w:tcPr>
          <w:p w:rsidR="00172E9B" w:rsidRDefault="00172E9B">
            <w:pPr>
              <w:rPr>
                <w:color w:val="000000"/>
              </w:rPr>
            </w:pPr>
            <w:r>
              <w:rPr>
                <w:color w:val="000000"/>
              </w:rPr>
              <w:t>Užstatytos teritorijos plotas, ha</w:t>
            </w:r>
          </w:p>
        </w:tc>
        <w:tc>
          <w:tcPr>
            <w:tcW w:w="993" w:type="dxa"/>
            <w:shd w:val="clear" w:color="auto" w:fill="auto"/>
            <w:noWrap/>
            <w:vAlign w:val="bottom"/>
            <w:hideMark/>
          </w:tcPr>
          <w:p w:rsidR="00172E9B" w:rsidRDefault="00172E9B">
            <w:pPr>
              <w:jc w:val="right"/>
              <w:rPr>
                <w:color w:val="000000"/>
              </w:rPr>
            </w:pPr>
            <w:r>
              <w:rPr>
                <w:color w:val="000000"/>
              </w:rPr>
              <w:t>4350</w:t>
            </w:r>
          </w:p>
        </w:tc>
        <w:tc>
          <w:tcPr>
            <w:tcW w:w="1134" w:type="dxa"/>
            <w:shd w:val="clear" w:color="auto" w:fill="auto"/>
            <w:noWrap/>
            <w:vAlign w:val="bottom"/>
            <w:hideMark/>
          </w:tcPr>
          <w:p w:rsidR="00172E9B" w:rsidRDefault="00172E9B">
            <w:pPr>
              <w:jc w:val="right"/>
              <w:rPr>
                <w:color w:val="000000"/>
              </w:rPr>
            </w:pPr>
            <w:r>
              <w:rPr>
                <w:color w:val="000000"/>
              </w:rPr>
              <w:t>4350</w:t>
            </w:r>
          </w:p>
        </w:tc>
        <w:tc>
          <w:tcPr>
            <w:tcW w:w="1701" w:type="dxa"/>
            <w:shd w:val="clear" w:color="auto" w:fill="auto"/>
            <w:noWrap/>
            <w:vAlign w:val="bottom"/>
            <w:hideMark/>
          </w:tcPr>
          <w:p w:rsidR="00172E9B" w:rsidRDefault="00172E9B">
            <w:pPr>
              <w:jc w:val="right"/>
              <w:rPr>
                <w:color w:val="000000"/>
              </w:rPr>
            </w:pPr>
            <w:r>
              <w:rPr>
                <w:color w:val="000000"/>
              </w:rPr>
              <w:t>0</w:t>
            </w:r>
          </w:p>
        </w:tc>
      </w:tr>
    </w:tbl>
    <w:p w:rsidR="00850139" w:rsidRDefault="00850139" w:rsidP="009454F3">
      <w:pPr>
        <w:spacing w:line="360" w:lineRule="auto"/>
        <w:ind w:firstLine="720"/>
        <w:jc w:val="both"/>
        <w:rPr>
          <w:bCs/>
          <w:highlight w:val="yellow"/>
        </w:rPr>
      </w:pPr>
    </w:p>
    <w:p w:rsidR="00B0183C" w:rsidRDefault="00B0183C" w:rsidP="00EB0EE6">
      <w:pPr>
        <w:spacing w:line="360" w:lineRule="auto"/>
        <w:ind w:firstLine="720"/>
        <w:jc w:val="both"/>
        <w:rPr>
          <w:bCs/>
          <w:color w:val="000000"/>
          <w:lang w:eastAsia="en-US"/>
        </w:rPr>
      </w:pPr>
      <w:r>
        <w:rPr>
          <w:bCs/>
          <w:color w:val="000000"/>
          <w:lang w:eastAsia="en-US"/>
        </w:rPr>
        <w:lastRenderedPageBreak/>
        <w:t>Visi rodikliai, išskyrus užstatytos teritorijos plotą (ha)</w:t>
      </w:r>
      <w:r w:rsidR="00EB325B">
        <w:rPr>
          <w:bCs/>
          <w:color w:val="000000"/>
          <w:lang w:eastAsia="en-US"/>
        </w:rPr>
        <w:t xml:space="preserve"> ir teritorijos plotą (ha)</w:t>
      </w:r>
      <w:r>
        <w:rPr>
          <w:bCs/>
          <w:color w:val="000000"/>
          <w:lang w:eastAsia="en-US"/>
        </w:rPr>
        <w:t xml:space="preserve">, sumažėjo: gyventojų skaičius sumažėjo </w:t>
      </w:r>
      <w:r w:rsidR="001174BE" w:rsidRPr="001174BE">
        <w:rPr>
          <w:b/>
          <w:bCs/>
          <w:color w:val="000000"/>
          <w:lang w:eastAsia="en-US"/>
        </w:rPr>
        <w:t xml:space="preserve"> </w:t>
      </w:r>
      <w:r w:rsidR="00E70BB1" w:rsidRPr="00FF6509">
        <w:rPr>
          <w:bCs/>
          <w:color w:val="000000"/>
          <w:lang w:eastAsia="en-US"/>
        </w:rPr>
        <w:t>dėl migracijos</w:t>
      </w:r>
      <w:r w:rsidR="00FF6509" w:rsidRPr="00FF6509">
        <w:rPr>
          <w:bCs/>
          <w:color w:val="000000"/>
          <w:lang w:eastAsia="en-US"/>
        </w:rPr>
        <w:t xml:space="preserve"> -</w:t>
      </w:r>
      <w:r w:rsidR="00EB325B">
        <w:rPr>
          <w:bCs/>
          <w:color w:val="000000"/>
          <w:lang w:eastAsia="en-US"/>
        </w:rPr>
        <w:t>512</w:t>
      </w:r>
      <w:r w:rsidR="00FF6509">
        <w:rPr>
          <w:b/>
          <w:bCs/>
          <w:color w:val="000000"/>
          <w:lang w:eastAsia="en-US"/>
        </w:rPr>
        <w:t xml:space="preserve"> </w:t>
      </w:r>
      <w:r>
        <w:rPr>
          <w:bCs/>
          <w:color w:val="000000"/>
          <w:lang w:eastAsia="en-US"/>
        </w:rPr>
        <w:t xml:space="preserve">, pensinio amžiaus gyventojų sumažėjo </w:t>
      </w:r>
      <w:r w:rsidR="00EB325B">
        <w:rPr>
          <w:bCs/>
          <w:color w:val="000000"/>
          <w:lang w:eastAsia="en-US"/>
        </w:rPr>
        <w:t>154</w:t>
      </w:r>
      <w:r>
        <w:rPr>
          <w:bCs/>
          <w:color w:val="000000"/>
          <w:lang w:eastAsia="en-US"/>
        </w:rPr>
        <w:t xml:space="preserve">. </w:t>
      </w:r>
    </w:p>
    <w:p w:rsidR="0010753A" w:rsidRDefault="004E5A8D" w:rsidP="00EB0EE6">
      <w:pPr>
        <w:spacing w:line="360" w:lineRule="auto"/>
        <w:ind w:firstLine="720"/>
        <w:jc w:val="both"/>
        <w:rPr>
          <w:bCs/>
          <w:color w:val="000000"/>
          <w:lang w:eastAsia="en-US"/>
        </w:rPr>
      </w:pPr>
      <w:r>
        <w:rPr>
          <w:bCs/>
          <w:color w:val="000000"/>
          <w:lang w:eastAsia="en-US"/>
        </w:rPr>
        <w:t xml:space="preserve">Lyginant su kitomis savivaldybės gaunamomis pajamomis, savivaldybės lėšos sudaro </w:t>
      </w:r>
      <w:r w:rsidR="006D406F">
        <w:rPr>
          <w:bCs/>
          <w:color w:val="000000"/>
          <w:lang w:eastAsia="en-US"/>
        </w:rPr>
        <w:t>53,9</w:t>
      </w:r>
    </w:p>
    <w:p w:rsidR="004E5A8D" w:rsidRDefault="004E5A8D" w:rsidP="00EB0EE6">
      <w:pPr>
        <w:spacing w:line="360" w:lineRule="auto"/>
        <w:ind w:firstLine="720"/>
        <w:jc w:val="both"/>
        <w:rPr>
          <w:bCs/>
          <w:color w:val="000000"/>
          <w:lang w:eastAsia="en-US"/>
        </w:rPr>
      </w:pPr>
      <w:r>
        <w:rPr>
          <w:bCs/>
          <w:color w:val="000000"/>
          <w:lang w:eastAsia="en-US"/>
        </w:rPr>
        <w:t xml:space="preserve"> proc. nuo bendros pajamų sumos. Savivaldybės lėšos skiriamos biudžetinėms įstaigoms išlaikyti, vykdomų projektų savivaldybės daliai finansuoti, socialinei paramai teikti. Savivaldybės lėšų paskirstymas pagal programas pateikiamas </w:t>
      </w:r>
      <w:r w:rsidR="00F068AC">
        <w:rPr>
          <w:bCs/>
          <w:color w:val="000000"/>
          <w:lang w:eastAsia="en-US"/>
        </w:rPr>
        <w:t>lentelėje:</w:t>
      </w:r>
    </w:p>
    <w:tbl>
      <w:tblPr>
        <w:tblW w:w="0" w:type="auto"/>
        <w:tblLayout w:type="fixed"/>
        <w:tblLook w:val="04A0" w:firstRow="1" w:lastRow="0" w:firstColumn="1" w:lastColumn="0" w:noHBand="0" w:noVBand="1"/>
      </w:tblPr>
      <w:tblGrid>
        <w:gridCol w:w="901"/>
        <w:gridCol w:w="3914"/>
        <w:gridCol w:w="1134"/>
        <w:gridCol w:w="1134"/>
        <w:gridCol w:w="1276"/>
        <w:gridCol w:w="1269"/>
      </w:tblGrid>
      <w:tr w:rsidR="006D406F" w:rsidTr="006D406F">
        <w:trPr>
          <w:trHeight w:val="300"/>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6F" w:rsidRDefault="006D406F">
            <w:pPr>
              <w:jc w:val="center"/>
              <w:rPr>
                <w:b/>
                <w:bCs/>
                <w:color w:val="000000"/>
                <w:sz w:val="22"/>
                <w:szCs w:val="22"/>
              </w:rPr>
            </w:pPr>
            <w:r>
              <w:rPr>
                <w:b/>
                <w:bCs/>
                <w:color w:val="000000"/>
                <w:sz w:val="22"/>
                <w:szCs w:val="22"/>
              </w:rPr>
              <w:t>Progra-mos</w:t>
            </w:r>
            <w:r>
              <w:rPr>
                <w:b/>
                <w:bCs/>
                <w:color w:val="000000"/>
                <w:sz w:val="22"/>
                <w:szCs w:val="22"/>
              </w:rPr>
              <w:br/>
              <w:t>kodas</w:t>
            </w:r>
          </w:p>
        </w:tc>
        <w:tc>
          <w:tcPr>
            <w:tcW w:w="3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6F" w:rsidRDefault="006D406F">
            <w:pPr>
              <w:jc w:val="center"/>
              <w:rPr>
                <w:b/>
                <w:bCs/>
                <w:color w:val="000000"/>
                <w:sz w:val="22"/>
                <w:szCs w:val="22"/>
              </w:rPr>
            </w:pPr>
            <w:r>
              <w:rPr>
                <w:b/>
                <w:bCs/>
                <w:color w:val="000000"/>
                <w:sz w:val="22"/>
                <w:szCs w:val="22"/>
              </w:rPr>
              <w:t>Savivaldybės veiklos programa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06F" w:rsidRDefault="006D406F">
            <w:pPr>
              <w:jc w:val="center"/>
              <w:rPr>
                <w:b/>
                <w:bCs/>
                <w:color w:val="000000"/>
                <w:sz w:val="22"/>
                <w:szCs w:val="22"/>
              </w:rPr>
            </w:pPr>
            <w:r>
              <w:rPr>
                <w:b/>
                <w:bCs/>
                <w:color w:val="000000"/>
                <w:sz w:val="22"/>
                <w:szCs w:val="22"/>
              </w:rPr>
              <w:t>2019 m. planas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06F" w:rsidRDefault="006D406F">
            <w:pPr>
              <w:jc w:val="center"/>
              <w:rPr>
                <w:b/>
                <w:bCs/>
                <w:color w:val="000000"/>
                <w:sz w:val="22"/>
                <w:szCs w:val="22"/>
              </w:rPr>
            </w:pPr>
            <w:r>
              <w:rPr>
                <w:b/>
                <w:bCs/>
                <w:color w:val="000000"/>
                <w:sz w:val="22"/>
                <w:szCs w:val="22"/>
              </w:rPr>
              <w:t xml:space="preserve">2020 m. </w:t>
            </w:r>
            <w:r>
              <w:rPr>
                <w:b/>
                <w:bCs/>
                <w:color w:val="000000"/>
                <w:sz w:val="22"/>
                <w:szCs w:val="22"/>
              </w:rPr>
              <w:br/>
              <w:t>projektas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06F" w:rsidRDefault="006D406F">
            <w:pPr>
              <w:jc w:val="center"/>
              <w:rPr>
                <w:b/>
                <w:bCs/>
                <w:color w:val="000000"/>
                <w:sz w:val="22"/>
                <w:szCs w:val="22"/>
              </w:rPr>
            </w:pPr>
            <w:r>
              <w:rPr>
                <w:b/>
                <w:bCs/>
                <w:color w:val="000000"/>
                <w:sz w:val="22"/>
                <w:szCs w:val="22"/>
              </w:rPr>
              <w:t>2020 ir 2019</w:t>
            </w:r>
            <w:r>
              <w:rPr>
                <w:b/>
                <w:bCs/>
                <w:color w:val="000000"/>
                <w:sz w:val="22"/>
                <w:szCs w:val="22"/>
              </w:rPr>
              <w:br/>
              <w:t>metų skirtumas</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406F" w:rsidRDefault="006D406F">
            <w:pPr>
              <w:jc w:val="center"/>
              <w:rPr>
                <w:b/>
                <w:bCs/>
                <w:color w:val="000000"/>
                <w:sz w:val="22"/>
                <w:szCs w:val="22"/>
              </w:rPr>
            </w:pPr>
            <w:r>
              <w:rPr>
                <w:b/>
                <w:bCs/>
                <w:color w:val="000000"/>
                <w:sz w:val="22"/>
                <w:szCs w:val="22"/>
              </w:rPr>
              <w:t xml:space="preserve">2020 m. </w:t>
            </w:r>
            <w:r>
              <w:rPr>
                <w:b/>
                <w:bCs/>
                <w:color w:val="000000"/>
                <w:sz w:val="22"/>
                <w:szCs w:val="22"/>
              </w:rPr>
              <w:br/>
              <w:t xml:space="preserve">lėšos </w:t>
            </w:r>
            <w:r>
              <w:rPr>
                <w:b/>
                <w:bCs/>
                <w:color w:val="000000"/>
                <w:sz w:val="22"/>
                <w:szCs w:val="22"/>
              </w:rPr>
              <w:br/>
              <w:t>procentais</w:t>
            </w:r>
          </w:p>
        </w:tc>
      </w:tr>
      <w:tr w:rsidR="006D406F" w:rsidTr="006D406F">
        <w:trPr>
          <w:trHeight w:val="555"/>
        </w:trPr>
        <w:tc>
          <w:tcPr>
            <w:tcW w:w="901" w:type="dxa"/>
            <w:vMerge/>
            <w:tcBorders>
              <w:top w:val="single" w:sz="4" w:space="0" w:color="auto"/>
              <w:left w:val="single" w:sz="4" w:space="0" w:color="auto"/>
              <w:bottom w:val="single" w:sz="4" w:space="0" w:color="auto"/>
              <w:right w:val="single" w:sz="4" w:space="0" w:color="auto"/>
            </w:tcBorders>
            <w:vAlign w:val="center"/>
            <w:hideMark/>
          </w:tcPr>
          <w:p w:rsidR="006D406F" w:rsidRDefault="006D406F">
            <w:pPr>
              <w:rPr>
                <w:b/>
                <w:bCs/>
                <w:color w:val="000000"/>
                <w:sz w:val="22"/>
                <w:szCs w:val="22"/>
              </w:rPr>
            </w:pPr>
          </w:p>
        </w:tc>
        <w:tc>
          <w:tcPr>
            <w:tcW w:w="3914" w:type="dxa"/>
            <w:vMerge/>
            <w:tcBorders>
              <w:top w:val="single" w:sz="4" w:space="0" w:color="auto"/>
              <w:left w:val="single" w:sz="4" w:space="0" w:color="auto"/>
              <w:bottom w:val="single" w:sz="4" w:space="0" w:color="auto"/>
              <w:right w:val="single" w:sz="4" w:space="0" w:color="auto"/>
            </w:tcBorders>
            <w:vAlign w:val="center"/>
            <w:hideMark/>
          </w:tcPr>
          <w:p w:rsidR="006D406F" w:rsidRDefault="006D406F">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406F" w:rsidRDefault="006D406F">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406F" w:rsidRDefault="006D406F">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406F" w:rsidRDefault="006D406F">
            <w:pPr>
              <w:rPr>
                <w:b/>
                <w:bCs/>
                <w:color w:val="000000"/>
                <w:sz w:val="22"/>
                <w:szCs w:val="2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6D406F" w:rsidRDefault="006D406F">
            <w:pPr>
              <w:rPr>
                <w:b/>
                <w:bCs/>
                <w:color w:val="000000"/>
                <w:sz w:val="22"/>
                <w:szCs w:val="22"/>
              </w:rPr>
            </w:pPr>
          </w:p>
        </w:tc>
      </w:tr>
      <w:tr w:rsidR="006D406F" w:rsidTr="006D406F">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1</w:t>
            </w:r>
          </w:p>
        </w:tc>
        <w:tc>
          <w:tcPr>
            <w:tcW w:w="3914" w:type="dxa"/>
            <w:tcBorders>
              <w:top w:val="nil"/>
              <w:left w:val="nil"/>
              <w:bottom w:val="single" w:sz="4" w:space="0" w:color="auto"/>
              <w:right w:val="single" w:sz="4" w:space="0" w:color="auto"/>
            </w:tcBorders>
            <w:shd w:val="clear" w:color="auto" w:fill="auto"/>
            <w:noWrap/>
            <w:vAlign w:val="bottom"/>
            <w:hideMark/>
          </w:tcPr>
          <w:p w:rsidR="006D406F" w:rsidRDefault="006D406F">
            <w:pPr>
              <w:rPr>
                <w:color w:val="000000"/>
                <w:sz w:val="22"/>
                <w:szCs w:val="22"/>
              </w:rPr>
            </w:pPr>
            <w:r>
              <w:rPr>
                <w:color w:val="000000"/>
                <w:sz w:val="22"/>
                <w:szCs w:val="22"/>
              </w:rPr>
              <w:t>Kaimo plėtros, turizmo ir verslo skatinimo programa</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149,9</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34,6</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w:t>
            </w:r>
          </w:p>
        </w:tc>
      </w:tr>
      <w:tr w:rsidR="006D406F" w:rsidTr="006D406F">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2</w:t>
            </w:r>
          </w:p>
        </w:tc>
        <w:tc>
          <w:tcPr>
            <w:tcW w:w="3914" w:type="dxa"/>
            <w:tcBorders>
              <w:top w:val="nil"/>
              <w:left w:val="nil"/>
              <w:bottom w:val="single" w:sz="4" w:space="0" w:color="auto"/>
              <w:right w:val="single" w:sz="4" w:space="0" w:color="auto"/>
            </w:tcBorders>
            <w:shd w:val="clear" w:color="auto" w:fill="auto"/>
            <w:noWrap/>
            <w:vAlign w:val="bottom"/>
            <w:hideMark/>
          </w:tcPr>
          <w:p w:rsidR="006D406F" w:rsidRDefault="006D406F">
            <w:pPr>
              <w:rPr>
                <w:color w:val="000000"/>
                <w:sz w:val="22"/>
                <w:szCs w:val="22"/>
              </w:rPr>
            </w:pPr>
            <w:r>
              <w:rPr>
                <w:color w:val="000000"/>
                <w:sz w:val="22"/>
                <w:szCs w:val="22"/>
              </w:rPr>
              <w:t>Valdymo programa</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2417,1</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2809,9</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392,8</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23</w:t>
            </w:r>
          </w:p>
        </w:tc>
      </w:tr>
      <w:tr w:rsidR="006D406F" w:rsidTr="006D406F">
        <w:trPr>
          <w:trHeight w:val="6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3</w:t>
            </w:r>
          </w:p>
        </w:tc>
        <w:tc>
          <w:tcPr>
            <w:tcW w:w="3914" w:type="dxa"/>
            <w:tcBorders>
              <w:top w:val="nil"/>
              <w:left w:val="nil"/>
              <w:bottom w:val="single" w:sz="4" w:space="0" w:color="auto"/>
              <w:right w:val="single" w:sz="4" w:space="0" w:color="auto"/>
            </w:tcBorders>
            <w:shd w:val="clear" w:color="auto" w:fill="auto"/>
            <w:vAlign w:val="bottom"/>
            <w:hideMark/>
          </w:tcPr>
          <w:p w:rsidR="006D406F" w:rsidRDefault="006D406F">
            <w:pPr>
              <w:rPr>
                <w:color w:val="000000"/>
                <w:sz w:val="22"/>
                <w:szCs w:val="22"/>
              </w:rPr>
            </w:pPr>
            <w:r>
              <w:rPr>
                <w:color w:val="000000"/>
                <w:sz w:val="22"/>
                <w:szCs w:val="22"/>
              </w:rPr>
              <w:t>Infrastruktūros objektų ir gyvenamosios aplinkos tvarkymo ir priežiūros programa</w:t>
            </w:r>
          </w:p>
        </w:tc>
        <w:tc>
          <w:tcPr>
            <w:tcW w:w="1134" w:type="dxa"/>
            <w:tcBorders>
              <w:top w:val="nil"/>
              <w:left w:val="nil"/>
              <w:bottom w:val="single" w:sz="4" w:space="0" w:color="auto"/>
              <w:right w:val="single" w:sz="4" w:space="0" w:color="auto"/>
            </w:tcBorders>
            <w:shd w:val="clear" w:color="auto" w:fill="auto"/>
            <w:vAlign w:val="bottom"/>
            <w:hideMark/>
          </w:tcPr>
          <w:p w:rsidR="006D406F" w:rsidRDefault="006D406F">
            <w:pPr>
              <w:jc w:val="right"/>
              <w:rPr>
                <w:color w:val="000000"/>
                <w:sz w:val="22"/>
                <w:szCs w:val="22"/>
              </w:rPr>
            </w:pPr>
            <w:r>
              <w:rPr>
                <w:color w:val="000000"/>
                <w:sz w:val="22"/>
                <w:szCs w:val="22"/>
              </w:rPr>
              <w:t>2058,1</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2075,5</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17,4</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17</w:t>
            </w:r>
          </w:p>
        </w:tc>
      </w:tr>
      <w:tr w:rsidR="006D406F" w:rsidTr="006D406F">
        <w:trPr>
          <w:trHeight w:val="345"/>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4</w:t>
            </w:r>
          </w:p>
        </w:tc>
        <w:tc>
          <w:tcPr>
            <w:tcW w:w="3914" w:type="dxa"/>
            <w:tcBorders>
              <w:top w:val="nil"/>
              <w:left w:val="nil"/>
              <w:bottom w:val="single" w:sz="4" w:space="0" w:color="auto"/>
              <w:right w:val="single" w:sz="4" w:space="0" w:color="auto"/>
            </w:tcBorders>
            <w:shd w:val="clear" w:color="auto" w:fill="auto"/>
            <w:noWrap/>
            <w:vAlign w:val="bottom"/>
            <w:hideMark/>
          </w:tcPr>
          <w:p w:rsidR="006D406F" w:rsidRDefault="006D406F">
            <w:pPr>
              <w:rPr>
                <w:color w:val="000000"/>
                <w:sz w:val="22"/>
                <w:szCs w:val="22"/>
              </w:rPr>
            </w:pPr>
            <w:r>
              <w:rPr>
                <w:color w:val="000000"/>
                <w:sz w:val="22"/>
                <w:szCs w:val="22"/>
              </w:rPr>
              <w:t>Aplinkos apsaugos programa</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0</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0</w:t>
            </w:r>
          </w:p>
        </w:tc>
      </w:tr>
      <w:tr w:rsidR="006D406F" w:rsidTr="006D406F">
        <w:trPr>
          <w:trHeight w:val="6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5</w:t>
            </w:r>
          </w:p>
        </w:tc>
        <w:tc>
          <w:tcPr>
            <w:tcW w:w="3914" w:type="dxa"/>
            <w:tcBorders>
              <w:top w:val="nil"/>
              <w:left w:val="nil"/>
              <w:bottom w:val="single" w:sz="4" w:space="0" w:color="auto"/>
              <w:right w:val="single" w:sz="4" w:space="0" w:color="auto"/>
            </w:tcBorders>
            <w:shd w:val="clear" w:color="auto" w:fill="auto"/>
            <w:vAlign w:val="bottom"/>
            <w:hideMark/>
          </w:tcPr>
          <w:p w:rsidR="006D406F" w:rsidRDefault="006D406F">
            <w:pPr>
              <w:rPr>
                <w:color w:val="000000"/>
                <w:sz w:val="22"/>
                <w:szCs w:val="22"/>
              </w:rPr>
            </w:pPr>
            <w:r>
              <w:rPr>
                <w:color w:val="000000"/>
                <w:sz w:val="22"/>
                <w:szCs w:val="22"/>
              </w:rPr>
              <w:t xml:space="preserve">Kultūros ir jaunimo politikos plėtros ir </w:t>
            </w:r>
            <w:r>
              <w:rPr>
                <w:color w:val="000000"/>
                <w:sz w:val="22"/>
                <w:szCs w:val="22"/>
              </w:rPr>
              <w:br/>
              <w:t>bendruomeniškumo skatinimo programa</w:t>
            </w:r>
          </w:p>
        </w:tc>
        <w:tc>
          <w:tcPr>
            <w:tcW w:w="1134" w:type="dxa"/>
            <w:tcBorders>
              <w:top w:val="nil"/>
              <w:left w:val="nil"/>
              <w:bottom w:val="single" w:sz="4" w:space="0" w:color="auto"/>
              <w:right w:val="single" w:sz="4" w:space="0" w:color="auto"/>
            </w:tcBorders>
            <w:shd w:val="clear" w:color="auto" w:fill="auto"/>
            <w:vAlign w:val="bottom"/>
            <w:hideMark/>
          </w:tcPr>
          <w:p w:rsidR="006D406F" w:rsidRDefault="006D406F">
            <w:pPr>
              <w:jc w:val="right"/>
              <w:rPr>
                <w:color w:val="000000"/>
                <w:sz w:val="22"/>
                <w:szCs w:val="22"/>
              </w:rPr>
            </w:pPr>
            <w:r>
              <w:rPr>
                <w:color w:val="000000"/>
                <w:sz w:val="22"/>
                <w:szCs w:val="22"/>
              </w:rPr>
              <w:t>1215,3</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1326,1</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110,8</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11</w:t>
            </w:r>
          </w:p>
        </w:tc>
      </w:tr>
      <w:tr w:rsidR="006D406F" w:rsidTr="006D406F">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6</w:t>
            </w:r>
          </w:p>
        </w:tc>
        <w:tc>
          <w:tcPr>
            <w:tcW w:w="3914" w:type="dxa"/>
            <w:tcBorders>
              <w:top w:val="nil"/>
              <w:left w:val="nil"/>
              <w:bottom w:val="single" w:sz="4" w:space="0" w:color="auto"/>
              <w:right w:val="single" w:sz="4" w:space="0" w:color="auto"/>
            </w:tcBorders>
            <w:shd w:val="clear" w:color="auto" w:fill="auto"/>
            <w:noWrap/>
            <w:vAlign w:val="bottom"/>
            <w:hideMark/>
          </w:tcPr>
          <w:p w:rsidR="006D406F" w:rsidRDefault="006D406F">
            <w:pPr>
              <w:rPr>
                <w:color w:val="000000"/>
                <w:sz w:val="22"/>
                <w:szCs w:val="22"/>
              </w:rPr>
            </w:pPr>
            <w:r>
              <w:rPr>
                <w:color w:val="000000"/>
                <w:sz w:val="22"/>
                <w:szCs w:val="22"/>
              </w:rPr>
              <w:t>Ugdymo proceso užtikrinimo programa</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3156,8</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3490,9</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334,1</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29</w:t>
            </w:r>
          </w:p>
        </w:tc>
      </w:tr>
      <w:tr w:rsidR="006D406F" w:rsidTr="006D406F">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7</w:t>
            </w:r>
          </w:p>
        </w:tc>
        <w:tc>
          <w:tcPr>
            <w:tcW w:w="3914" w:type="dxa"/>
            <w:tcBorders>
              <w:top w:val="nil"/>
              <w:left w:val="nil"/>
              <w:bottom w:val="single" w:sz="4" w:space="0" w:color="auto"/>
              <w:right w:val="single" w:sz="4" w:space="0" w:color="auto"/>
            </w:tcBorders>
            <w:shd w:val="clear" w:color="auto" w:fill="auto"/>
            <w:vAlign w:val="bottom"/>
            <w:hideMark/>
          </w:tcPr>
          <w:p w:rsidR="006D406F" w:rsidRDefault="006D406F">
            <w:pPr>
              <w:rPr>
                <w:color w:val="000000"/>
                <w:sz w:val="22"/>
                <w:szCs w:val="22"/>
              </w:rPr>
            </w:pPr>
            <w:r>
              <w:rPr>
                <w:color w:val="000000"/>
                <w:sz w:val="22"/>
                <w:szCs w:val="22"/>
              </w:rPr>
              <w:t>Socialinės atskirties mažinimo programa</w:t>
            </w:r>
          </w:p>
        </w:tc>
        <w:tc>
          <w:tcPr>
            <w:tcW w:w="1134" w:type="dxa"/>
            <w:tcBorders>
              <w:top w:val="nil"/>
              <w:left w:val="nil"/>
              <w:bottom w:val="single" w:sz="4" w:space="0" w:color="auto"/>
              <w:right w:val="single" w:sz="4" w:space="0" w:color="auto"/>
            </w:tcBorders>
            <w:shd w:val="clear" w:color="auto" w:fill="auto"/>
            <w:vAlign w:val="bottom"/>
            <w:hideMark/>
          </w:tcPr>
          <w:p w:rsidR="006D406F" w:rsidRDefault="006D406F">
            <w:pPr>
              <w:jc w:val="right"/>
              <w:rPr>
                <w:color w:val="000000"/>
                <w:sz w:val="22"/>
                <w:szCs w:val="22"/>
              </w:rPr>
            </w:pPr>
            <w:r>
              <w:rPr>
                <w:color w:val="000000"/>
                <w:sz w:val="22"/>
                <w:szCs w:val="22"/>
              </w:rPr>
              <w:t>2043,6</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2215,5</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171,9</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18</w:t>
            </w:r>
          </w:p>
        </w:tc>
      </w:tr>
      <w:tr w:rsidR="006D406F" w:rsidTr="006D406F">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jc w:val="center"/>
              <w:rPr>
                <w:color w:val="000000"/>
                <w:sz w:val="22"/>
                <w:szCs w:val="22"/>
              </w:rPr>
            </w:pPr>
            <w:r>
              <w:rPr>
                <w:color w:val="000000"/>
                <w:sz w:val="22"/>
                <w:szCs w:val="22"/>
              </w:rPr>
              <w:t>8</w:t>
            </w:r>
          </w:p>
        </w:tc>
        <w:tc>
          <w:tcPr>
            <w:tcW w:w="3914" w:type="dxa"/>
            <w:tcBorders>
              <w:top w:val="nil"/>
              <w:left w:val="nil"/>
              <w:bottom w:val="single" w:sz="4" w:space="0" w:color="auto"/>
              <w:right w:val="single" w:sz="4" w:space="0" w:color="auto"/>
            </w:tcBorders>
            <w:shd w:val="clear" w:color="auto" w:fill="auto"/>
            <w:noWrap/>
            <w:vAlign w:val="bottom"/>
            <w:hideMark/>
          </w:tcPr>
          <w:p w:rsidR="006D406F" w:rsidRDefault="006D406F">
            <w:pPr>
              <w:rPr>
                <w:color w:val="000000"/>
                <w:sz w:val="22"/>
                <w:szCs w:val="22"/>
              </w:rPr>
            </w:pPr>
            <w:r>
              <w:rPr>
                <w:color w:val="000000"/>
                <w:sz w:val="22"/>
                <w:szCs w:val="22"/>
              </w:rPr>
              <w:t>Sveikatos apsaugos programa</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54,3</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50,3</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color w:val="000000"/>
                <w:sz w:val="22"/>
                <w:szCs w:val="22"/>
              </w:rPr>
            </w:pPr>
            <w:r>
              <w:rPr>
                <w:color w:val="000000"/>
                <w:sz w:val="22"/>
                <w:szCs w:val="22"/>
              </w:rPr>
              <w:t>0</w:t>
            </w:r>
          </w:p>
        </w:tc>
      </w:tr>
      <w:tr w:rsidR="006D406F" w:rsidTr="006D406F">
        <w:trPr>
          <w:trHeight w:val="3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6D406F" w:rsidRDefault="006D406F">
            <w:pPr>
              <w:rPr>
                <w:color w:val="000000"/>
                <w:sz w:val="22"/>
                <w:szCs w:val="22"/>
              </w:rPr>
            </w:pPr>
            <w:r>
              <w:rPr>
                <w:color w:val="000000"/>
                <w:sz w:val="22"/>
                <w:szCs w:val="22"/>
              </w:rPr>
              <w:t> </w:t>
            </w:r>
          </w:p>
        </w:tc>
        <w:tc>
          <w:tcPr>
            <w:tcW w:w="3914" w:type="dxa"/>
            <w:tcBorders>
              <w:top w:val="nil"/>
              <w:left w:val="nil"/>
              <w:bottom w:val="single" w:sz="4" w:space="0" w:color="auto"/>
              <w:right w:val="single" w:sz="4" w:space="0" w:color="auto"/>
            </w:tcBorders>
            <w:shd w:val="clear" w:color="auto" w:fill="auto"/>
            <w:vAlign w:val="center"/>
            <w:hideMark/>
          </w:tcPr>
          <w:p w:rsidR="006D406F" w:rsidRDefault="006D406F">
            <w:pPr>
              <w:rPr>
                <w:b/>
                <w:bCs/>
                <w:color w:val="000000"/>
                <w:sz w:val="22"/>
                <w:szCs w:val="22"/>
              </w:rPr>
            </w:pPr>
            <w:r>
              <w:rPr>
                <w:b/>
                <w:bCs/>
                <w:color w:val="000000"/>
                <w:sz w:val="22"/>
                <w:szCs w:val="22"/>
              </w:rPr>
              <w:t>Iš viso</w:t>
            </w:r>
          </w:p>
        </w:tc>
        <w:tc>
          <w:tcPr>
            <w:tcW w:w="1134" w:type="dxa"/>
            <w:tcBorders>
              <w:top w:val="nil"/>
              <w:left w:val="nil"/>
              <w:bottom w:val="single" w:sz="4" w:space="0" w:color="auto"/>
              <w:right w:val="single" w:sz="4" w:space="0" w:color="auto"/>
            </w:tcBorders>
            <w:shd w:val="clear" w:color="auto" w:fill="auto"/>
            <w:vAlign w:val="center"/>
            <w:hideMark/>
          </w:tcPr>
          <w:p w:rsidR="006D406F" w:rsidRDefault="006D406F">
            <w:pPr>
              <w:jc w:val="right"/>
              <w:rPr>
                <w:b/>
                <w:bCs/>
                <w:color w:val="000000"/>
                <w:sz w:val="22"/>
                <w:szCs w:val="22"/>
              </w:rPr>
            </w:pPr>
            <w:r>
              <w:rPr>
                <w:b/>
                <w:bCs/>
                <w:color w:val="000000"/>
                <w:sz w:val="22"/>
                <w:szCs w:val="22"/>
              </w:rPr>
              <w:t>11010,2</w:t>
            </w:r>
          </w:p>
        </w:tc>
        <w:tc>
          <w:tcPr>
            <w:tcW w:w="1134"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b/>
                <w:bCs/>
                <w:color w:val="000000"/>
                <w:sz w:val="22"/>
                <w:szCs w:val="22"/>
              </w:rPr>
            </w:pPr>
            <w:r>
              <w:rPr>
                <w:b/>
                <w:bCs/>
                <w:color w:val="000000"/>
                <w:sz w:val="22"/>
                <w:szCs w:val="22"/>
              </w:rPr>
              <w:t>12122,1</w:t>
            </w:r>
          </w:p>
        </w:tc>
        <w:tc>
          <w:tcPr>
            <w:tcW w:w="1276"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b/>
                <w:bCs/>
                <w:color w:val="000000"/>
                <w:sz w:val="22"/>
                <w:szCs w:val="22"/>
              </w:rPr>
            </w:pPr>
            <w:r>
              <w:rPr>
                <w:b/>
                <w:bCs/>
                <w:color w:val="000000"/>
                <w:sz w:val="22"/>
                <w:szCs w:val="22"/>
              </w:rPr>
              <w:t>1111,9</w:t>
            </w:r>
          </w:p>
        </w:tc>
        <w:tc>
          <w:tcPr>
            <w:tcW w:w="1269" w:type="dxa"/>
            <w:tcBorders>
              <w:top w:val="nil"/>
              <w:left w:val="nil"/>
              <w:bottom w:val="single" w:sz="4" w:space="0" w:color="auto"/>
              <w:right w:val="single" w:sz="4" w:space="0" w:color="auto"/>
            </w:tcBorders>
            <w:shd w:val="clear" w:color="auto" w:fill="auto"/>
            <w:noWrap/>
            <w:vAlign w:val="bottom"/>
            <w:hideMark/>
          </w:tcPr>
          <w:p w:rsidR="006D406F" w:rsidRDefault="006D406F">
            <w:pPr>
              <w:jc w:val="right"/>
              <w:rPr>
                <w:b/>
                <w:bCs/>
                <w:color w:val="000000"/>
                <w:sz w:val="22"/>
                <w:szCs w:val="22"/>
              </w:rPr>
            </w:pPr>
            <w:r>
              <w:rPr>
                <w:b/>
                <w:bCs/>
                <w:color w:val="000000"/>
                <w:sz w:val="22"/>
                <w:szCs w:val="22"/>
              </w:rPr>
              <w:t>100</w:t>
            </w:r>
          </w:p>
        </w:tc>
      </w:tr>
    </w:tbl>
    <w:p w:rsidR="003E75F5" w:rsidRDefault="003E75F5" w:rsidP="003E75F5">
      <w:pPr>
        <w:spacing w:line="360" w:lineRule="auto"/>
        <w:jc w:val="both"/>
        <w:rPr>
          <w:bCs/>
          <w:color w:val="000000"/>
          <w:lang w:eastAsia="en-US"/>
        </w:rPr>
      </w:pPr>
    </w:p>
    <w:p w:rsidR="00EB0EE6" w:rsidRDefault="00B0183C" w:rsidP="00C363BF">
      <w:pPr>
        <w:autoSpaceDE w:val="0"/>
        <w:autoSpaceDN w:val="0"/>
        <w:adjustRightInd w:val="0"/>
        <w:spacing w:line="360" w:lineRule="auto"/>
        <w:ind w:firstLine="720"/>
        <w:jc w:val="both"/>
        <w:rPr>
          <w:bCs/>
          <w:color w:val="000000"/>
          <w:lang w:eastAsia="en-US"/>
        </w:rPr>
      </w:pPr>
      <w:r>
        <w:rPr>
          <w:bCs/>
          <w:color w:val="000000"/>
          <w:lang w:eastAsia="en-US"/>
        </w:rPr>
        <w:t xml:space="preserve"> </w:t>
      </w:r>
      <w:r w:rsidR="00EB0EE6">
        <w:rPr>
          <w:bCs/>
          <w:color w:val="000000"/>
          <w:lang w:eastAsia="en-US"/>
        </w:rPr>
        <w:t xml:space="preserve">Molėtų rajono savivaldybės </w:t>
      </w:r>
      <w:r w:rsidR="00232447">
        <w:rPr>
          <w:bCs/>
          <w:color w:val="000000"/>
          <w:lang w:eastAsia="en-US"/>
        </w:rPr>
        <w:t>20</w:t>
      </w:r>
      <w:r w:rsidR="005B4F4B">
        <w:rPr>
          <w:bCs/>
          <w:color w:val="000000"/>
          <w:lang w:eastAsia="en-US"/>
        </w:rPr>
        <w:t>20</w:t>
      </w:r>
      <w:r w:rsidR="00EB0EE6" w:rsidRPr="00EB0EE6">
        <w:rPr>
          <w:bCs/>
          <w:color w:val="000000"/>
          <w:lang w:eastAsia="en-US"/>
        </w:rPr>
        <w:t xml:space="preserve"> m. planuojamos biudžeto pajamos pagal finansavimo šaltinius</w:t>
      </w:r>
      <w:r w:rsidR="00EC2A14">
        <w:rPr>
          <w:bCs/>
          <w:color w:val="000000"/>
          <w:lang w:eastAsia="en-US"/>
        </w:rPr>
        <w:t xml:space="preserve"> detalizuojamos 2</w:t>
      </w:r>
      <w:r w:rsidR="00EB0EE6">
        <w:rPr>
          <w:bCs/>
          <w:color w:val="000000"/>
          <w:lang w:eastAsia="en-US"/>
        </w:rPr>
        <w:t xml:space="preserve"> lent</w:t>
      </w:r>
      <w:r w:rsidR="00CE0A80">
        <w:rPr>
          <w:bCs/>
          <w:color w:val="000000"/>
          <w:lang w:eastAsia="en-US"/>
        </w:rPr>
        <w:t>elėje, taip pat pateikiamas 20</w:t>
      </w:r>
      <w:r w:rsidR="005B4F4B">
        <w:rPr>
          <w:bCs/>
          <w:color w:val="000000"/>
          <w:lang w:eastAsia="en-US"/>
        </w:rPr>
        <w:t>19</w:t>
      </w:r>
      <w:r w:rsidR="00EB0EE6">
        <w:rPr>
          <w:bCs/>
          <w:color w:val="000000"/>
          <w:lang w:eastAsia="en-US"/>
        </w:rPr>
        <w:t xml:space="preserve"> m. </w:t>
      </w:r>
      <w:r w:rsidR="00976C11">
        <w:rPr>
          <w:bCs/>
          <w:color w:val="000000"/>
          <w:lang w:eastAsia="en-US"/>
        </w:rPr>
        <w:t>ir 20</w:t>
      </w:r>
      <w:r w:rsidR="005B4F4B">
        <w:rPr>
          <w:bCs/>
          <w:color w:val="000000"/>
          <w:lang w:eastAsia="en-US"/>
        </w:rPr>
        <w:t>20</w:t>
      </w:r>
      <w:r w:rsidR="00976C11">
        <w:rPr>
          <w:bCs/>
          <w:color w:val="000000"/>
          <w:lang w:eastAsia="en-US"/>
        </w:rPr>
        <w:t xml:space="preserve"> m. </w:t>
      </w:r>
      <w:r w:rsidR="00EB0EE6">
        <w:rPr>
          <w:bCs/>
          <w:color w:val="000000"/>
          <w:lang w:eastAsia="en-US"/>
        </w:rPr>
        <w:t>lyginamasis variantas.</w:t>
      </w:r>
    </w:p>
    <w:p w:rsidR="00976C11" w:rsidRDefault="00EC2A14" w:rsidP="00976C11">
      <w:pPr>
        <w:spacing w:line="360" w:lineRule="auto"/>
        <w:ind w:firstLine="720"/>
        <w:jc w:val="right"/>
        <w:rPr>
          <w:bCs/>
          <w:color w:val="000000"/>
          <w:lang w:eastAsia="en-US"/>
        </w:rPr>
      </w:pPr>
      <w:r>
        <w:rPr>
          <w:bCs/>
          <w:color w:val="000000"/>
          <w:lang w:eastAsia="en-US"/>
        </w:rPr>
        <w:t>2</w:t>
      </w:r>
      <w:r w:rsidR="00976C11">
        <w:rPr>
          <w:bCs/>
          <w:color w:val="000000"/>
          <w:lang w:eastAsia="en-US"/>
        </w:rPr>
        <w:t xml:space="preserve"> lentelė</w:t>
      </w:r>
    </w:p>
    <w:tbl>
      <w:tblPr>
        <w:tblW w:w="0" w:type="auto"/>
        <w:tblLook w:val="04A0" w:firstRow="1" w:lastRow="0" w:firstColumn="1" w:lastColumn="0" w:noHBand="0" w:noVBand="1"/>
      </w:tblPr>
      <w:tblGrid>
        <w:gridCol w:w="3164"/>
        <w:gridCol w:w="1979"/>
        <w:gridCol w:w="1575"/>
        <w:gridCol w:w="1606"/>
        <w:gridCol w:w="1304"/>
      </w:tblGrid>
      <w:tr w:rsidR="001767F6" w:rsidTr="001767F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Finansavimo šaltinis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2019 m. patikslintas  planas tūkst. Eur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2020 m. projektas tūkst. Eur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Proc. nuo bendros pajamų sumos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67F6" w:rsidRDefault="001767F6">
            <w:pPr>
              <w:jc w:val="center"/>
              <w:rPr>
                <w:color w:val="000000"/>
                <w:sz w:val="20"/>
                <w:szCs w:val="20"/>
              </w:rPr>
            </w:pPr>
            <w:r>
              <w:rPr>
                <w:color w:val="000000"/>
                <w:sz w:val="20"/>
                <w:szCs w:val="20"/>
              </w:rPr>
              <w:t>Skirtumas tarp</w:t>
            </w:r>
            <w:r>
              <w:rPr>
                <w:color w:val="000000"/>
                <w:sz w:val="20"/>
                <w:szCs w:val="20"/>
              </w:rPr>
              <w:br/>
              <w:t xml:space="preserve"> 2020 m. projekto</w:t>
            </w:r>
            <w:r>
              <w:rPr>
                <w:color w:val="000000"/>
                <w:sz w:val="20"/>
                <w:szCs w:val="20"/>
              </w:rPr>
              <w:br/>
              <w:t xml:space="preserve">  ir 2019 m. patvirtinto</w:t>
            </w:r>
            <w:r>
              <w:rPr>
                <w:color w:val="000000"/>
                <w:sz w:val="20"/>
                <w:szCs w:val="20"/>
              </w:rPr>
              <w:br/>
              <w:t xml:space="preserve"> plano</w:t>
            </w:r>
          </w:p>
        </w:tc>
      </w:tr>
      <w:tr w:rsidR="001767F6" w:rsidTr="001767F6">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7F6" w:rsidRDefault="001767F6">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F6" w:rsidRDefault="001767F6">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F6" w:rsidRDefault="001767F6">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F6" w:rsidRDefault="001767F6">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7F6" w:rsidRDefault="001767F6">
            <w:pPr>
              <w:rPr>
                <w:color w:val="000000"/>
                <w:sz w:val="20"/>
                <w:szCs w:val="20"/>
              </w:rPr>
            </w:pP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b/>
                <w:bCs/>
                <w:color w:val="000000"/>
              </w:rPr>
            </w:pPr>
            <w:r>
              <w:rPr>
                <w:b/>
                <w:bCs/>
                <w:color w:val="000000"/>
              </w:rPr>
              <w:t>1. Savivaldybės lėšos, iš jų:</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10440,9</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11427</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50,78</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986,1</w:t>
            </w:r>
          </w:p>
        </w:tc>
      </w:tr>
      <w:tr w:rsidR="001767F6" w:rsidTr="001767F6">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Pajamos iš mokesčių ir rinkliavų</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10245</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11284</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1039</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Dividendai</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60</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-40</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Nuomos mokestis už valstybinę žemę</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70</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72</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Kitos neišvardintos pajamos</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25,9</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-14,9</w:t>
            </w:r>
          </w:p>
        </w:tc>
      </w:tr>
      <w:tr w:rsidR="001767F6" w:rsidTr="001767F6">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b/>
                <w:bCs/>
                <w:color w:val="000000"/>
              </w:rPr>
            </w:pPr>
            <w:r>
              <w:rPr>
                <w:b/>
                <w:bCs/>
                <w:color w:val="000000"/>
              </w:rPr>
              <w:t>2. Specialiosios programos lėšos</w:t>
            </w:r>
            <w:r>
              <w:rPr>
                <w:b/>
                <w:bCs/>
                <w:color w:val="000000"/>
              </w:rPr>
              <w:br/>
              <w:t>(Aplinkos apsaugos rėmimo programa)</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42,5</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0,22</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7,5</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Mokestis už aplinkos teršimą</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17,5</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-0,5</w:t>
            </w:r>
          </w:p>
        </w:tc>
      </w:tr>
      <w:tr w:rsidR="001767F6" w:rsidTr="002A5A8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Mokestis už medžiojamų gyvūnų išteklius</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4</w:t>
            </w:r>
          </w:p>
        </w:tc>
      </w:tr>
      <w:tr w:rsidR="001767F6" w:rsidTr="002A5A8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lastRenderedPageBreak/>
              <w:t>Mokesčiai už valstybinius gamtos išteklius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4</w:t>
            </w:r>
          </w:p>
        </w:tc>
      </w:tr>
      <w:tr w:rsidR="001767F6" w:rsidTr="002A5A8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rPr>
                <w:b/>
                <w:bCs/>
                <w:color w:val="000000"/>
              </w:rPr>
            </w:pPr>
            <w:r>
              <w:rPr>
                <w:b/>
                <w:bCs/>
                <w:color w:val="000000"/>
              </w:rPr>
              <w:t xml:space="preserve">3. Europos Sąjungos finansinės </w:t>
            </w:r>
            <w:r>
              <w:rPr>
                <w:b/>
                <w:bCs/>
                <w:color w:val="000000"/>
              </w:rPr>
              <w:br/>
              <w:t>paramos lėšos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767F6" w:rsidRDefault="001767F6">
            <w:pPr>
              <w:jc w:val="center"/>
              <w:rPr>
                <w:b/>
                <w:bCs/>
                <w:color w:val="000000"/>
              </w:rPr>
            </w:pPr>
            <w:r>
              <w:rPr>
                <w:b/>
                <w:bCs/>
                <w:color w:val="000000"/>
              </w:rPr>
              <w:t>3312,9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2150,7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-1162,2</w:t>
            </w:r>
          </w:p>
        </w:tc>
      </w:tr>
      <w:tr w:rsidR="001767F6" w:rsidTr="002A5A8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67F6" w:rsidRDefault="001767F6">
            <w:pPr>
              <w:rPr>
                <w:b/>
                <w:bCs/>
                <w:color w:val="000000"/>
              </w:rPr>
            </w:pPr>
            <w:r>
              <w:rPr>
                <w:b/>
                <w:bCs/>
                <w:color w:val="000000"/>
              </w:rPr>
              <w:t>4. Specialiosios tikslinės dotacijos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67F6" w:rsidRDefault="001767F6">
            <w:pPr>
              <w:jc w:val="center"/>
              <w:rPr>
                <w:b/>
                <w:bCs/>
                <w:color w:val="000000"/>
              </w:rPr>
            </w:pPr>
            <w:r>
              <w:rPr>
                <w:b/>
                <w:bCs/>
                <w:color w:val="000000"/>
              </w:rPr>
              <w:t>8023,2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8237,7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36,61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214,5</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Mokymo lėšos</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center"/>
              <w:rPr>
                <w:color w:val="000000"/>
              </w:rPr>
            </w:pPr>
            <w:r>
              <w:rPr>
                <w:color w:val="000000"/>
              </w:rPr>
              <w:t>3790,9</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4064,5</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273,6</w:t>
            </w:r>
          </w:p>
        </w:tc>
      </w:tr>
      <w:tr w:rsidR="001767F6" w:rsidTr="001767F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Valstybinėms (valstybės perduotoms savivaldybėms) funkcijoms vykdyti</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center"/>
              <w:rPr>
                <w:color w:val="000000"/>
              </w:rPr>
            </w:pPr>
            <w:r>
              <w:rPr>
                <w:color w:val="000000"/>
              </w:rPr>
              <w:t>1773,9</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2040,2</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266,3</w:t>
            </w:r>
          </w:p>
        </w:tc>
      </w:tr>
      <w:tr w:rsidR="001767F6" w:rsidTr="001767F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Pagal teisės aktus savivaldybėms  perduotoms įstaigoms išlaikyti</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128</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99</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-29</w:t>
            </w:r>
          </w:p>
        </w:tc>
      </w:tr>
      <w:tr w:rsidR="001767F6" w:rsidTr="001767F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Specialių poreikių turinčių vaikų išlaikymui iš dalies finansuoti</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67,6</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73,4</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5,8</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Kitos specialios tikslinės dotacijos</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558,8</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532,9</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-25,9</w:t>
            </w:r>
          </w:p>
        </w:tc>
      </w:tr>
      <w:tr w:rsidR="001767F6" w:rsidTr="001767F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Kita tikslinė dotacija kelių priežiūrai ir rekonstrukcijai</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1359</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1327,7</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-31,3</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Valstybės investicijų programai vykdyti</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345</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-245</w:t>
            </w:r>
          </w:p>
        </w:tc>
      </w:tr>
      <w:tr w:rsidR="001767F6" w:rsidTr="001767F6">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b/>
                <w:bCs/>
                <w:color w:val="000000"/>
              </w:rPr>
            </w:pPr>
            <w:r>
              <w:rPr>
                <w:b/>
                <w:bCs/>
                <w:color w:val="000000"/>
              </w:rPr>
              <w:t>5. Įstaigų pajamos už prekes ir paslaugas</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465,2</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590</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2,62</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124,8</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b/>
                <w:bCs/>
                <w:color w:val="000000"/>
              </w:rPr>
            </w:pPr>
            <w:r>
              <w:rPr>
                <w:b/>
                <w:bCs/>
                <w:color w:val="000000"/>
              </w:rPr>
              <w:t>6. Turto realizavimo pajamos</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105,7</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46,1</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color w:val="000000"/>
              </w:rPr>
            </w:pPr>
            <w:r>
              <w:rPr>
                <w:color w:val="000000"/>
              </w:rPr>
              <w:t>0,20</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-59,6</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67F6" w:rsidRDefault="001767F6">
            <w:pPr>
              <w:rPr>
                <w:color w:val="000000"/>
              </w:rPr>
            </w:pPr>
            <w:r>
              <w:rPr>
                <w:color w:val="000000"/>
              </w:rPr>
              <w:t>Iš viso</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22390,4</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22501,5</w:t>
            </w:r>
          </w:p>
        </w:tc>
        <w:tc>
          <w:tcPr>
            <w:tcW w:w="0" w:type="auto"/>
            <w:tcBorders>
              <w:top w:val="nil"/>
              <w:left w:val="nil"/>
              <w:bottom w:val="single" w:sz="4" w:space="0" w:color="auto"/>
              <w:right w:val="single" w:sz="4" w:space="0" w:color="auto"/>
            </w:tcBorders>
            <w:shd w:val="clear" w:color="auto" w:fill="auto"/>
            <w:vAlign w:val="center"/>
            <w:hideMark/>
          </w:tcPr>
          <w:p w:rsidR="001767F6" w:rsidRDefault="001767F6">
            <w:pPr>
              <w:jc w:val="center"/>
              <w:rPr>
                <w:b/>
                <w:bCs/>
                <w:color w:val="000000"/>
              </w:rPr>
            </w:pPr>
            <w:r>
              <w:rPr>
                <w:b/>
                <w:bCs/>
                <w:color w:val="000000"/>
              </w:rPr>
              <w:t>100,00</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111,1</w:t>
            </w:r>
          </w:p>
        </w:tc>
      </w:tr>
    </w:tbl>
    <w:p w:rsidR="00EB0EE6" w:rsidRPr="00EB0EE6" w:rsidRDefault="00EB0EE6" w:rsidP="00976C11">
      <w:pPr>
        <w:spacing w:line="360" w:lineRule="auto"/>
        <w:jc w:val="both"/>
      </w:pPr>
    </w:p>
    <w:p w:rsidR="007F36AA" w:rsidRDefault="007F36AA" w:rsidP="007F36AA">
      <w:pPr>
        <w:autoSpaceDE w:val="0"/>
        <w:autoSpaceDN w:val="0"/>
        <w:adjustRightInd w:val="0"/>
        <w:spacing w:line="360" w:lineRule="auto"/>
        <w:ind w:firstLine="720"/>
        <w:jc w:val="both"/>
        <w:rPr>
          <w:bCs/>
        </w:rPr>
      </w:pPr>
      <w:r>
        <w:t>201</w:t>
      </w:r>
      <w:r w:rsidR="00791F5E">
        <w:t>9</w:t>
      </w:r>
      <w:r>
        <w:t xml:space="preserve"> m. savivaldybė gavo ir nepanaudojo </w:t>
      </w:r>
      <w:r w:rsidR="00791F5E">
        <w:t>818,5</w:t>
      </w:r>
      <w:r>
        <w:t xml:space="preserve"> tūkst. Eur pajamų, iš kurių </w:t>
      </w:r>
      <w:r w:rsidR="00791F5E">
        <w:t>165,4</w:t>
      </w:r>
      <w:r>
        <w:t xml:space="preserve"> tūkst. Eur biudžetinių įstaigų </w:t>
      </w:r>
      <w:r w:rsidR="003B2119">
        <w:t xml:space="preserve">tikslinės </w:t>
      </w:r>
      <w:r>
        <w:t>lėšos</w:t>
      </w:r>
      <w:r w:rsidR="00791F5E">
        <w:t xml:space="preserve"> (7 priedas)</w:t>
      </w:r>
      <w:r>
        <w:t>. 20</w:t>
      </w:r>
      <w:r w:rsidR="00791F5E">
        <w:t>20</w:t>
      </w:r>
      <w:r>
        <w:t xml:space="preserve"> metais šios lėšos pridedamos prie pajamų ir paskirstomos asignavimų valdytojams, likusi suma </w:t>
      </w:r>
      <w:r w:rsidR="00791F5E">
        <w:t>653,1</w:t>
      </w:r>
      <w:r>
        <w:t xml:space="preserve"> tūkst. Eur yra savivaldybės lėšos.</w:t>
      </w:r>
      <w:r w:rsidRPr="007F36AA">
        <w:rPr>
          <w:bCs/>
        </w:rPr>
        <w:t xml:space="preserve"> </w:t>
      </w:r>
    </w:p>
    <w:p w:rsidR="00BB419B" w:rsidRDefault="0052110A" w:rsidP="00791F5E">
      <w:pPr>
        <w:autoSpaceDE w:val="0"/>
        <w:autoSpaceDN w:val="0"/>
        <w:adjustRightInd w:val="0"/>
        <w:spacing w:line="360" w:lineRule="auto"/>
        <w:ind w:firstLine="720"/>
        <w:jc w:val="both"/>
        <w:rPr>
          <w:bCs/>
        </w:rPr>
      </w:pPr>
      <w:r>
        <w:rPr>
          <w:bCs/>
        </w:rPr>
        <w:t xml:space="preserve">Galutinis pajamų išdėstymas ir </w:t>
      </w:r>
      <w:r w:rsidR="00480606">
        <w:rPr>
          <w:bCs/>
        </w:rPr>
        <w:t xml:space="preserve">sprendimo </w:t>
      </w:r>
      <w:r>
        <w:rPr>
          <w:bCs/>
        </w:rPr>
        <w:t xml:space="preserve">1 priedo </w:t>
      </w:r>
      <w:r w:rsidR="00A02122">
        <w:rPr>
          <w:bCs/>
        </w:rPr>
        <w:t xml:space="preserve">paaiškinimas </w:t>
      </w:r>
      <w:r>
        <w:rPr>
          <w:bCs/>
        </w:rPr>
        <w:t>pateikiamas lentelėje:</w:t>
      </w:r>
    </w:p>
    <w:p w:rsidR="002A5A81" w:rsidRDefault="002A5A81" w:rsidP="00791F5E">
      <w:pPr>
        <w:autoSpaceDE w:val="0"/>
        <w:autoSpaceDN w:val="0"/>
        <w:adjustRightInd w:val="0"/>
        <w:spacing w:line="360" w:lineRule="auto"/>
        <w:ind w:firstLine="720"/>
        <w:jc w:val="both"/>
        <w:rPr>
          <w:bCs/>
        </w:rPr>
      </w:pPr>
    </w:p>
    <w:tbl>
      <w:tblPr>
        <w:tblW w:w="0" w:type="auto"/>
        <w:tblLook w:val="04A0" w:firstRow="1" w:lastRow="0" w:firstColumn="1" w:lastColumn="0" w:noHBand="0" w:noVBand="1"/>
      </w:tblPr>
      <w:tblGrid>
        <w:gridCol w:w="6244"/>
        <w:gridCol w:w="1016"/>
        <w:gridCol w:w="1016"/>
        <w:gridCol w:w="1352"/>
      </w:tblGrid>
      <w:tr w:rsidR="001767F6" w:rsidTr="001767F6">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7F6" w:rsidRDefault="001767F6">
            <w:pPr>
              <w:jc w:val="center"/>
              <w:rPr>
                <w:b/>
                <w:bCs/>
                <w:color w:val="000000"/>
              </w:rPr>
            </w:pPr>
            <w:r>
              <w:rPr>
                <w:b/>
                <w:bCs/>
                <w:color w:val="000000"/>
              </w:rPr>
              <w:t>Pajamos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67F6" w:rsidRDefault="001767F6">
            <w:pPr>
              <w:jc w:val="center"/>
              <w:rPr>
                <w:b/>
                <w:bCs/>
                <w:color w:val="000000"/>
              </w:rPr>
            </w:pPr>
            <w:r>
              <w:rPr>
                <w:b/>
                <w:bCs/>
                <w:color w:val="000000"/>
              </w:rPr>
              <w:t xml:space="preserve">2019 m.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67F6" w:rsidRDefault="001767F6">
            <w:pPr>
              <w:jc w:val="center"/>
              <w:rPr>
                <w:b/>
                <w:bCs/>
                <w:color w:val="000000"/>
              </w:rPr>
            </w:pPr>
            <w:r>
              <w:rPr>
                <w:b/>
                <w:bCs/>
                <w:color w:val="000000"/>
              </w:rPr>
              <w:t xml:space="preserve">2020 m.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767F6" w:rsidRDefault="001767F6">
            <w:pPr>
              <w:rPr>
                <w:b/>
                <w:bCs/>
                <w:color w:val="000000"/>
                <w:sz w:val="22"/>
                <w:szCs w:val="22"/>
              </w:rPr>
            </w:pPr>
            <w:r>
              <w:rPr>
                <w:b/>
                <w:bCs/>
                <w:color w:val="000000"/>
                <w:sz w:val="22"/>
                <w:szCs w:val="22"/>
              </w:rPr>
              <w:t xml:space="preserve">2020/2019 m. </w:t>
            </w:r>
            <w:r>
              <w:rPr>
                <w:b/>
                <w:bCs/>
                <w:color w:val="000000"/>
                <w:sz w:val="22"/>
                <w:szCs w:val="22"/>
              </w:rPr>
              <w:br/>
              <w:t>skirtumas</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67F6" w:rsidRDefault="001767F6">
            <w:pPr>
              <w:rPr>
                <w:color w:val="000000"/>
              </w:rPr>
            </w:pPr>
            <w:r>
              <w:rPr>
                <w:color w:val="000000"/>
              </w:rPr>
              <w:t>Iš viso mokesčiai, pajamos ir dotacijos</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22390,4</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22501,5</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111,1</w:t>
            </w:r>
          </w:p>
        </w:tc>
      </w:tr>
      <w:tr w:rsidR="001767F6" w:rsidTr="001767F6">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67F6" w:rsidRDefault="001767F6">
            <w:pPr>
              <w:rPr>
                <w:color w:val="000000"/>
              </w:rPr>
            </w:pPr>
            <w:r>
              <w:rPr>
                <w:color w:val="000000"/>
              </w:rPr>
              <w:t>2019 metų nepanaudotos biudžeto lėšos, kuriomis koreguojama 2020 m. pajamų dalis:</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682,3</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818,5</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136,2</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67F6" w:rsidRDefault="001767F6">
            <w:pPr>
              <w:rPr>
                <w:color w:val="000000"/>
              </w:rPr>
            </w:pPr>
            <w:r>
              <w:rPr>
                <w:color w:val="000000"/>
              </w:rPr>
              <w:t>t.t. Tikslinės paskirties lėšos</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193,3</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165,4</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-27,9</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67F6" w:rsidRDefault="001767F6">
            <w:pPr>
              <w:rPr>
                <w:color w:val="000000"/>
              </w:rPr>
            </w:pPr>
            <w:r>
              <w:rPr>
                <w:color w:val="000000"/>
              </w:rPr>
              <w:t>Iš viso su 2019 metais nepanaudotomis lėšomis</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23072,7</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23320</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247,3</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67F6" w:rsidRDefault="001767F6">
            <w:pPr>
              <w:rPr>
                <w:color w:val="000000"/>
              </w:rPr>
            </w:pPr>
            <w:r>
              <w:rPr>
                <w:color w:val="000000"/>
              </w:rPr>
              <w:t>Finansinių įsipareigojimų (skolintos) lėšos</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500</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color w:val="000000"/>
              </w:rPr>
            </w:pPr>
            <w:r>
              <w:rPr>
                <w:color w:val="000000"/>
              </w:rPr>
              <w:t>550</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color w:val="000000"/>
                <w:sz w:val="22"/>
                <w:szCs w:val="22"/>
              </w:rPr>
            </w:pPr>
            <w:r>
              <w:rPr>
                <w:rFonts w:ascii="Calibri" w:hAnsi="Calibri" w:cs="Calibri"/>
                <w:color w:val="000000"/>
                <w:sz w:val="22"/>
                <w:szCs w:val="22"/>
              </w:rPr>
              <w:t>50</w:t>
            </w:r>
          </w:p>
        </w:tc>
      </w:tr>
      <w:tr w:rsidR="001767F6" w:rsidTr="001767F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67F6" w:rsidRDefault="001767F6">
            <w:pPr>
              <w:rPr>
                <w:b/>
                <w:bCs/>
                <w:color w:val="000000"/>
              </w:rPr>
            </w:pPr>
            <w:r>
              <w:rPr>
                <w:b/>
                <w:bCs/>
                <w:color w:val="000000"/>
              </w:rPr>
              <w:t xml:space="preserve">                             Iš viso </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b/>
                <w:bCs/>
                <w:color w:val="000000"/>
              </w:rPr>
            </w:pPr>
            <w:r>
              <w:rPr>
                <w:b/>
                <w:bCs/>
                <w:color w:val="000000"/>
              </w:rPr>
              <w:t>23572,7</w:t>
            </w:r>
          </w:p>
        </w:tc>
        <w:tc>
          <w:tcPr>
            <w:tcW w:w="0" w:type="auto"/>
            <w:tcBorders>
              <w:top w:val="nil"/>
              <w:left w:val="nil"/>
              <w:bottom w:val="single" w:sz="4" w:space="0" w:color="auto"/>
              <w:right w:val="single" w:sz="4" w:space="0" w:color="auto"/>
            </w:tcBorders>
            <w:shd w:val="clear" w:color="000000" w:fill="FFFFFF"/>
            <w:vAlign w:val="center"/>
            <w:hideMark/>
          </w:tcPr>
          <w:p w:rsidR="001767F6" w:rsidRDefault="001767F6">
            <w:pPr>
              <w:jc w:val="right"/>
              <w:rPr>
                <w:b/>
                <w:bCs/>
                <w:color w:val="000000"/>
              </w:rPr>
            </w:pPr>
            <w:r>
              <w:rPr>
                <w:b/>
                <w:bCs/>
                <w:color w:val="000000"/>
              </w:rPr>
              <w:t>23870</w:t>
            </w:r>
          </w:p>
        </w:tc>
        <w:tc>
          <w:tcPr>
            <w:tcW w:w="0" w:type="auto"/>
            <w:tcBorders>
              <w:top w:val="nil"/>
              <w:left w:val="nil"/>
              <w:bottom w:val="single" w:sz="4" w:space="0" w:color="auto"/>
              <w:right w:val="single" w:sz="4" w:space="0" w:color="auto"/>
            </w:tcBorders>
            <w:shd w:val="clear" w:color="auto" w:fill="auto"/>
            <w:noWrap/>
            <w:vAlign w:val="bottom"/>
            <w:hideMark/>
          </w:tcPr>
          <w:p w:rsidR="001767F6" w:rsidRDefault="001767F6">
            <w:pPr>
              <w:jc w:val="right"/>
              <w:rPr>
                <w:rFonts w:ascii="Calibri" w:hAnsi="Calibri" w:cs="Calibri"/>
                <w:b/>
                <w:bCs/>
                <w:color w:val="000000"/>
                <w:sz w:val="22"/>
                <w:szCs w:val="22"/>
              </w:rPr>
            </w:pPr>
            <w:r>
              <w:rPr>
                <w:rFonts w:ascii="Calibri" w:hAnsi="Calibri" w:cs="Calibri"/>
                <w:b/>
                <w:bCs/>
                <w:color w:val="000000"/>
                <w:sz w:val="22"/>
                <w:szCs w:val="22"/>
              </w:rPr>
              <w:t>297,3</w:t>
            </w:r>
          </w:p>
        </w:tc>
      </w:tr>
    </w:tbl>
    <w:p w:rsidR="00C363BF" w:rsidRDefault="00C363BF" w:rsidP="008D1A35">
      <w:pPr>
        <w:autoSpaceDE w:val="0"/>
        <w:autoSpaceDN w:val="0"/>
        <w:adjustRightInd w:val="0"/>
        <w:spacing w:line="360" w:lineRule="auto"/>
        <w:jc w:val="both"/>
        <w:rPr>
          <w:bCs/>
          <w:lang w:val="en-US"/>
        </w:rPr>
      </w:pPr>
    </w:p>
    <w:p w:rsidR="002A5A81" w:rsidRDefault="002A5A81" w:rsidP="008D1A35">
      <w:pPr>
        <w:autoSpaceDE w:val="0"/>
        <w:autoSpaceDN w:val="0"/>
        <w:adjustRightInd w:val="0"/>
        <w:spacing w:line="360" w:lineRule="auto"/>
        <w:jc w:val="both"/>
        <w:rPr>
          <w:bCs/>
          <w:lang w:val="en-US"/>
        </w:rPr>
      </w:pPr>
    </w:p>
    <w:p w:rsidR="002A5A81" w:rsidRDefault="002A5A81" w:rsidP="008D1A35">
      <w:pPr>
        <w:autoSpaceDE w:val="0"/>
        <w:autoSpaceDN w:val="0"/>
        <w:adjustRightInd w:val="0"/>
        <w:spacing w:line="360" w:lineRule="auto"/>
        <w:jc w:val="both"/>
        <w:rPr>
          <w:bCs/>
          <w:lang w:val="en-US"/>
        </w:rPr>
      </w:pPr>
    </w:p>
    <w:p w:rsidR="00BB419B" w:rsidRDefault="008D1A35" w:rsidP="007F36AA">
      <w:pPr>
        <w:autoSpaceDE w:val="0"/>
        <w:autoSpaceDN w:val="0"/>
        <w:adjustRightInd w:val="0"/>
        <w:spacing w:line="360" w:lineRule="auto"/>
        <w:ind w:firstLine="720"/>
        <w:jc w:val="both"/>
        <w:rPr>
          <w:bCs/>
          <w:lang w:val="en-US"/>
        </w:rPr>
      </w:pPr>
      <w:r>
        <w:rPr>
          <w:bCs/>
          <w:lang w:val="en-US"/>
        </w:rPr>
        <w:t>2</w:t>
      </w:r>
      <w:r w:rsidR="00BB419B">
        <w:rPr>
          <w:bCs/>
          <w:lang w:val="en-US"/>
        </w:rPr>
        <w:t>0</w:t>
      </w:r>
      <w:r w:rsidR="00864068">
        <w:rPr>
          <w:bCs/>
          <w:lang w:val="en-US"/>
        </w:rPr>
        <w:t>20</w:t>
      </w:r>
      <w:r w:rsidR="00BB419B">
        <w:rPr>
          <w:bCs/>
          <w:lang w:val="en-US"/>
        </w:rPr>
        <w:t xml:space="preserve"> m. pajamų išdėstymas pagal pajamų rūšis ir procentų dalį pateikiamas diagramoje:</w:t>
      </w:r>
    </w:p>
    <w:p w:rsidR="009B7BBB" w:rsidRDefault="009B7BBB" w:rsidP="009B7BBB">
      <w:pPr>
        <w:autoSpaceDE w:val="0"/>
        <w:autoSpaceDN w:val="0"/>
        <w:adjustRightInd w:val="0"/>
        <w:spacing w:line="360" w:lineRule="auto"/>
        <w:jc w:val="both"/>
        <w:rPr>
          <w:bCs/>
          <w:lang w:val="en-US"/>
        </w:rPr>
      </w:pPr>
    </w:p>
    <w:p w:rsidR="00BB419B" w:rsidRDefault="001767F6" w:rsidP="00BB419B">
      <w:pPr>
        <w:autoSpaceDE w:val="0"/>
        <w:autoSpaceDN w:val="0"/>
        <w:adjustRightInd w:val="0"/>
        <w:spacing w:line="360" w:lineRule="auto"/>
        <w:jc w:val="both"/>
        <w:rPr>
          <w:bCs/>
        </w:rPr>
      </w:pPr>
      <w:r>
        <w:rPr>
          <w:noProof/>
        </w:rPr>
        <w:drawing>
          <wp:inline distT="0" distB="0" distL="0" distR="0" wp14:anchorId="13CDC41A" wp14:editId="428F099C">
            <wp:extent cx="6120130" cy="5114925"/>
            <wp:effectExtent l="0" t="0" r="1397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721B" w:rsidRDefault="007F36AA" w:rsidP="007F36AA">
      <w:pPr>
        <w:autoSpaceDE w:val="0"/>
        <w:autoSpaceDN w:val="0"/>
        <w:adjustRightInd w:val="0"/>
        <w:spacing w:line="360" w:lineRule="auto"/>
        <w:ind w:firstLine="720"/>
        <w:jc w:val="both"/>
      </w:pPr>
      <w:r>
        <w:rPr>
          <w:bCs/>
        </w:rPr>
        <w:t>Valstybinėms (perduotoms savivaldybėms) funkcijoms vykdyti specialios tikslinės dotacijos, lyginant su 201</w:t>
      </w:r>
      <w:r w:rsidR="00DF375F">
        <w:rPr>
          <w:bCs/>
        </w:rPr>
        <w:t>9</w:t>
      </w:r>
      <w:r>
        <w:rPr>
          <w:bCs/>
        </w:rPr>
        <w:t xml:space="preserve"> metais, skirta </w:t>
      </w:r>
      <w:r w:rsidR="00BE721B">
        <w:rPr>
          <w:bCs/>
        </w:rPr>
        <w:t>266,3</w:t>
      </w:r>
      <w:r>
        <w:rPr>
          <w:bCs/>
        </w:rPr>
        <w:t xml:space="preserve"> </w:t>
      </w:r>
      <w:r>
        <w:t>tūkst.</w:t>
      </w:r>
      <w:r w:rsidR="00C96873">
        <w:t xml:space="preserve"> Eur daugiau. </w:t>
      </w:r>
      <w:r w:rsidR="00AB4BBB">
        <w:t xml:space="preserve">Ypatingas dėmesys skiriamas užimtumo didinimo programai. </w:t>
      </w:r>
      <w:r w:rsidR="00477A68">
        <w:t>Socialinės apsaugos ministerija 2020 m. skiria</w:t>
      </w:r>
      <w:r w:rsidR="00AB4BBB">
        <w:t xml:space="preserve"> </w:t>
      </w:r>
      <w:r w:rsidR="00477A68">
        <w:t xml:space="preserve">83,3 tūkst. Eur užimtumo skatinimo ir motyvavimo paslaugų nedirbantiems ir socialinę paramą gaunantiems asmenims užimtumo didinimo programos modeliui įgyvendinti. 103 tūkst. Eur 2020 m. skiriama priešgaisrinės funkcijos įgyvendinimui, lėšos perduodamos Molėtų rajono ugniagesių tarnybai. </w:t>
      </w:r>
    </w:p>
    <w:p w:rsidR="007F36AA" w:rsidRDefault="00C96873" w:rsidP="007F36AA">
      <w:pPr>
        <w:autoSpaceDE w:val="0"/>
        <w:autoSpaceDN w:val="0"/>
        <w:adjustRightInd w:val="0"/>
        <w:spacing w:line="360" w:lineRule="auto"/>
        <w:ind w:firstLine="720"/>
        <w:jc w:val="both"/>
      </w:pPr>
      <w:r>
        <w:t xml:space="preserve">Valstybinės funkcijos, perduotos savivaldybei </w:t>
      </w:r>
      <w:r w:rsidR="001A1B93">
        <w:t xml:space="preserve">pagal ministerijas ir kitus lėšų perdavėjus, </w:t>
      </w:r>
      <w:r>
        <w:t xml:space="preserve">detalizuojamos </w:t>
      </w:r>
      <w:r w:rsidR="001A1B93">
        <w:t>lentelėje:</w:t>
      </w:r>
    </w:p>
    <w:p w:rsidR="002A5A81" w:rsidRDefault="002A5A81" w:rsidP="007F36AA">
      <w:pPr>
        <w:autoSpaceDE w:val="0"/>
        <w:autoSpaceDN w:val="0"/>
        <w:adjustRightInd w:val="0"/>
        <w:spacing w:line="360" w:lineRule="auto"/>
        <w:ind w:firstLine="720"/>
        <w:jc w:val="both"/>
      </w:pPr>
    </w:p>
    <w:p w:rsidR="002A5A81" w:rsidRDefault="002A5A81" w:rsidP="007F36AA">
      <w:pPr>
        <w:autoSpaceDE w:val="0"/>
        <w:autoSpaceDN w:val="0"/>
        <w:adjustRightInd w:val="0"/>
        <w:spacing w:line="360" w:lineRule="auto"/>
        <w:ind w:firstLine="720"/>
        <w:jc w:val="both"/>
      </w:pPr>
    </w:p>
    <w:p w:rsidR="002A5A81" w:rsidRDefault="002A5A81" w:rsidP="007F36AA">
      <w:pPr>
        <w:autoSpaceDE w:val="0"/>
        <w:autoSpaceDN w:val="0"/>
        <w:adjustRightInd w:val="0"/>
        <w:spacing w:line="360" w:lineRule="auto"/>
        <w:ind w:firstLine="720"/>
        <w:jc w:val="both"/>
      </w:pPr>
    </w:p>
    <w:p w:rsidR="002A5A81" w:rsidRDefault="002A5A81" w:rsidP="007F36AA">
      <w:pPr>
        <w:autoSpaceDE w:val="0"/>
        <w:autoSpaceDN w:val="0"/>
        <w:adjustRightInd w:val="0"/>
        <w:spacing w:line="360" w:lineRule="auto"/>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1"/>
        <w:gridCol w:w="3399"/>
        <w:gridCol w:w="849"/>
        <w:gridCol w:w="992"/>
        <w:gridCol w:w="996"/>
        <w:gridCol w:w="841"/>
      </w:tblGrid>
      <w:tr w:rsidR="00BE721B" w:rsidTr="00C363BF">
        <w:trPr>
          <w:trHeight w:val="1305"/>
        </w:trPr>
        <w:tc>
          <w:tcPr>
            <w:tcW w:w="369" w:type="pct"/>
            <w:shd w:val="clear" w:color="auto" w:fill="auto"/>
            <w:vAlign w:val="bottom"/>
            <w:hideMark/>
          </w:tcPr>
          <w:p w:rsidR="00DF375F" w:rsidRDefault="00DF375F" w:rsidP="00BE721B">
            <w:pPr>
              <w:jc w:val="center"/>
              <w:rPr>
                <w:b/>
                <w:bCs/>
                <w:color w:val="000000"/>
              </w:rPr>
            </w:pPr>
            <w:r>
              <w:rPr>
                <w:b/>
                <w:bCs/>
                <w:color w:val="000000"/>
              </w:rPr>
              <w:lastRenderedPageBreak/>
              <w:t>Eil.</w:t>
            </w:r>
            <w:r>
              <w:rPr>
                <w:b/>
                <w:bCs/>
                <w:color w:val="000000"/>
              </w:rPr>
              <w:br/>
              <w:t>Nr.</w:t>
            </w:r>
          </w:p>
        </w:tc>
        <w:tc>
          <w:tcPr>
            <w:tcW w:w="956" w:type="pct"/>
            <w:shd w:val="clear" w:color="auto" w:fill="auto"/>
            <w:noWrap/>
            <w:vAlign w:val="center"/>
            <w:hideMark/>
          </w:tcPr>
          <w:p w:rsidR="00DF375F" w:rsidRDefault="00DF375F" w:rsidP="00BE721B">
            <w:pPr>
              <w:jc w:val="center"/>
              <w:rPr>
                <w:b/>
                <w:bCs/>
                <w:color w:val="000000"/>
              </w:rPr>
            </w:pPr>
            <w:r>
              <w:rPr>
                <w:b/>
                <w:bCs/>
                <w:color w:val="000000"/>
              </w:rPr>
              <w:t>Lėšų tiekėjas</w:t>
            </w:r>
          </w:p>
        </w:tc>
        <w:tc>
          <w:tcPr>
            <w:tcW w:w="1765" w:type="pct"/>
            <w:shd w:val="clear" w:color="auto" w:fill="auto"/>
            <w:noWrap/>
            <w:vAlign w:val="center"/>
            <w:hideMark/>
          </w:tcPr>
          <w:p w:rsidR="00DF375F" w:rsidRDefault="00DF375F" w:rsidP="00BE721B">
            <w:pPr>
              <w:jc w:val="center"/>
              <w:rPr>
                <w:b/>
                <w:bCs/>
                <w:color w:val="000000"/>
              </w:rPr>
            </w:pPr>
            <w:r>
              <w:rPr>
                <w:b/>
                <w:bCs/>
                <w:color w:val="000000"/>
              </w:rPr>
              <w:t>Lėšų paskirtis</w:t>
            </w:r>
          </w:p>
        </w:tc>
        <w:tc>
          <w:tcPr>
            <w:tcW w:w="441" w:type="pct"/>
            <w:shd w:val="clear" w:color="auto" w:fill="auto"/>
            <w:vAlign w:val="center"/>
            <w:hideMark/>
          </w:tcPr>
          <w:p w:rsidR="00DF375F" w:rsidRDefault="00DF375F" w:rsidP="00BE721B">
            <w:pPr>
              <w:jc w:val="center"/>
              <w:rPr>
                <w:b/>
                <w:bCs/>
                <w:color w:val="000000"/>
              </w:rPr>
            </w:pPr>
            <w:r>
              <w:rPr>
                <w:b/>
                <w:bCs/>
                <w:color w:val="000000"/>
              </w:rPr>
              <w:t>Prog-</w:t>
            </w:r>
            <w:r>
              <w:rPr>
                <w:b/>
                <w:bCs/>
                <w:color w:val="000000"/>
              </w:rPr>
              <w:br/>
              <w:t>rama</w:t>
            </w:r>
          </w:p>
        </w:tc>
        <w:tc>
          <w:tcPr>
            <w:tcW w:w="515" w:type="pct"/>
            <w:shd w:val="clear" w:color="auto" w:fill="auto"/>
            <w:vAlign w:val="center"/>
            <w:hideMark/>
          </w:tcPr>
          <w:p w:rsidR="00DF375F" w:rsidRDefault="00DF375F" w:rsidP="00BE721B">
            <w:pPr>
              <w:jc w:val="center"/>
              <w:rPr>
                <w:b/>
                <w:bCs/>
                <w:color w:val="000000"/>
                <w:sz w:val="22"/>
                <w:szCs w:val="22"/>
              </w:rPr>
            </w:pPr>
            <w:r>
              <w:rPr>
                <w:b/>
                <w:bCs/>
                <w:color w:val="000000"/>
                <w:sz w:val="22"/>
                <w:szCs w:val="22"/>
              </w:rPr>
              <w:t>2019 m.</w:t>
            </w:r>
            <w:r>
              <w:rPr>
                <w:b/>
                <w:bCs/>
                <w:color w:val="000000"/>
                <w:sz w:val="22"/>
                <w:szCs w:val="22"/>
              </w:rPr>
              <w:br/>
              <w:t>suma</w:t>
            </w:r>
          </w:p>
        </w:tc>
        <w:tc>
          <w:tcPr>
            <w:tcW w:w="517" w:type="pct"/>
            <w:shd w:val="clear" w:color="auto" w:fill="auto"/>
            <w:vAlign w:val="center"/>
            <w:hideMark/>
          </w:tcPr>
          <w:p w:rsidR="00DF375F" w:rsidRDefault="00DF375F" w:rsidP="00BE721B">
            <w:pPr>
              <w:jc w:val="center"/>
              <w:rPr>
                <w:b/>
                <w:bCs/>
                <w:color w:val="000000"/>
                <w:sz w:val="22"/>
                <w:szCs w:val="22"/>
              </w:rPr>
            </w:pPr>
            <w:r>
              <w:rPr>
                <w:b/>
                <w:bCs/>
                <w:color w:val="000000"/>
                <w:sz w:val="22"/>
                <w:szCs w:val="22"/>
              </w:rPr>
              <w:t>2020 m.</w:t>
            </w:r>
            <w:r>
              <w:rPr>
                <w:b/>
                <w:bCs/>
                <w:color w:val="000000"/>
                <w:sz w:val="22"/>
                <w:szCs w:val="22"/>
              </w:rPr>
              <w:br/>
              <w:t>suma</w:t>
            </w:r>
          </w:p>
        </w:tc>
        <w:tc>
          <w:tcPr>
            <w:tcW w:w="437" w:type="pct"/>
            <w:shd w:val="clear" w:color="auto" w:fill="auto"/>
            <w:vAlign w:val="bottom"/>
            <w:hideMark/>
          </w:tcPr>
          <w:p w:rsidR="00DF375F" w:rsidRDefault="00DF375F" w:rsidP="00BE721B">
            <w:pPr>
              <w:jc w:val="center"/>
              <w:rPr>
                <w:rFonts w:ascii="Calibri" w:hAnsi="Calibri" w:cs="Calibri"/>
                <w:b/>
                <w:bCs/>
                <w:color w:val="000000"/>
                <w:sz w:val="22"/>
                <w:szCs w:val="22"/>
              </w:rPr>
            </w:pPr>
            <w:r>
              <w:rPr>
                <w:rFonts w:ascii="Calibri" w:hAnsi="Calibri" w:cs="Calibri"/>
                <w:b/>
                <w:bCs/>
                <w:color w:val="000000"/>
                <w:sz w:val="22"/>
                <w:szCs w:val="22"/>
              </w:rPr>
              <w:t>Skir-</w:t>
            </w:r>
            <w:r>
              <w:rPr>
                <w:rFonts w:ascii="Calibri" w:hAnsi="Calibri" w:cs="Calibri"/>
                <w:b/>
                <w:bCs/>
                <w:color w:val="000000"/>
                <w:sz w:val="22"/>
                <w:szCs w:val="22"/>
              </w:rPr>
              <w:br/>
              <w:t xml:space="preserve">tumas </w:t>
            </w:r>
            <w:r>
              <w:rPr>
                <w:rFonts w:ascii="Calibri" w:hAnsi="Calibri" w:cs="Calibri"/>
                <w:b/>
                <w:bCs/>
                <w:color w:val="000000"/>
                <w:sz w:val="22"/>
                <w:szCs w:val="22"/>
              </w:rPr>
              <w:br/>
              <w:t>tarp 2020 ir 2019 m.</w:t>
            </w:r>
          </w:p>
        </w:tc>
      </w:tr>
      <w:tr w:rsidR="00BE721B" w:rsidTr="00C363BF">
        <w:trPr>
          <w:trHeight w:val="375"/>
        </w:trPr>
        <w:tc>
          <w:tcPr>
            <w:tcW w:w="369" w:type="pct"/>
            <w:vMerge w:val="restart"/>
            <w:shd w:val="clear" w:color="auto" w:fill="auto"/>
            <w:noWrap/>
            <w:vAlign w:val="center"/>
            <w:hideMark/>
          </w:tcPr>
          <w:p w:rsidR="00DF375F" w:rsidRDefault="00DF375F">
            <w:pPr>
              <w:jc w:val="center"/>
              <w:rPr>
                <w:color w:val="000000"/>
              </w:rPr>
            </w:pPr>
            <w:r>
              <w:rPr>
                <w:color w:val="000000"/>
              </w:rPr>
              <w:t xml:space="preserve">1. </w:t>
            </w:r>
          </w:p>
        </w:tc>
        <w:tc>
          <w:tcPr>
            <w:tcW w:w="956" w:type="pct"/>
            <w:vMerge w:val="restart"/>
            <w:shd w:val="clear" w:color="000000" w:fill="FFFFFF"/>
            <w:vAlign w:val="center"/>
            <w:hideMark/>
          </w:tcPr>
          <w:p w:rsidR="00DF375F" w:rsidRDefault="00DF375F">
            <w:pPr>
              <w:rPr>
                <w:color w:val="000000"/>
              </w:rPr>
            </w:pPr>
            <w:r>
              <w:rPr>
                <w:color w:val="000000"/>
              </w:rPr>
              <w:t>LR Teisingumo</w:t>
            </w:r>
            <w:r>
              <w:rPr>
                <w:color w:val="000000"/>
              </w:rPr>
              <w:br/>
              <w:t xml:space="preserve"> ministerija</w:t>
            </w:r>
          </w:p>
        </w:tc>
        <w:tc>
          <w:tcPr>
            <w:tcW w:w="1765" w:type="pct"/>
            <w:shd w:val="clear" w:color="auto" w:fill="auto"/>
            <w:vAlign w:val="center"/>
            <w:hideMark/>
          </w:tcPr>
          <w:p w:rsidR="00DF375F" w:rsidRDefault="00DF375F">
            <w:pPr>
              <w:rPr>
                <w:color w:val="000000"/>
              </w:rPr>
            </w:pPr>
            <w:r>
              <w:rPr>
                <w:color w:val="000000"/>
              </w:rPr>
              <w:t xml:space="preserve"> Civilinės būklės aktams registruoti</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20,4</w:t>
            </w:r>
          </w:p>
        </w:tc>
        <w:tc>
          <w:tcPr>
            <w:tcW w:w="517" w:type="pct"/>
            <w:shd w:val="clear" w:color="auto" w:fill="auto"/>
            <w:noWrap/>
            <w:vAlign w:val="bottom"/>
            <w:hideMark/>
          </w:tcPr>
          <w:p w:rsidR="00DF375F" w:rsidRDefault="00DF375F">
            <w:pPr>
              <w:jc w:val="right"/>
              <w:rPr>
                <w:color w:val="000000"/>
              </w:rPr>
            </w:pPr>
            <w:r>
              <w:rPr>
                <w:color w:val="000000"/>
              </w:rPr>
              <w:t>21,9</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1,5</w:t>
            </w:r>
          </w:p>
        </w:tc>
      </w:tr>
      <w:tr w:rsidR="00BE721B" w:rsidTr="00C363BF">
        <w:trPr>
          <w:trHeight w:val="330"/>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Valstybės garantuojamai pirminei teisinei pagalbai teikti</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7,1</w:t>
            </w:r>
          </w:p>
        </w:tc>
        <w:tc>
          <w:tcPr>
            <w:tcW w:w="517" w:type="pct"/>
            <w:shd w:val="clear" w:color="auto" w:fill="auto"/>
            <w:noWrap/>
            <w:vAlign w:val="bottom"/>
            <w:hideMark/>
          </w:tcPr>
          <w:p w:rsidR="00DF375F" w:rsidRDefault="00DF375F">
            <w:pPr>
              <w:jc w:val="right"/>
              <w:rPr>
                <w:color w:val="000000"/>
              </w:rPr>
            </w:pPr>
            <w:r>
              <w:rPr>
                <w:color w:val="000000"/>
              </w:rPr>
              <w:t>6,2</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-0,9</w:t>
            </w:r>
          </w:p>
        </w:tc>
      </w:tr>
      <w:tr w:rsidR="00BE721B" w:rsidTr="00C363BF">
        <w:trPr>
          <w:trHeight w:val="630"/>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 xml:space="preserve"> Gyventojų registrui tvarkyti ir duomenims  valstybės registrui teikti</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0,3</w:t>
            </w:r>
          </w:p>
        </w:tc>
        <w:tc>
          <w:tcPr>
            <w:tcW w:w="517" w:type="pct"/>
            <w:shd w:val="clear" w:color="auto" w:fill="auto"/>
            <w:noWrap/>
            <w:vAlign w:val="bottom"/>
            <w:hideMark/>
          </w:tcPr>
          <w:p w:rsidR="00DF375F" w:rsidRDefault="00DF375F">
            <w:pPr>
              <w:jc w:val="right"/>
              <w:rPr>
                <w:color w:val="000000"/>
              </w:rPr>
            </w:pPr>
            <w:r>
              <w:rPr>
                <w:color w:val="000000"/>
              </w:rPr>
              <w:t>0,3</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w:t>
            </w:r>
          </w:p>
        </w:tc>
      </w:tr>
      <w:tr w:rsidR="00BE721B" w:rsidTr="00C363BF">
        <w:trPr>
          <w:trHeight w:val="3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jc w:val="right"/>
              <w:rPr>
                <w:b/>
                <w:bCs/>
                <w:color w:val="000000"/>
              </w:rPr>
            </w:pPr>
            <w:r>
              <w:rPr>
                <w:b/>
                <w:bCs/>
                <w:color w:val="000000"/>
              </w:rPr>
              <w:t>Iš viso:</w:t>
            </w:r>
          </w:p>
        </w:tc>
        <w:tc>
          <w:tcPr>
            <w:tcW w:w="441" w:type="pct"/>
            <w:shd w:val="clear" w:color="auto" w:fill="auto"/>
            <w:vAlign w:val="center"/>
            <w:hideMark/>
          </w:tcPr>
          <w:p w:rsidR="00DF375F" w:rsidRDefault="00DF375F">
            <w:pPr>
              <w:jc w:val="right"/>
              <w:rPr>
                <w:b/>
                <w:bCs/>
                <w:color w:val="000000"/>
              </w:rPr>
            </w:pPr>
            <w:r>
              <w:rPr>
                <w:b/>
                <w:bCs/>
                <w:color w:val="000000"/>
              </w:rPr>
              <w:t> </w:t>
            </w:r>
          </w:p>
        </w:tc>
        <w:tc>
          <w:tcPr>
            <w:tcW w:w="515" w:type="pct"/>
            <w:shd w:val="clear" w:color="auto" w:fill="auto"/>
            <w:noWrap/>
            <w:vAlign w:val="bottom"/>
            <w:hideMark/>
          </w:tcPr>
          <w:p w:rsidR="00DF375F" w:rsidRDefault="00DF375F">
            <w:pPr>
              <w:jc w:val="right"/>
              <w:rPr>
                <w:b/>
                <w:bCs/>
                <w:color w:val="000000"/>
              </w:rPr>
            </w:pPr>
            <w:r>
              <w:rPr>
                <w:b/>
                <w:bCs/>
                <w:color w:val="000000"/>
              </w:rPr>
              <w:t>27,8</w:t>
            </w:r>
          </w:p>
        </w:tc>
        <w:tc>
          <w:tcPr>
            <w:tcW w:w="517" w:type="pct"/>
            <w:shd w:val="clear" w:color="auto" w:fill="auto"/>
            <w:noWrap/>
            <w:vAlign w:val="bottom"/>
            <w:hideMark/>
          </w:tcPr>
          <w:p w:rsidR="00DF375F" w:rsidRDefault="00DF375F">
            <w:pPr>
              <w:jc w:val="right"/>
              <w:rPr>
                <w:b/>
                <w:bCs/>
                <w:color w:val="000000"/>
              </w:rPr>
            </w:pPr>
            <w:r>
              <w:rPr>
                <w:b/>
                <w:bCs/>
                <w:color w:val="000000"/>
              </w:rPr>
              <w:t>28,4</w:t>
            </w:r>
          </w:p>
        </w:tc>
        <w:tc>
          <w:tcPr>
            <w:tcW w:w="437" w:type="pct"/>
            <w:shd w:val="clear" w:color="auto" w:fill="auto"/>
            <w:noWrap/>
            <w:vAlign w:val="bottom"/>
            <w:hideMark/>
          </w:tcPr>
          <w:p w:rsidR="00DF375F" w:rsidRDefault="00DF375F">
            <w:pPr>
              <w:jc w:val="right"/>
              <w:rPr>
                <w:b/>
                <w:bCs/>
                <w:color w:val="000000"/>
              </w:rPr>
            </w:pPr>
            <w:r>
              <w:rPr>
                <w:b/>
                <w:bCs/>
                <w:color w:val="000000"/>
              </w:rPr>
              <w:t>0,6</w:t>
            </w:r>
          </w:p>
        </w:tc>
      </w:tr>
      <w:tr w:rsidR="00BE721B" w:rsidTr="00C363BF">
        <w:trPr>
          <w:trHeight w:val="435"/>
        </w:trPr>
        <w:tc>
          <w:tcPr>
            <w:tcW w:w="369" w:type="pct"/>
            <w:vMerge w:val="restart"/>
            <w:shd w:val="clear" w:color="auto" w:fill="auto"/>
            <w:noWrap/>
            <w:vAlign w:val="center"/>
            <w:hideMark/>
          </w:tcPr>
          <w:p w:rsidR="00DF375F" w:rsidRDefault="00DF375F">
            <w:pPr>
              <w:jc w:val="center"/>
              <w:rPr>
                <w:color w:val="000000"/>
              </w:rPr>
            </w:pPr>
            <w:r>
              <w:rPr>
                <w:color w:val="000000"/>
              </w:rPr>
              <w:t xml:space="preserve">2. </w:t>
            </w:r>
          </w:p>
        </w:tc>
        <w:tc>
          <w:tcPr>
            <w:tcW w:w="956" w:type="pct"/>
            <w:vMerge w:val="restart"/>
            <w:shd w:val="clear" w:color="000000" w:fill="FFFFFF"/>
            <w:vAlign w:val="center"/>
            <w:hideMark/>
          </w:tcPr>
          <w:p w:rsidR="00DF375F" w:rsidRDefault="00DF375F">
            <w:pPr>
              <w:rPr>
                <w:color w:val="000000"/>
              </w:rPr>
            </w:pPr>
            <w:r>
              <w:rPr>
                <w:color w:val="000000"/>
              </w:rPr>
              <w:t>LR socialinės apsaugos</w:t>
            </w:r>
            <w:r>
              <w:rPr>
                <w:color w:val="000000"/>
              </w:rPr>
              <w:br/>
              <w:t xml:space="preserve"> ir darbo ministerija</w:t>
            </w:r>
          </w:p>
        </w:tc>
        <w:tc>
          <w:tcPr>
            <w:tcW w:w="1765" w:type="pct"/>
            <w:shd w:val="clear" w:color="auto" w:fill="auto"/>
            <w:vAlign w:val="center"/>
            <w:hideMark/>
          </w:tcPr>
          <w:p w:rsidR="00DF375F" w:rsidRDefault="00DF375F">
            <w:pPr>
              <w:rPr>
                <w:color w:val="000000"/>
              </w:rPr>
            </w:pPr>
            <w:r>
              <w:rPr>
                <w:color w:val="000000"/>
              </w:rPr>
              <w:t xml:space="preserve"> Socialinėms išmokoms ir kompensacijoms skaičiuoti ir mokėti</w:t>
            </w:r>
          </w:p>
        </w:tc>
        <w:tc>
          <w:tcPr>
            <w:tcW w:w="441" w:type="pct"/>
            <w:shd w:val="clear" w:color="auto" w:fill="auto"/>
            <w:vAlign w:val="center"/>
            <w:hideMark/>
          </w:tcPr>
          <w:p w:rsidR="00DF375F" w:rsidRDefault="00DF375F">
            <w:pPr>
              <w:jc w:val="right"/>
              <w:rPr>
                <w:color w:val="000000"/>
              </w:rPr>
            </w:pPr>
            <w:r>
              <w:rPr>
                <w:color w:val="000000"/>
              </w:rPr>
              <w:t>7</w:t>
            </w:r>
          </w:p>
        </w:tc>
        <w:tc>
          <w:tcPr>
            <w:tcW w:w="515" w:type="pct"/>
            <w:shd w:val="clear" w:color="auto" w:fill="auto"/>
            <w:noWrap/>
            <w:vAlign w:val="bottom"/>
            <w:hideMark/>
          </w:tcPr>
          <w:p w:rsidR="00DF375F" w:rsidRDefault="00DF375F">
            <w:pPr>
              <w:jc w:val="right"/>
              <w:rPr>
                <w:color w:val="000000"/>
              </w:rPr>
            </w:pPr>
            <w:r>
              <w:rPr>
                <w:color w:val="000000"/>
              </w:rPr>
              <w:t>101,3</w:t>
            </w:r>
          </w:p>
        </w:tc>
        <w:tc>
          <w:tcPr>
            <w:tcW w:w="517" w:type="pct"/>
            <w:shd w:val="clear" w:color="auto" w:fill="auto"/>
            <w:noWrap/>
            <w:vAlign w:val="bottom"/>
            <w:hideMark/>
          </w:tcPr>
          <w:p w:rsidR="00DF375F" w:rsidRDefault="00DF375F">
            <w:pPr>
              <w:jc w:val="right"/>
              <w:rPr>
                <w:color w:val="000000"/>
              </w:rPr>
            </w:pPr>
            <w:r>
              <w:rPr>
                <w:color w:val="000000"/>
              </w:rPr>
              <w:t>135,9</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34,6</w:t>
            </w:r>
          </w:p>
        </w:tc>
      </w:tr>
      <w:tr w:rsidR="00BE721B" w:rsidTr="00C363BF">
        <w:trPr>
          <w:trHeight w:val="34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 xml:space="preserve"> Socialinei paramai mokiniams</w:t>
            </w:r>
          </w:p>
        </w:tc>
        <w:tc>
          <w:tcPr>
            <w:tcW w:w="441" w:type="pct"/>
            <w:shd w:val="clear" w:color="auto" w:fill="auto"/>
            <w:vAlign w:val="center"/>
            <w:hideMark/>
          </w:tcPr>
          <w:p w:rsidR="00DF375F" w:rsidRDefault="00DF375F">
            <w:pPr>
              <w:jc w:val="right"/>
              <w:rPr>
                <w:color w:val="000000"/>
              </w:rPr>
            </w:pPr>
            <w:r>
              <w:rPr>
                <w:color w:val="000000"/>
              </w:rPr>
              <w:t>7</w:t>
            </w:r>
          </w:p>
        </w:tc>
        <w:tc>
          <w:tcPr>
            <w:tcW w:w="515" w:type="pct"/>
            <w:shd w:val="clear" w:color="auto" w:fill="auto"/>
            <w:noWrap/>
            <w:vAlign w:val="bottom"/>
            <w:hideMark/>
          </w:tcPr>
          <w:p w:rsidR="00DF375F" w:rsidRDefault="00DF375F">
            <w:pPr>
              <w:jc w:val="right"/>
              <w:rPr>
                <w:color w:val="000000"/>
              </w:rPr>
            </w:pPr>
            <w:r>
              <w:rPr>
                <w:color w:val="000000"/>
              </w:rPr>
              <w:t>150,1</w:t>
            </w:r>
          </w:p>
        </w:tc>
        <w:tc>
          <w:tcPr>
            <w:tcW w:w="517" w:type="pct"/>
            <w:shd w:val="clear" w:color="auto" w:fill="auto"/>
            <w:noWrap/>
            <w:vAlign w:val="bottom"/>
            <w:hideMark/>
          </w:tcPr>
          <w:p w:rsidR="00DF375F" w:rsidRDefault="00DF375F">
            <w:pPr>
              <w:jc w:val="right"/>
              <w:rPr>
                <w:color w:val="000000"/>
              </w:rPr>
            </w:pPr>
            <w:r>
              <w:rPr>
                <w:color w:val="000000"/>
              </w:rPr>
              <w:t>176,7</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26,6</w:t>
            </w:r>
          </w:p>
        </w:tc>
      </w:tr>
      <w:tr w:rsidR="00BE721B" w:rsidTr="00C363BF">
        <w:trPr>
          <w:trHeight w:val="3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 xml:space="preserve"> Socialinėms paslaugoms</w:t>
            </w:r>
          </w:p>
        </w:tc>
        <w:tc>
          <w:tcPr>
            <w:tcW w:w="441" w:type="pct"/>
            <w:shd w:val="clear" w:color="auto" w:fill="auto"/>
            <w:vAlign w:val="center"/>
            <w:hideMark/>
          </w:tcPr>
          <w:p w:rsidR="00DF375F" w:rsidRDefault="00DF375F">
            <w:pPr>
              <w:jc w:val="right"/>
              <w:rPr>
                <w:color w:val="000000"/>
              </w:rPr>
            </w:pPr>
            <w:r>
              <w:rPr>
                <w:color w:val="000000"/>
              </w:rPr>
              <w:t>7</w:t>
            </w:r>
          </w:p>
        </w:tc>
        <w:tc>
          <w:tcPr>
            <w:tcW w:w="515" w:type="pct"/>
            <w:shd w:val="clear" w:color="000000" w:fill="FFFFFF"/>
            <w:noWrap/>
            <w:vAlign w:val="bottom"/>
            <w:hideMark/>
          </w:tcPr>
          <w:p w:rsidR="00DF375F" w:rsidRDefault="00DF375F">
            <w:pPr>
              <w:jc w:val="right"/>
              <w:rPr>
                <w:color w:val="000000"/>
              </w:rPr>
            </w:pPr>
            <w:r>
              <w:rPr>
                <w:color w:val="000000"/>
              </w:rPr>
              <w:t>403,8</w:t>
            </w:r>
          </w:p>
        </w:tc>
        <w:tc>
          <w:tcPr>
            <w:tcW w:w="517" w:type="pct"/>
            <w:shd w:val="clear" w:color="000000" w:fill="FFFFFF"/>
            <w:noWrap/>
            <w:vAlign w:val="bottom"/>
            <w:hideMark/>
          </w:tcPr>
          <w:p w:rsidR="00DF375F" w:rsidRDefault="00DF375F">
            <w:pPr>
              <w:jc w:val="right"/>
              <w:rPr>
                <w:color w:val="000000"/>
              </w:rPr>
            </w:pPr>
            <w:r>
              <w:rPr>
                <w:color w:val="000000"/>
              </w:rPr>
              <w:t>419,6</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15,8</w:t>
            </w:r>
          </w:p>
        </w:tc>
      </w:tr>
      <w:tr w:rsidR="00BE721B" w:rsidTr="00C363BF">
        <w:trPr>
          <w:trHeight w:val="28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Jaunimo teisių apsaugai</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16,4</w:t>
            </w:r>
          </w:p>
        </w:tc>
        <w:tc>
          <w:tcPr>
            <w:tcW w:w="517" w:type="pct"/>
            <w:shd w:val="clear" w:color="auto" w:fill="auto"/>
            <w:noWrap/>
            <w:vAlign w:val="bottom"/>
            <w:hideMark/>
          </w:tcPr>
          <w:p w:rsidR="00DF375F" w:rsidRDefault="00DF375F">
            <w:pPr>
              <w:jc w:val="right"/>
              <w:rPr>
                <w:color w:val="000000"/>
              </w:rPr>
            </w:pPr>
            <w:r>
              <w:rPr>
                <w:color w:val="000000"/>
              </w:rPr>
              <w:t>18,3</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1,9</w:t>
            </w:r>
          </w:p>
        </w:tc>
      </w:tr>
      <w:tr w:rsidR="00BE721B" w:rsidTr="00C363BF">
        <w:trPr>
          <w:trHeight w:val="64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Savivaldybių patvirtintoms užimtumo didinimo programoms įgyvendinti</w:t>
            </w:r>
          </w:p>
        </w:tc>
        <w:tc>
          <w:tcPr>
            <w:tcW w:w="441" w:type="pct"/>
            <w:shd w:val="clear" w:color="auto" w:fill="auto"/>
            <w:vAlign w:val="center"/>
            <w:hideMark/>
          </w:tcPr>
          <w:p w:rsidR="00DF375F" w:rsidRDefault="00DF375F">
            <w:pPr>
              <w:jc w:val="right"/>
              <w:rPr>
                <w:color w:val="000000"/>
              </w:rPr>
            </w:pPr>
            <w:r>
              <w:rPr>
                <w:color w:val="000000"/>
              </w:rPr>
              <w:t>3</w:t>
            </w:r>
          </w:p>
        </w:tc>
        <w:tc>
          <w:tcPr>
            <w:tcW w:w="515" w:type="pct"/>
            <w:shd w:val="clear" w:color="auto" w:fill="auto"/>
            <w:noWrap/>
            <w:vAlign w:val="bottom"/>
            <w:hideMark/>
          </w:tcPr>
          <w:p w:rsidR="00DF375F" w:rsidRDefault="00DF375F">
            <w:pPr>
              <w:jc w:val="right"/>
              <w:rPr>
                <w:color w:val="000000"/>
              </w:rPr>
            </w:pPr>
            <w:r>
              <w:rPr>
                <w:color w:val="000000"/>
              </w:rPr>
              <w:t>85</w:t>
            </w:r>
          </w:p>
        </w:tc>
        <w:tc>
          <w:tcPr>
            <w:tcW w:w="517" w:type="pct"/>
            <w:shd w:val="clear" w:color="auto" w:fill="auto"/>
            <w:noWrap/>
            <w:vAlign w:val="bottom"/>
            <w:hideMark/>
          </w:tcPr>
          <w:p w:rsidR="00DF375F" w:rsidRDefault="00DF375F">
            <w:pPr>
              <w:jc w:val="right"/>
              <w:rPr>
                <w:color w:val="000000"/>
              </w:rPr>
            </w:pPr>
            <w:r>
              <w:rPr>
                <w:color w:val="000000"/>
              </w:rPr>
              <w:t>167,8</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82,8</w:t>
            </w:r>
          </w:p>
        </w:tc>
      </w:tr>
      <w:tr w:rsidR="00BE721B" w:rsidTr="00C363BF">
        <w:trPr>
          <w:trHeight w:val="34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 xml:space="preserve"> Būsto nuomos mokesčio daliai kompensuoti</w:t>
            </w:r>
          </w:p>
        </w:tc>
        <w:tc>
          <w:tcPr>
            <w:tcW w:w="441" w:type="pct"/>
            <w:shd w:val="clear" w:color="auto" w:fill="auto"/>
            <w:vAlign w:val="center"/>
            <w:hideMark/>
          </w:tcPr>
          <w:p w:rsidR="00DF375F" w:rsidRDefault="00DF375F">
            <w:pPr>
              <w:jc w:val="right"/>
              <w:rPr>
                <w:color w:val="000000"/>
              </w:rPr>
            </w:pPr>
            <w:r>
              <w:rPr>
                <w:color w:val="000000"/>
              </w:rPr>
              <w:t>7</w:t>
            </w:r>
          </w:p>
        </w:tc>
        <w:tc>
          <w:tcPr>
            <w:tcW w:w="515" w:type="pct"/>
            <w:shd w:val="clear" w:color="auto" w:fill="auto"/>
            <w:noWrap/>
            <w:vAlign w:val="bottom"/>
            <w:hideMark/>
          </w:tcPr>
          <w:p w:rsidR="00DF375F" w:rsidRDefault="00DF375F">
            <w:pPr>
              <w:jc w:val="right"/>
              <w:rPr>
                <w:color w:val="000000"/>
              </w:rPr>
            </w:pPr>
            <w:r>
              <w:rPr>
                <w:color w:val="000000"/>
              </w:rPr>
              <w:t>0,1</w:t>
            </w:r>
          </w:p>
        </w:tc>
        <w:tc>
          <w:tcPr>
            <w:tcW w:w="517" w:type="pct"/>
            <w:shd w:val="clear" w:color="auto" w:fill="auto"/>
            <w:noWrap/>
            <w:vAlign w:val="bottom"/>
            <w:hideMark/>
          </w:tcPr>
          <w:p w:rsidR="00DF375F" w:rsidRDefault="00DF375F">
            <w:pPr>
              <w:jc w:val="right"/>
              <w:rPr>
                <w:color w:val="000000"/>
              </w:rPr>
            </w:pPr>
            <w:r>
              <w:rPr>
                <w:color w:val="000000"/>
              </w:rPr>
              <w:t>0,1</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w:t>
            </w:r>
          </w:p>
        </w:tc>
      </w:tr>
      <w:tr w:rsidR="00BE721B" w:rsidTr="00C363BF">
        <w:trPr>
          <w:trHeight w:val="3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jc w:val="right"/>
              <w:rPr>
                <w:b/>
                <w:bCs/>
                <w:color w:val="000000"/>
              </w:rPr>
            </w:pPr>
            <w:r>
              <w:rPr>
                <w:b/>
                <w:bCs/>
                <w:color w:val="000000"/>
              </w:rPr>
              <w:t>Iš viso:</w:t>
            </w:r>
          </w:p>
        </w:tc>
        <w:tc>
          <w:tcPr>
            <w:tcW w:w="441" w:type="pct"/>
            <w:shd w:val="clear" w:color="auto" w:fill="auto"/>
            <w:vAlign w:val="center"/>
            <w:hideMark/>
          </w:tcPr>
          <w:p w:rsidR="00DF375F" w:rsidRDefault="00DF375F">
            <w:pPr>
              <w:jc w:val="right"/>
              <w:rPr>
                <w:b/>
                <w:bCs/>
                <w:color w:val="000000"/>
              </w:rPr>
            </w:pPr>
            <w:r>
              <w:rPr>
                <w:b/>
                <w:bCs/>
                <w:color w:val="000000"/>
              </w:rPr>
              <w:t> </w:t>
            </w:r>
          </w:p>
        </w:tc>
        <w:tc>
          <w:tcPr>
            <w:tcW w:w="515" w:type="pct"/>
            <w:shd w:val="clear" w:color="auto" w:fill="auto"/>
            <w:noWrap/>
            <w:vAlign w:val="bottom"/>
            <w:hideMark/>
          </w:tcPr>
          <w:p w:rsidR="00DF375F" w:rsidRDefault="00DF375F">
            <w:pPr>
              <w:jc w:val="right"/>
              <w:rPr>
                <w:b/>
                <w:bCs/>
                <w:color w:val="000000"/>
              </w:rPr>
            </w:pPr>
            <w:r>
              <w:rPr>
                <w:b/>
                <w:bCs/>
                <w:color w:val="000000"/>
              </w:rPr>
              <w:t>756,7</w:t>
            </w:r>
          </w:p>
        </w:tc>
        <w:tc>
          <w:tcPr>
            <w:tcW w:w="517" w:type="pct"/>
            <w:shd w:val="clear" w:color="auto" w:fill="auto"/>
            <w:noWrap/>
            <w:vAlign w:val="bottom"/>
            <w:hideMark/>
          </w:tcPr>
          <w:p w:rsidR="00DF375F" w:rsidRDefault="00DF375F">
            <w:pPr>
              <w:jc w:val="right"/>
              <w:rPr>
                <w:b/>
                <w:bCs/>
                <w:color w:val="000000"/>
              </w:rPr>
            </w:pPr>
            <w:r>
              <w:rPr>
                <w:b/>
                <w:bCs/>
                <w:color w:val="000000"/>
              </w:rPr>
              <w:t>918,4</w:t>
            </w:r>
          </w:p>
        </w:tc>
        <w:tc>
          <w:tcPr>
            <w:tcW w:w="437" w:type="pct"/>
            <w:shd w:val="clear" w:color="auto" w:fill="auto"/>
            <w:noWrap/>
            <w:vAlign w:val="bottom"/>
            <w:hideMark/>
          </w:tcPr>
          <w:p w:rsidR="00DF375F" w:rsidRDefault="00DF375F">
            <w:pPr>
              <w:jc w:val="right"/>
              <w:rPr>
                <w:rFonts w:ascii="Calibri" w:hAnsi="Calibri" w:cs="Calibri"/>
                <w:b/>
                <w:bCs/>
                <w:color w:val="000000"/>
                <w:sz w:val="22"/>
                <w:szCs w:val="22"/>
              </w:rPr>
            </w:pPr>
            <w:r>
              <w:rPr>
                <w:rFonts w:ascii="Calibri" w:hAnsi="Calibri" w:cs="Calibri"/>
                <w:b/>
                <w:bCs/>
                <w:color w:val="000000"/>
                <w:sz w:val="22"/>
                <w:szCs w:val="22"/>
              </w:rPr>
              <w:t>161,7</w:t>
            </w:r>
          </w:p>
        </w:tc>
      </w:tr>
      <w:tr w:rsidR="00BE721B" w:rsidTr="00C363BF">
        <w:trPr>
          <w:trHeight w:val="555"/>
        </w:trPr>
        <w:tc>
          <w:tcPr>
            <w:tcW w:w="369" w:type="pct"/>
            <w:shd w:val="clear" w:color="auto" w:fill="auto"/>
            <w:noWrap/>
            <w:vAlign w:val="bottom"/>
            <w:hideMark/>
          </w:tcPr>
          <w:p w:rsidR="00DF375F" w:rsidRDefault="00DF375F">
            <w:pPr>
              <w:jc w:val="center"/>
              <w:rPr>
                <w:color w:val="000000"/>
              </w:rPr>
            </w:pPr>
            <w:r>
              <w:rPr>
                <w:color w:val="000000"/>
              </w:rPr>
              <w:t>3.</w:t>
            </w:r>
          </w:p>
        </w:tc>
        <w:tc>
          <w:tcPr>
            <w:tcW w:w="956" w:type="pct"/>
            <w:shd w:val="clear" w:color="000000" w:fill="FFFFFF"/>
            <w:vAlign w:val="bottom"/>
            <w:hideMark/>
          </w:tcPr>
          <w:p w:rsidR="00DF375F" w:rsidRDefault="00DF375F">
            <w:pPr>
              <w:rPr>
                <w:color w:val="000000"/>
              </w:rPr>
            </w:pPr>
            <w:r>
              <w:rPr>
                <w:color w:val="000000"/>
              </w:rPr>
              <w:t>Lietuvos vyriausiojo</w:t>
            </w:r>
            <w:r>
              <w:rPr>
                <w:color w:val="000000"/>
              </w:rPr>
              <w:br/>
              <w:t xml:space="preserve"> archyvaro tarnyba</w:t>
            </w:r>
          </w:p>
        </w:tc>
        <w:tc>
          <w:tcPr>
            <w:tcW w:w="1765" w:type="pct"/>
            <w:shd w:val="clear" w:color="auto" w:fill="auto"/>
            <w:vAlign w:val="center"/>
            <w:hideMark/>
          </w:tcPr>
          <w:p w:rsidR="00DF375F" w:rsidRDefault="00DF375F">
            <w:pPr>
              <w:rPr>
                <w:color w:val="000000"/>
              </w:rPr>
            </w:pPr>
            <w:r>
              <w:rPr>
                <w:color w:val="000000"/>
              </w:rPr>
              <w:t xml:space="preserve"> Archyviniams dokumentams tvarkyti</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13,3</w:t>
            </w:r>
          </w:p>
        </w:tc>
        <w:tc>
          <w:tcPr>
            <w:tcW w:w="517" w:type="pct"/>
            <w:shd w:val="clear" w:color="auto" w:fill="auto"/>
            <w:noWrap/>
            <w:vAlign w:val="bottom"/>
            <w:hideMark/>
          </w:tcPr>
          <w:p w:rsidR="00DF375F" w:rsidRDefault="00DF375F">
            <w:pPr>
              <w:jc w:val="right"/>
              <w:rPr>
                <w:color w:val="000000"/>
              </w:rPr>
            </w:pPr>
            <w:r>
              <w:rPr>
                <w:color w:val="000000"/>
              </w:rPr>
              <w:t>13,7</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0,4</w:t>
            </w:r>
          </w:p>
        </w:tc>
      </w:tr>
      <w:tr w:rsidR="00BE721B" w:rsidTr="00C363BF">
        <w:trPr>
          <w:trHeight w:val="405"/>
        </w:trPr>
        <w:tc>
          <w:tcPr>
            <w:tcW w:w="369" w:type="pct"/>
            <w:vMerge w:val="restart"/>
            <w:shd w:val="clear" w:color="auto" w:fill="auto"/>
            <w:noWrap/>
            <w:vAlign w:val="center"/>
            <w:hideMark/>
          </w:tcPr>
          <w:p w:rsidR="00DF375F" w:rsidRDefault="00DF375F">
            <w:pPr>
              <w:jc w:val="center"/>
              <w:rPr>
                <w:color w:val="000000"/>
              </w:rPr>
            </w:pPr>
            <w:r>
              <w:rPr>
                <w:color w:val="000000"/>
              </w:rPr>
              <w:t>4.</w:t>
            </w:r>
          </w:p>
        </w:tc>
        <w:tc>
          <w:tcPr>
            <w:tcW w:w="956" w:type="pct"/>
            <w:vMerge w:val="restart"/>
            <w:shd w:val="clear" w:color="000000" w:fill="FFFFFF"/>
            <w:vAlign w:val="center"/>
            <w:hideMark/>
          </w:tcPr>
          <w:p w:rsidR="00DF375F" w:rsidRDefault="00DF375F">
            <w:pPr>
              <w:rPr>
                <w:color w:val="000000"/>
              </w:rPr>
            </w:pPr>
            <w:r>
              <w:rPr>
                <w:color w:val="000000"/>
              </w:rPr>
              <w:t>LR žemės ūkio ministerija</w:t>
            </w:r>
          </w:p>
        </w:tc>
        <w:tc>
          <w:tcPr>
            <w:tcW w:w="1765" w:type="pct"/>
            <w:shd w:val="clear" w:color="auto" w:fill="auto"/>
            <w:vAlign w:val="center"/>
            <w:hideMark/>
          </w:tcPr>
          <w:p w:rsidR="00DF375F" w:rsidRDefault="00DF375F">
            <w:pPr>
              <w:rPr>
                <w:color w:val="000000"/>
              </w:rPr>
            </w:pPr>
            <w:r>
              <w:rPr>
                <w:color w:val="000000"/>
              </w:rPr>
              <w:t xml:space="preserve"> Žemės ūkio funkcijoms atlikti</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153,2</w:t>
            </w:r>
          </w:p>
        </w:tc>
        <w:tc>
          <w:tcPr>
            <w:tcW w:w="517" w:type="pct"/>
            <w:shd w:val="clear" w:color="auto" w:fill="auto"/>
            <w:noWrap/>
            <w:vAlign w:val="bottom"/>
            <w:hideMark/>
          </w:tcPr>
          <w:p w:rsidR="00DF375F" w:rsidRDefault="00DF375F">
            <w:pPr>
              <w:jc w:val="right"/>
              <w:rPr>
                <w:color w:val="000000"/>
              </w:rPr>
            </w:pPr>
            <w:r>
              <w:rPr>
                <w:color w:val="000000"/>
              </w:rPr>
              <w:t>160,8</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7,6</w:t>
            </w:r>
          </w:p>
        </w:tc>
      </w:tr>
      <w:tr w:rsidR="00BE721B" w:rsidTr="00C363BF">
        <w:trPr>
          <w:trHeight w:val="3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 xml:space="preserve"> Melioracijai</w:t>
            </w:r>
          </w:p>
        </w:tc>
        <w:tc>
          <w:tcPr>
            <w:tcW w:w="441" w:type="pct"/>
            <w:shd w:val="clear" w:color="auto" w:fill="auto"/>
            <w:vAlign w:val="center"/>
            <w:hideMark/>
          </w:tcPr>
          <w:p w:rsidR="00DF375F" w:rsidRDefault="00DF375F">
            <w:pPr>
              <w:jc w:val="right"/>
              <w:rPr>
                <w:color w:val="000000"/>
              </w:rPr>
            </w:pPr>
            <w:r>
              <w:rPr>
                <w:color w:val="000000"/>
              </w:rPr>
              <w:t>1</w:t>
            </w:r>
          </w:p>
        </w:tc>
        <w:tc>
          <w:tcPr>
            <w:tcW w:w="515" w:type="pct"/>
            <w:shd w:val="clear" w:color="auto" w:fill="auto"/>
            <w:noWrap/>
            <w:vAlign w:val="bottom"/>
            <w:hideMark/>
          </w:tcPr>
          <w:p w:rsidR="00DF375F" w:rsidRDefault="00DF375F">
            <w:pPr>
              <w:jc w:val="right"/>
              <w:rPr>
                <w:color w:val="000000"/>
              </w:rPr>
            </w:pPr>
            <w:r>
              <w:rPr>
                <w:color w:val="000000"/>
              </w:rPr>
              <w:t>151</w:t>
            </w:r>
          </w:p>
        </w:tc>
        <w:tc>
          <w:tcPr>
            <w:tcW w:w="517" w:type="pct"/>
            <w:shd w:val="clear" w:color="auto" w:fill="auto"/>
            <w:noWrap/>
            <w:vAlign w:val="bottom"/>
            <w:hideMark/>
          </w:tcPr>
          <w:p w:rsidR="00DF375F" w:rsidRDefault="00DF375F">
            <w:pPr>
              <w:jc w:val="right"/>
              <w:rPr>
                <w:color w:val="000000"/>
              </w:rPr>
            </w:pPr>
            <w:r>
              <w:rPr>
                <w:color w:val="000000"/>
              </w:rPr>
              <w:t>152</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1</w:t>
            </w:r>
          </w:p>
        </w:tc>
      </w:tr>
      <w:tr w:rsidR="00BE721B" w:rsidTr="00C363BF">
        <w:trPr>
          <w:trHeight w:val="630"/>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 xml:space="preserve"> Savivaldybei priskirtai valstybinei žemei ir kitam valstybiniam turtui valdyti, naudoti ir disponuoti juo patikėjimo teise</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0,4</w:t>
            </w:r>
          </w:p>
        </w:tc>
        <w:tc>
          <w:tcPr>
            <w:tcW w:w="517" w:type="pct"/>
            <w:shd w:val="clear" w:color="auto" w:fill="auto"/>
            <w:noWrap/>
            <w:vAlign w:val="bottom"/>
            <w:hideMark/>
          </w:tcPr>
          <w:p w:rsidR="00DF375F" w:rsidRDefault="00DF375F">
            <w:pPr>
              <w:jc w:val="right"/>
              <w:rPr>
                <w:color w:val="000000"/>
              </w:rPr>
            </w:pPr>
            <w:r>
              <w:rPr>
                <w:color w:val="000000"/>
              </w:rPr>
              <w:t>0,6</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0,2</w:t>
            </w:r>
          </w:p>
        </w:tc>
      </w:tr>
      <w:tr w:rsidR="00BE721B" w:rsidTr="00C363BF">
        <w:trPr>
          <w:trHeight w:val="3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000000" w:fill="FFFFFF"/>
            <w:vAlign w:val="center"/>
            <w:hideMark/>
          </w:tcPr>
          <w:p w:rsidR="00DF375F" w:rsidRDefault="00DF375F">
            <w:pPr>
              <w:rPr>
                <w:color w:val="000000"/>
              </w:rPr>
            </w:pPr>
            <w:r>
              <w:rPr>
                <w:color w:val="000000"/>
              </w:rPr>
              <w:t>Savivaldybės erdvinių duomenų rinkinio tvarkymas</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17,2</w:t>
            </w:r>
          </w:p>
        </w:tc>
        <w:tc>
          <w:tcPr>
            <w:tcW w:w="517" w:type="pct"/>
            <w:shd w:val="clear" w:color="auto" w:fill="auto"/>
            <w:noWrap/>
            <w:vAlign w:val="bottom"/>
            <w:hideMark/>
          </w:tcPr>
          <w:p w:rsidR="00DF375F" w:rsidRDefault="00DF375F">
            <w:pPr>
              <w:jc w:val="right"/>
              <w:rPr>
                <w:color w:val="000000"/>
              </w:rPr>
            </w:pPr>
            <w:r>
              <w:rPr>
                <w:color w:val="000000"/>
              </w:rPr>
              <w:t>14,5</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-2,7</w:t>
            </w:r>
          </w:p>
        </w:tc>
      </w:tr>
      <w:tr w:rsidR="00BE721B" w:rsidTr="00C363BF">
        <w:trPr>
          <w:trHeight w:val="420"/>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jc w:val="right"/>
              <w:rPr>
                <w:b/>
                <w:bCs/>
                <w:color w:val="000000"/>
              </w:rPr>
            </w:pPr>
            <w:r>
              <w:rPr>
                <w:b/>
                <w:bCs/>
                <w:color w:val="000000"/>
              </w:rPr>
              <w:t>Iš viso:</w:t>
            </w:r>
          </w:p>
        </w:tc>
        <w:tc>
          <w:tcPr>
            <w:tcW w:w="441" w:type="pct"/>
            <w:shd w:val="clear" w:color="auto" w:fill="auto"/>
            <w:vAlign w:val="center"/>
            <w:hideMark/>
          </w:tcPr>
          <w:p w:rsidR="00DF375F" w:rsidRDefault="00DF375F">
            <w:pPr>
              <w:jc w:val="right"/>
              <w:rPr>
                <w:b/>
                <w:bCs/>
                <w:color w:val="000000"/>
              </w:rPr>
            </w:pPr>
            <w:r>
              <w:rPr>
                <w:b/>
                <w:bCs/>
                <w:color w:val="000000"/>
              </w:rPr>
              <w:t> </w:t>
            </w:r>
          </w:p>
        </w:tc>
        <w:tc>
          <w:tcPr>
            <w:tcW w:w="515" w:type="pct"/>
            <w:shd w:val="clear" w:color="auto" w:fill="auto"/>
            <w:noWrap/>
            <w:vAlign w:val="bottom"/>
            <w:hideMark/>
          </w:tcPr>
          <w:p w:rsidR="00DF375F" w:rsidRDefault="00DF375F">
            <w:pPr>
              <w:jc w:val="right"/>
              <w:rPr>
                <w:b/>
                <w:bCs/>
                <w:color w:val="000000"/>
              </w:rPr>
            </w:pPr>
            <w:r>
              <w:rPr>
                <w:b/>
                <w:bCs/>
                <w:color w:val="000000"/>
              </w:rPr>
              <w:t>321,8</w:t>
            </w:r>
          </w:p>
        </w:tc>
        <w:tc>
          <w:tcPr>
            <w:tcW w:w="517" w:type="pct"/>
            <w:shd w:val="clear" w:color="auto" w:fill="auto"/>
            <w:noWrap/>
            <w:vAlign w:val="bottom"/>
            <w:hideMark/>
          </w:tcPr>
          <w:p w:rsidR="00DF375F" w:rsidRDefault="00DF375F">
            <w:pPr>
              <w:jc w:val="right"/>
              <w:rPr>
                <w:b/>
                <w:bCs/>
                <w:color w:val="000000"/>
              </w:rPr>
            </w:pPr>
            <w:r>
              <w:rPr>
                <w:b/>
                <w:bCs/>
                <w:color w:val="000000"/>
              </w:rPr>
              <w:t>327,9</w:t>
            </w:r>
          </w:p>
        </w:tc>
        <w:tc>
          <w:tcPr>
            <w:tcW w:w="437" w:type="pct"/>
            <w:shd w:val="clear" w:color="auto" w:fill="auto"/>
            <w:noWrap/>
            <w:vAlign w:val="bottom"/>
            <w:hideMark/>
          </w:tcPr>
          <w:p w:rsidR="00DF375F" w:rsidRDefault="00DF375F">
            <w:pPr>
              <w:jc w:val="right"/>
              <w:rPr>
                <w:rFonts w:ascii="Calibri" w:hAnsi="Calibri" w:cs="Calibri"/>
                <w:b/>
                <w:bCs/>
                <w:color w:val="000000"/>
                <w:sz w:val="22"/>
                <w:szCs w:val="22"/>
              </w:rPr>
            </w:pPr>
            <w:r>
              <w:rPr>
                <w:rFonts w:ascii="Calibri" w:hAnsi="Calibri" w:cs="Calibri"/>
                <w:b/>
                <w:bCs/>
                <w:color w:val="000000"/>
                <w:sz w:val="22"/>
                <w:szCs w:val="22"/>
              </w:rPr>
              <w:t>6,1</w:t>
            </w:r>
          </w:p>
        </w:tc>
      </w:tr>
      <w:tr w:rsidR="00BE721B" w:rsidTr="00C363BF">
        <w:trPr>
          <w:trHeight w:val="630"/>
        </w:trPr>
        <w:tc>
          <w:tcPr>
            <w:tcW w:w="369" w:type="pct"/>
            <w:vMerge w:val="restart"/>
            <w:shd w:val="clear" w:color="auto" w:fill="auto"/>
            <w:noWrap/>
            <w:vAlign w:val="center"/>
            <w:hideMark/>
          </w:tcPr>
          <w:p w:rsidR="00DF375F" w:rsidRDefault="00DF375F">
            <w:pPr>
              <w:jc w:val="center"/>
              <w:rPr>
                <w:color w:val="000000"/>
              </w:rPr>
            </w:pPr>
            <w:r>
              <w:rPr>
                <w:color w:val="000000"/>
              </w:rPr>
              <w:t>5.</w:t>
            </w:r>
          </w:p>
        </w:tc>
        <w:tc>
          <w:tcPr>
            <w:tcW w:w="956" w:type="pct"/>
            <w:vMerge w:val="restart"/>
            <w:shd w:val="clear" w:color="000000" w:fill="FFFFFF"/>
            <w:vAlign w:val="center"/>
            <w:hideMark/>
          </w:tcPr>
          <w:p w:rsidR="00DF375F" w:rsidRDefault="00DF375F">
            <w:pPr>
              <w:rPr>
                <w:color w:val="000000"/>
              </w:rPr>
            </w:pPr>
            <w:r>
              <w:rPr>
                <w:color w:val="000000"/>
              </w:rPr>
              <w:t xml:space="preserve">LR Sveikatos apsaugos </w:t>
            </w:r>
            <w:r>
              <w:rPr>
                <w:color w:val="000000"/>
              </w:rPr>
              <w:br/>
              <w:t xml:space="preserve">ministerija </w:t>
            </w:r>
          </w:p>
        </w:tc>
        <w:tc>
          <w:tcPr>
            <w:tcW w:w="1765" w:type="pct"/>
            <w:shd w:val="clear" w:color="auto" w:fill="auto"/>
            <w:vAlign w:val="center"/>
            <w:hideMark/>
          </w:tcPr>
          <w:p w:rsidR="00DF375F" w:rsidRDefault="00DF375F">
            <w:pPr>
              <w:rPr>
                <w:color w:val="000000"/>
              </w:rPr>
            </w:pPr>
            <w:r>
              <w:rPr>
                <w:color w:val="000000"/>
              </w:rPr>
              <w:t>Sveikos gyvensenos plėtojimas ir mokinių sveikatos įgūdžių stiprinimas ugdymo įstaigose</w:t>
            </w:r>
          </w:p>
        </w:tc>
        <w:tc>
          <w:tcPr>
            <w:tcW w:w="441" w:type="pct"/>
            <w:shd w:val="clear" w:color="auto" w:fill="auto"/>
            <w:noWrap/>
            <w:vAlign w:val="bottom"/>
            <w:hideMark/>
          </w:tcPr>
          <w:p w:rsidR="00DF375F" w:rsidRDefault="00DF375F">
            <w:pPr>
              <w:jc w:val="right"/>
              <w:rPr>
                <w:color w:val="000000"/>
              </w:rPr>
            </w:pPr>
            <w:r>
              <w:rPr>
                <w:color w:val="000000"/>
              </w:rPr>
              <w:t>8</w:t>
            </w:r>
          </w:p>
        </w:tc>
        <w:tc>
          <w:tcPr>
            <w:tcW w:w="515" w:type="pct"/>
            <w:shd w:val="clear" w:color="auto" w:fill="auto"/>
            <w:noWrap/>
            <w:vAlign w:val="bottom"/>
            <w:hideMark/>
          </w:tcPr>
          <w:p w:rsidR="00DF375F" w:rsidRDefault="00DF375F">
            <w:pPr>
              <w:jc w:val="right"/>
              <w:rPr>
                <w:color w:val="000000"/>
              </w:rPr>
            </w:pPr>
            <w:r>
              <w:rPr>
                <w:color w:val="000000"/>
              </w:rPr>
              <w:t>82,8</w:t>
            </w:r>
          </w:p>
        </w:tc>
        <w:tc>
          <w:tcPr>
            <w:tcW w:w="517" w:type="pct"/>
            <w:shd w:val="clear" w:color="auto" w:fill="auto"/>
            <w:noWrap/>
            <w:vAlign w:val="bottom"/>
            <w:hideMark/>
          </w:tcPr>
          <w:p w:rsidR="00DF375F" w:rsidRDefault="00DF375F">
            <w:pPr>
              <w:jc w:val="right"/>
              <w:rPr>
                <w:color w:val="000000"/>
              </w:rPr>
            </w:pPr>
            <w:r>
              <w:rPr>
                <w:color w:val="000000"/>
              </w:rPr>
              <w:t>77,8</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-5</w:t>
            </w:r>
          </w:p>
        </w:tc>
      </w:tr>
      <w:tr w:rsidR="00BE721B" w:rsidTr="00C363BF">
        <w:trPr>
          <w:trHeight w:val="6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Sveikos gyvensenos  įgūdžių stiprinimas bendruomenėse bei visuomenės sveikatos stebėsenos vykdymas savivaldybėje</w:t>
            </w:r>
          </w:p>
        </w:tc>
        <w:tc>
          <w:tcPr>
            <w:tcW w:w="441" w:type="pct"/>
            <w:shd w:val="clear" w:color="auto" w:fill="auto"/>
            <w:noWrap/>
            <w:vAlign w:val="bottom"/>
            <w:hideMark/>
          </w:tcPr>
          <w:p w:rsidR="00DF375F" w:rsidRDefault="00DF375F">
            <w:pPr>
              <w:jc w:val="right"/>
              <w:rPr>
                <w:color w:val="000000"/>
              </w:rPr>
            </w:pPr>
            <w:r>
              <w:rPr>
                <w:color w:val="000000"/>
              </w:rPr>
              <w:t>8</w:t>
            </w:r>
          </w:p>
        </w:tc>
        <w:tc>
          <w:tcPr>
            <w:tcW w:w="515" w:type="pct"/>
            <w:shd w:val="clear" w:color="auto" w:fill="auto"/>
            <w:noWrap/>
            <w:vAlign w:val="bottom"/>
            <w:hideMark/>
          </w:tcPr>
          <w:p w:rsidR="00DF375F" w:rsidRDefault="00DF375F">
            <w:pPr>
              <w:jc w:val="right"/>
              <w:rPr>
                <w:color w:val="000000"/>
              </w:rPr>
            </w:pPr>
            <w:r>
              <w:rPr>
                <w:color w:val="000000"/>
              </w:rPr>
              <w:t>54,1</w:t>
            </w:r>
          </w:p>
        </w:tc>
        <w:tc>
          <w:tcPr>
            <w:tcW w:w="517" w:type="pct"/>
            <w:shd w:val="clear" w:color="auto" w:fill="auto"/>
            <w:noWrap/>
            <w:vAlign w:val="bottom"/>
            <w:hideMark/>
          </w:tcPr>
          <w:p w:rsidR="00DF375F" w:rsidRDefault="00DF375F">
            <w:pPr>
              <w:jc w:val="right"/>
              <w:rPr>
                <w:color w:val="000000"/>
              </w:rPr>
            </w:pPr>
            <w:r>
              <w:rPr>
                <w:color w:val="000000"/>
              </w:rPr>
              <w:t>52,8</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-1,3</w:t>
            </w:r>
          </w:p>
        </w:tc>
      </w:tr>
      <w:tr w:rsidR="00BE721B" w:rsidTr="00C363BF">
        <w:trPr>
          <w:trHeight w:val="37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 xml:space="preserve">Savižudybių prevencijos prioritetų nustatymo užtikrinimas </w:t>
            </w:r>
          </w:p>
        </w:tc>
        <w:tc>
          <w:tcPr>
            <w:tcW w:w="441" w:type="pct"/>
            <w:shd w:val="clear" w:color="auto" w:fill="auto"/>
            <w:noWrap/>
            <w:vAlign w:val="bottom"/>
            <w:hideMark/>
          </w:tcPr>
          <w:p w:rsidR="00DF375F" w:rsidRDefault="00DF375F">
            <w:pPr>
              <w:jc w:val="right"/>
              <w:rPr>
                <w:color w:val="000000"/>
              </w:rPr>
            </w:pPr>
            <w:r>
              <w:rPr>
                <w:color w:val="000000"/>
              </w:rPr>
              <w:t>8</w:t>
            </w:r>
          </w:p>
        </w:tc>
        <w:tc>
          <w:tcPr>
            <w:tcW w:w="515" w:type="pct"/>
            <w:shd w:val="clear" w:color="auto" w:fill="auto"/>
            <w:noWrap/>
            <w:vAlign w:val="bottom"/>
            <w:hideMark/>
          </w:tcPr>
          <w:p w:rsidR="00DF375F" w:rsidRDefault="00DF375F">
            <w:pPr>
              <w:jc w:val="right"/>
              <w:rPr>
                <w:color w:val="000000"/>
              </w:rPr>
            </w:pPr>
            <w:r>
              <w:rPr>
                <w:color w:val="000000"/>
              </w:rPr>
              <w:t>22,8</w:t>
            </w:r>
          </w:p>
        </w:tc>
        <w:tc>
          <w:tcPr>
            <w:tcW w:w="517" w:type="pct"/>
            <w:shd w:val="clear" w:color="auto" w:fill="auto"/>
            <w:noWrap/>
            <w:vAlign w:val="bottom"/>
            <w:hideMark/>
          </w:tcPr>
          <w:p w:rsidR="00DF375F" w:rsidRDefault="00DF375F">
            <w:pPr>
              <w:jc w:val="right"/>
              <w:rPr>
                <w:color w:val="000000"/>
              </w:rPr>
            </w:pPr>
            <w:r>
              <w:rPr>
                <w:color w:val="000000"/>
              </w:rPr>
              <w:t>22,7</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-0,1</w:t>
            </w:r>
          </w:p>
        </w:tc>
      </w:tr>
      <w:tr w:rsidR="00BE721B" w:rsidTr="00C363BF">
        <w:trPr>
          <w:trHeight w:val="40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Neveiksnių asmenų būklės peržiūrėjimui užtikrinti</w:t>
            </w:r>
          </w:p>
        </w:tc>
        <w:tc>
          <w:tcPr>
            <w:tcW w:w="441" w:type="pct"/>
            <w:shd w:val="clear" w:color="auto" w:fill="auto"/>
            <w:noWrap/>
            <w:vAlign w:val="bottom"/>
            <w:hideMark/>
          </w:tcPr>
          <w:p w:rsidR="00DF375F" w:rsidRDefault="00DF375F">
            <w:pPr>
              <w:jc w:val="right"/>
              <w:rPr>
                <w:color w:val="000000"/>
              </w:rPr>
            </w:pPr>
            <w:r>
              <w:rPr>
                <w:color w:val="000000"/>
              </w:rPr>
              <w:t>8</w:t>
            </w:r>
          </w:p>
        </w:tc>
        <w:tc>
          <w:tcPr>
            <w:tcW w:w="515" w:type="pct"/>
            <w:shd w:val="clear" w:color="auto" w:fill="auto"/>
            <w:noWrap/>
            <w:vAlign w:val="bottom"/>
            <w:hideMark/>
          </w:tcPr>
          <w:p w:rsidR="00DF375F" w:rsidRDefault="00DF375F">
            <w:pPr>
              <w:jc w:val="right"/>
              <w:rPr>
                <w:color w:val="000000"/>
              </w:rPr>
            </w:pPr>
            <w:r>
              <w:rPr>
                <w:color w:val="000000"/>
              </w:rPr>
              <w:t>0,4</w:t>
            </w:r>
          </w:p>
        </w:tc>
        <w:tc>
          <w:tcPr>
            <w:tcW w:w="517" w:type="pct"/>
            <w:shd w:val="clear" w:color="auto" w:fill="auto"/>
            <w:noWrap/>
            <w:vAlign w:val="bottom"/>
            <w:hideMark/>
          </w:tcPr>
          <w:p w:rsidR="00DF375F" w:rsidRDefault="00DF375F">
            <w:pPr>
              <w:jc w:val="right"/>
              <w:rPr>
                <w:color w:val="000000"/>
              </w:rPr>
            </w:pPr>
            <w:r>
              <w:rPr>
                <w:color w:val="000000"/>
              </w:rPr>
              <w:t>0,1</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-0,3</w:t>
            </w:r>
          </w:p>
        </w:tc>
      </w:tr>
      <w:tr w:rsidR="00BE721B" w:rsidTr="00C363BF">
        <w:trPr>
          <w:trHeight w:val="360"/>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000000" w:fill="FFFFFF"/>
            <w:vAlign w:val="center"/>
            <w:hideMark/>
          </w:tcPr>
          <w:p w:rsidR="00DF375F" w:rsidRDefault="00DF375F">
            <w:pPr>
              <w:jc w:val="right"/>
              <w:rPr>
                <w:b/>
                <w:bCs/>
                <w:color w:val="000000"/>
              </w:rPr>
            </w:pPr>
            <w:r>
              <w:rPr>
                <w:b/>
                <w:bCs/>
                <w:color w:val="000000"/>
              </w:rPr>
              <w:t>Iš viso:</w:t>
            </w:r>
          </w:p>
        </w:tc>
        <w:tc>
          <w:tcPr>
            <w:tcW w:w="441" w:type="pct"/>
            <w:shd w:val="clear" w:color="000000" w:fill="FFFFFF"/>
            <w:noWrap/>
            <w:vAlign w:val="bottom"/>
            <w:hideMark/>
          </w:tcPr>
          <w:p w:rsidR="00DF375F" w:rsidRDefault="00DF375F">
            <w:pPr>
              <w:jc w:val="right"/>
              <w:rPr>
                <w:color w:val="000000"/>
              </w:rPr>
            </w:pPr>
            <w:r>
              <w:rPr>
                <w:color w:val="000000"/>
              </w:rPr>
              <w:t> </w:t>
            </w:r>
          </w:p>
        </w:tc>
        <w:tc>
          <w:tcPr>
            <w:tcW w:w="515" w:type="pct"/>
            <w:shd w:val="clear" w:color="000000" w:fill="FFFFFF"/>
            <w:noWrap/>
            <w:vAlign w:val="bottom"/>
            <w:hideMark/>
          </w:tcPr>
          <w:p w:rsidR="00DF375F" w:rsidRDefault="00DF375F">
            <w:pPr>
              <w:jc w:val="right"/>
              <w:rPr>
                <w:b/>
                <w:bCs/>
                <w:color w:val="000000"/>
              </w:rPr>
            </w:pPr>
            <w:r>
              <w:rPr>
                <w:b/>
                <w:bCs/>
                <w:color w:val="000000"/>
              </w:rPr>
              <w:t>160,1</w:t>
            </w:r>
          </w:p>
        </w:tc>
        <w:tc>
          <w:tcPr>
            <w:tcW w:w="517" w:type="pct"/>
            <w:shd w:val="clear" w:color="000000" w:fill="FFFFFF"/>
            <w:noWrap/>
            <w:vAlign w:val="bottom"/>
            <w:hideMark/>
          </w:tcPr>
          <w:p w:rsidR="00DF375F" w:rsidRDefault="00DF375F">
            <w:pPr>
              <w:jc w:val="right"/>
              <w:rPr>
                <w:b/>
                <w:bCs/>
                <w:color w:val="000000"/>
              </w:rPr>
            </w:pPr>
            <w:r>
              <w:rPr>
                <w:b/>
                <w:bCs/>
                <w:color w:val="000000"/>
              </w:rPr>
              <w:t>153,4</w:t>
            </w:r>
          </w:p>
        </w:tc>
        <w:tc>
          <w:tcPr>
            <w:tcW w:w="437" w:type="pct"/>
            <w:shd w:val="clear" w:color="auto" w:fill="auto"/>
            <w:noWrap/>
            <w:vAlign w:val="bottom"/>
            <w:hideMark/>
          </w:tcPr>
          <w:p w:rsidR="00DF375F" w:rsidRDefault="00DF375F">
            <w:pPr>
              <w:jc w:val="right"/>
              <w:rPr>
                <w:rFonts w:ascii="Calibri" w:hAnsi="Calibri" w:cs="Calibri"/>
                <w:b/>
                <w:bCs/>
                <w:color w:val="000000"/>
                <w:sz w:val="22"/>
                <w:szCs w:val="22"/>
              </w:rPr>
            </w:pPr>
            <w:r>
              <w:rPr>
                <w:rFonts w:ascii="Calibri" w:hAnsi="Calibri" w:cs="Calibri"/>
                <w:b/>
                <w:bCs/>
                <w:color w:val="000000"/>
                <w:sz w:val="22"/>
                <w:szCs w:val="22"/>
              </w:rPr>
              <w:t>-6,7</w:t>
            </w:r>
          </w:p>
        </w:tc>
      </w:tr>
      <w:tr w:rsidR="00BE721B" w:rsidTr="00C363BF">
        <w:trPr>
          <w:trHeight w:val="390"/>
        </w:trPr>
        <w:tc>
          <w:tcPr>
            <w:tcW w:w="369" w:type="pct"/>
            <w:vMerge w:val="restart"/>
            <w:shd w:val="clear" w:color="auto" w:fill="auto"/>
            <w:noWrap/>
            <w:vAlign w:val="center"/>
            <w:hideMark/>
          </w:tcPr>
          <w:p w:rsidR="00DF375F" w:rsidRDefault="00DF375F">
            <w:pPr>
              <w:jc w:val="center"/>
              <w:rPr>
                <w:color w:val="000000"/>
              </w:rPr>
            </w:pPr>
            <w:r>
              <w:rPr>
                <w:color w:val="000000"/>
              </w:rPr>
              <w:t>6.</w:t>
            </w:r>
          </w:p>
        </w:tc>
        <w:tc>
          <w:tcPr>
            <w:tcW w:w="956" w:type="pct"/>
            <w:vMerge w:val="restart"/>
            <w:shd w:val="clear" w:color="000000" w:fill="FFFFFF"/>
            <w:vAlign w:val="center"/>
            <w:hideMark/>
          </w:tcPr>
          <w:p w:rsidR="00DF375F" w:rsidRDefault="00DF375F">
            <w:pPr>
              <w:rPr>
                <w:color w:val="000000"/>
              </w:rPr>
            </w:pPr>
            <w:r>
              <w:rPr>
                <w:color w:val="000000"/>
              </w:rPr>
              <w:t>LR Vidaus</w:t>
            </w:r>
            <w:r>
              <w:rPr>
                <w:color w:val="000000"/>
              </w:rPr>
              <w:br/>
              <w:t xml:space="preserve"> reikalų ministerija</w:t>
            </w:r>
          </w:p>
        </w:tc>
        <w:tc>
          <w:tcPr>
            <w:tcW w:w="1765" w:type="pct"/>
            <w:shd w:val="clear" w:color="auto" w:fill="auto"/>
            <w:noWrap/>
            <w:vAlign w:val="bottom"/>
            <w:hideMark/>
          </w:tcPr>
          <w:p w:rsidR="00DF375F" w:rsidRDefault="00DF375F">
            <w:pPr>
              <w:rPr>
                <w:color w:val="000000"/>
              </w:rPr>
            </w:pPr>
            <w:r>
              <w:rPr>
                <w:color w:val="000000"/>
              </w:rPr>
              <w:t>Priešgaisrinės saugos funkcija</w:t>
            </w:r>
          </w:p>
        </w:tc>
        <w:tc>
          <w:tcPr>
            <w:tcW w:w="441" w:type="pct"/>
            <w:shd w:val="clear" w:color="auto" w:fill="auto"/>
            <w:noWrap/>
            <w:vAlign w:val="bottom"/>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446,6</w:t>
            </w:r>
          </w:p>
        </w:tc>
        <w:tc>
          <w:tcPr>
            <w:tcW w:w="517" w:type="pct"/>
            <w:shd w:val="clear" w:color="auto" w:fill="auto"/>
            <w:noWrap/>
            <w:vAlign w:val="bottom"/>
            <w:hideMark/>
          </w:tcPr>
          <w:p w:rsidR="00DF375F" w:rsidRDefault="00DF375F">
            <w:pPr>
              <w:jc w:val="right"/>
              <w:rPr>
                <w:color w:val="000000"/>
              </w:rPr>
            </w:pPr>
            <w:r>
              <w:rPr>
                <w:color w:val="000000"/>
              </w:rPr>
              <w:t>549,6</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103</w:t>
            </w:r>
          </w:p>
        </w:tc>
      </w:tr>
      <w:tr w:rsidR="00BE721B" w:rsidTr="00C363BF">
        <w:trPr>
          <w:trHeight w:val="3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noWrap/>
            <w:vAlign w:val="bottom"/>
            <w:hideMark/>
          </w:tcPr>
          <w:p w:rsidR="00DF375F" w:rsidRDefault="00DF375F">
            <w:pPr>
              <w:rPr>
                <w:color w:val="000000"/>
              </w:rPr>
            </w:pPr>
            <w:r>
              <w:rPr>
                <w:color w:val="000000"/>
              </w:rPr>
              <w:t>Civilinės saugos funkcija</w:t>
            </w:r>
          </w:p>
        </w:tc>
        <w:tc>
          <w:tcPr>
            <w:tcW w:w="441" w:type="pct"/>
            <w:shd w:val="clear" w:color="auto" w:fill="auto"/>
            <w:noWrap/>
            <w:vAlign w:val="bottom"/>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19,5</w:t>
            </w:r>
          </w:p>
        </w:tc>
        <w:tc>
          <w:tcPr>
            <w:tcW w:w="517" w:type="pct"/>
            <w:shd w:val="clear" w:color="auto" w:fill="auto"/>
            <w:noWrap/>
            <w:vAlign w:val="bottom"/>
            <w:hideMark/>
          </w:tcPr>
          <w:p w:rsidR="00DF375F" w:rsidRDefault="00DF375F">
            <w:pPr>
              <w:jc w:val="right"/>
              <w:rPr>
                <w:color w:val="000000"/>
              </w:rPr>
            </w:pPr>
            <w:r>
              <w:rPr>
                <w:color w:val="000000"/>
              </w:rPr>
              <w:t>20,5</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1</w:t>
            </w:r>
          </w:p>
        </w:tc>
      </w:tr>
      <w:tr w:rsidR="00BE721B" w:rsidTr="00C363BF">
        <w:trPr>
          <w:trHeight w:val="630"/>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rPr>
                <w:color w:val="000000"/>
              </w:rPr>
            </w:pPr>
            <w:r>
              <w:rPr>
                <w:color w:val="000000"/>
              </w:rPr>
              <w:t>Gyvenamosios vietos deklaravimo duomenų ir gyvenamosios vietos neturinčių asmenų apskaitos duomenims tvarkyti</w:t>
            </w:r>
          </w:p>
        </w:tc>
        <w:tc>
          <w:tcPr>
            <w:tcW w:w="441" w:type="pct"/>
            <w:shd w:val="clear" w:color="auto" w:fill="auto"/>
            <w:vAlign w:val="center"/>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8,8</w:t>
            </w:r>
          </w:p>
        </w:tc>
        <w:tc>
          <w:tcPr>
            <w:tcW w:w="517" w:type="pct"/>
            <w:shd w:val="clear" w:color="auto" w:fill="auto"/>
            <w:noWrap/>
            <w:vAlign w:val="bottom"/>
            <w:hideMark/>
          </w:tcPr>
          <w:p w:rsidR="00DF375F" w:rsidRDefault="00DF375F">
            <w:pPr>
              <w:jc w:val="right"/>
              <w:rPr>
                <w:color w:val="000000"/>
              </w:rPr>
            </w:pPr>
            <w:r>
              <w:rPr>
                <w:color w:val="000000"/>
              </w:rPr>
              <w:t>8,7</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-0,1</w:t>
            </w:r>
          </w:p>
        </w:tc>
      </w:tr>
      <w:tr w:rsidR="00BE721B" w:rsidTr="00C363BF">
        <w:trPr>
          <w:trHeight w:val="315"/>
        </w:trPr>
        <w:tc>
          <w:tcPr>
            <w:tcW w:w="369" w:type="pct"/>
            <w:vMerge/>
            <w:vAlign w:val="center"/>
            <w:hideMark/>
          </w:tcPr>
          <w:p w:rsidR="00DF375F" w:rsidRDefault="00DF375F">
            <w:pPr>
              <w:rPr>
                <w:color w:val="000000"/>
              </w:rPr>
            </w:pPr>
          </w:p>
        </w:tc>
        <w:tc>
          <w:tcPr>
            <w:tcW w:w="956" w:type="pct"/>
            <w:vMerge/>
            <w:vAlign w:val="center"/>
            <w:hideMark/>
          </w:tcPr>
          <w:p w:rsidR="00DF375F" w:rsidRDefault="00DF375F">
            <w:pPr>
              <w:rPr>
                <w:color w:val="000000"/>
              </w:rPr>
            </w:pPr>
          </w:p>
        </w:tc>
        <w:tc>
          <w:tcPr>
            <w:tcW w:w="1765" w:type="pct"/>
            <w:shd w:val="clear" w:color="auto" w:fill="auto"/>
            <w:vAlign w:val="center"/>
            <w:hideMark/>
          </w:tcPr>
          <w:p w:rsidR="00DF375F" w:rsidRDefault="00DF375F">
            <w:pPr>
              <w:jc w:val="right"/>
              <w:rPr>
                <w:b/>
                <w:bCs/>
                <w:color w:val="000000"/>
              </w:rPr>
            </w:pPr>
            <w:r>
              <w:rPr>
                <w:b/>
                <w:bCs/>
                <w:color w:val="000000"/>
              </w:rPr>
              <w:t>Iš viso:</w:t>
            </w:r>
          </w:p>
        </w:tc>
        <w:tc>
          <w:tcPr>
            <w:tcW w:w="441" w:type="pct"/>
            <w:shd w:val="clear" w:color="auto" w:fill="auto"/>
            <w:noWrap/>
            <w:vAlign w:val="bottom"/>
            <w:hideMark/>
          </w:tcPr>
          <w:p w:rsidR="00DF375F" w:rsidRDefault="00DF375F">
            <w:pPr>
              <w:jc w:val="right"/>
              <w:rPr>
                <w:color w:val="000000"/>
              </w:rPr>
            </w:pPr>
            <w:r>
              <w:rPr>
                <w:color w:val="000000"/>
              </w:rPr>
              <w:t> </w:t>
            </w:r>
          </w:p>
        </w:tc>
        <w:tc>
          <w:tcPr>
            <w:tcW w:w="515" w:type="pct"/>
            <w:shd w:val="clear" w:color="auto" w:fill="auto"/>
            <w:noWrap/>
            <w:vAlign w:val="bottom"/>
            <w:hideMark/>
          </w:tcPr>
          <w:p w:rsidR="00DF375F" w:rsidRDefault="00DF375F">
            <w:pPr>
              <w:jc w:val="right"/>
              <w:rPr>
                <w:b/>
                <w:bCs/>
                <w:color w:val="000000"/>
              </w:rPr>
            </w:pPr>
            <w:r>
              <w:rPr>
                <w:b/>
                <w:bCs/>
                <w:color w:val="000000"/>
              </w:rPr>
              <w:t>474,9</w:t>
            </w:r>
          </w:p>
        </w:tc>
        <w:tc>
          <w:tcPr>
            <w:tcW w:w="517" w:type="pct"/>
            <w:shd w:val="clear" w:color="auto" w:fill="auto"/>
            <w:noWrap/>
            <w:vAlign w:val="bottom"/>
            <w:hideMark/>
          </w:tcPr>
          <w:p w:rsidR="00DF375F" w:rsidRDefault="00DF375F">
            <w:pPr>
              <w:jc w:val="right"/>
              <w:rPr>
                <w:b/>
                <w:bCs/>
                <w:color w:val="000000"/>
              </w:rPr>
            </w:pPr>
            <w:r>
              <w:rPr>
                <w:b/>
                <w:bCs/>
                <w:color w:val="000000"/>
              </w:rPr>
              <w:t>578,8</w:t>
            </w:r>
          </w:p>
        </w:tc>
        <w:tc>
          <w:tcPr>
            <w:tcW w:w="437" w:type="pct"/>
            <w:shd w:val="clear" w:color="auto" w:fill="auto"/>
            <w:noWrap/>
            <w:vAlign w:val="bottom"/>
            <w:hideMark/>
          </w:tcPr>
          <w:p w:rsidR="00DF375F" w:rsidRDefault="00DF375F">
            <w:pPr>
              <w:jc w:val="right"/>
              <w:rPr>
                <w:rFonts w:ascii="Calibri" w:hAnsi="Calibri" w:cs="Calibri"/>
                <w:b/>
                <w:bCs/>
                <w:color w:val="000000"/>
                <w:sz w:val="22"/>
                <w:szCs w:val="22"/>
              </w:rPr>
            </w:pPr>
            <w:r>
              <w:rPr>
                <w:rFonts w:ascii="Calibri" w:hAnsi="Calibri" w:cs="Calibri"/>
                <w:b/>
                <w:bCs/>
                <w:color w:val="000000"/>
                <w:sz w:val="22"/>
                <w:szCs w:val="22"/>
              </w:rPr>
              <w:t>103,9</w:t>
            </w:r>
          </w:p>
        </w:tc>
      </w:tr>
      <w:tr w:rsidR="00BE721B" w:rsidTr="00C363BF">
        <w:trPr>
          <w:trHeight w:val="645"/>
        </w:trPr>
        <w:tc>
          <w:tcPr>
            <w:tcW w:w="369" w:type="pct"/>
            <w:shd w:val="clear" w:color="auto" w:fill="auto"/>
            <w:noWrap/>
            <w:vAlign w:val="bottom"/>
            <w:hideMark/>
          </w:tcPr>
          <w:p w:rsidR="00DF375F" w:rsidRDefault="00DF375F">
            <w:pPr>
              <w:rPr>
                <w:color w:val="000000"/>
              </w:rPr>
            </w:pPr>
            <w:r>
              <w:rPr>
                <w:color w:val="000000"/>
              </w:rPr>
              <w:t>7.</w:t>
            </w:r>
          </w:p>
        </w:tc>
        <w:tc>
          <w:tcPr>
            <w:tcW w:w="956" w:type="pct"/>
            <w:shd w:val="clear" w:color="000000" w:fill="FFFFFF"/>
            <w:vAlign w:val="bottom"/>
            <w:hideMark/>
          </w:tcPr>
          <w:p w:rsidR="00DF375F" w:rsidRDefault="00DF375F">
            <w:pPr>
              <w:rPr>
                <w:color w:val="000000"/>
              </w:rPr>
            </w:pPr>
            <w:r>
              <w:rPr>
                <w:color w:val="000000"/>
              </w:rPr>
              <w:t>Lietuvos Respublikos Konkurencijos taryba</w:t>
            </w:r>
          </w:p>
        </w:tc>
        <w:tc>
          <w:tcPr>
            <w:tcW w:w="1765" w:type="pct"/>
            <w:shd w:val="clear" w:color="auto" w:fill="auto"/>
            <w:vAlign w:val="center"/>
            <w:hideMark/>
          </w:tcPr>
          <w:p w:rsidR="00DF375F" w:rsidRDefault="00DF375F">
            <w:pPr>
              <w:rPr>
                <w:color w:val="000000"/>
              </w:rPr>
            </w:pPr>
            <w:r>
              <w:rPr>
                <w:color w:val="000000"/>
              </w:rPr>
              <w:t xml:space="preserve"> Duomenims į  suteiktos valstybės pagalbos ir nereikšmingos pagalbos registrą teikti</w:t>
            </w:r>
          </w:p>
        </w:tc>
        <w:tc>
          <w:tcPr>
            <w:tcW w:w="441" w:type="pct"/>
            <w:shd w:val="clear" w:color="auto" w:fill="auto"/>
            <w:noWrap/>
            <w:vAlign w:val="bottom"/>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0,6</w:t>
            </w:r>
          </w:p>
        </w:tc>
        <w:tc>
          <w:tcPr>
            <w:tcW w:w="517" w:type="pct"/>
            <w:shd w:val="clear" w:color="auto" w:fill="auto"/>
            <w:noWrap/>
            <w:vAlign w:val="bottom"/>
            <w:hideMark/>
          </w:tcPr>
          <w:p w:rsidR="00DF375F" w:rsidRDefault="00DF375F">
            <w:pPr>
              <w:jc w:val="right"/>
              <w:rPr>
                <w:color w:val="000000"/>
              </w:rPr>
            </w:pPr>
            <w:r>
              <w:rPr>
                <w:color w:val="000000"/>
              </w:rPr>
              <w:t>0,5</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-0,1</w:t>
            </w:r>
          </w:p>
        </w:tc>
      </w:tr>
      <w:tr w:rsidR="00BE721B" w:rsidTr="00C363BF">
        <w:trPr>
          <w:trHeight w:val="825"/>
        </w:trPr>
        <w:tc>
          <w:tcPr>
            <w:tcW w:w="369" w:type="pct"/>
            <w:shd w:val="clear" w:color="auto" w:fill="auto"/>
            <w:noWrap/>
            <w:vAlign w:val="bottom"/>
            <w:hideMark/>
          </w:tcPr>
          <w:p w:rsidR="00DF375F" w:rsidRDefault="00DF375F">
            <w:pPr>
              <w:rPr>
                <w:color w:val="000000"/>
              </w:rPr>
            </w:pPr>
            <w:r>
              <w:rPr>
                <w:color w:val="000000"/>
              </w:rPr>
              <w:t>8.</w:t>
            </w:r>
          </w:p>
        </w:tc>
        <w:tc>
          <w:tcPr>
            <w:tcW w:w="956" w:type="pct"/>
            <w:shd w:val="clear" w:color="000000" w:fill="FFFFFF"/>
            <w:vAlign w:val="bottom"/>
            <w:hideMark/>
          </w:tcPr>
          <w:p w:rsidR="00DF375F" w:rsidRDefault="00DF375F">
            <w:pPr>
              <w:rPr>
                <w:color w:val="000000"/>
              </w:rPr>
            </w:pPr>
            <w:r>
              <w:rPr>
                <w:color w:val="000000"/>
              </w:rPr>
              <w:t>Mobilizacijos ir pilietinio pasipriešinimo departamentas prie krašto apsaugos ministerijos</w:t>
            </w:r>
          </w:p>
        </w:tc>
        <w:tc>
          <w:tcPr>
            <w:tcW w:w="1765" w:type="pct"/>
            <w:shd w:val="clear" w:color="auto" w:fill="auto"/>
            <w:vAlign w:val="center"/>
            <w:hideMark/>
          </w:tcPr>
          <w:p w:rsidR="00DF375F" w:rsidRDefault="00DF375F">
            <w:pPr>
              <w:rPr>
                <w:color w:val="000000"/>
              </w:rPr>
            </w:pPr>
            <w:r>
              <w:rPr>
                <w:color w:val="000000"/>
              </w:rPr>
              <w:t xml:space="preserve"> Dalyvauti rengiant ir vykdant mobilizaciją</w:t>
            </w:r>
          </w:p>
        </w:tc>
        <w:tc>
          <w:tcPr>
            <w:tcW w:w="441" w:type="pct"/>
            <w:shd w:val="clear" w:color="auto" w:fill="auto"/>
            <w:noWrap/>
            <w:vAlign w:val="bottom"/>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10,6</w:t>
            </w:r>
          </w:p>
        </w:tc>
        <w:tc>
          <w:tcPr>
            <w:tcW w:w="517" w:type="pct"/>
            <w:shd w:val="clear" w:color="auto" w:fill="auto"/>
            <w:noWrap/>
            <w:vAlign w:val="bottom"/>
            <w:hideMark/>
          </w:tcPr>
          <w:p w:rsidR="00DF375F" w:rsidRDefault="00DF375F">
            <w:pPr>
              <w:jc w:val="right"/>
              <w:rPr>
                <w:color w:val="000000"/>
              </w:rPr>
            </w:pPr>
            <w:r>
              <w:rPr>
                <w:color w:val="000000"/>
              </w:rPr>
              <w:t>10,9</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0,3</w:t>
            </w:r>
          </w:p>
        </w:tc>
      </w:tr>
      <w:tr w:rsidR="00BE721B" w:rsidTr="00C363BF">
        <w:trPr>
          <w:trHeight w:val="630"/>
        </w:trPr>
        <w:tc>
          <w:tcPr>
            <w:tcW w:w="369" w:type="pct"/>
            <w:shd w:val="clear" w:color="auto" w:fill="auto"/>
            <w:noWrap/>
            <w:vAlign w:val="bottom"/>
            <w:hideMark/>
          </w:tcPr>
          <w:p w:rsidR="00DF375F" w:rsidRDefault="00DF375F">
            <w:pPr>
              <w:rPr>
                <w:color w:val="000000"/>
              </w:rPr>
            </w:pPr>
            <w:r>
              <w:rPr>
                <w:color w:val="000000"/>
              </w:rPr>
              <w:t xml:space="preserve">9. </w:t>
            </w:r>
          </w:p>
        </w:tc>
        <w:tc>
          <w:tcPr>
            <w:tcW w:w="956" w:type="pct"/>
            <w:shd w:val="clear" w:color="auto" w:fill="auto"/>
            <w:vAlign w:val="bottom"/>
            <w:hideMark/>
          </w:tcPr>
          <w:p w:rsidR="00DF375F" w:rsidRDefault="00DF375F">
            <w:pPr>
              <w:rPr>
                <w:color w:val="000000"/>
              </w:rPr>
            </w:pPr>
            <w:r>
              <w:rPr>
                <w:color w:val="000000"/>
              </w:rPr>
              <w:t>Valstybinė kalbos</w:t>
            </w:r>
            <w:r>
              <w:rPr>
                <w:color w:val="000000"/>
              </w:rPr>
              <w:br/>
              <w:t xml:space="preserve"> inspekcija</w:t>
            </w:r>
          </w:p>
        </w:tc>
        <w:tc>
          <w:tcPr>
            <w:tcW w:w="1765" w:type="pct"/>
            <w:shd w:val="clear" w:color="auto" w:fill="auto"/>
            <w:vAlign w:val="center"/>
            <w:hideMark/>
          </w:tcPr>
          <w:p w:rsidR="00DF375F" w:rsidRDefault="00DF375F">
            <w:pPr>
              <w:rPr>
                <w:color w:val="000000"/>
              </w:rPr>
            </w:pPr>
            <w:r>
              <w:rPr>
                <w:color w:val="000000"/>
              </w:rPr>
              <w:t xml:space="preserve"> Valstybinės kalbos vartojimo ir taisyklingumo kontrolė</w:t>
            </w:r>
          </w:p>
        </w:tc>
        <w:tc>
          <w:tcPr>
            <w:tcW w:w="441" w:type="pct"/>
            <w:shd w:val="clear" w:color="auto" w:fill="auto"/>
            <w:noWrap/>
            <w:vAlign w:val="bottom"/>
            <w:hideMark/>
          </w:tcPr>
          <w:p w:rsidR="00DF375F" w:rsidRDefault="00DF375F">
            <w:pPr>
              <w:jc w:val="right"/>
              <w:rPr>
                <w:color w:val="000000"/>
              </w:rPr>
            </w:pPr>
            <w:r>
              <w:rPr>
                <w:color w:val="000000"/>
              </w:rPr>
              <w:t>2</w:t>
            </w:r>
          </w:p>
        </w:tc>
        <w:tc>
          <w:tcPr>
            <w:tcW w:w="515" w:type="pct"/>
            <w:shd w:val="clear" w:color="auto" w:fill="auto"/>
            <w:noWrap/>
            <w:vAlign w:val="bottom"/>
            <w:hideMark/>
          </w:tcPr>
          <w:p w:rsidR="00DF375F" w:rsidRDefault="00DF375F">
            <w:pPr>
              <w:jc w:val="right"/>
              <w:rPr>
                <w:color w:val="000000"/>
              </w:rPr>
            </w:pPr>
            <w:r>
              <w:rPr>
                <w:color w:val="000000"/>
              </w:rPr>
              <w:t>8,1</w:t>
            </w:r>
          </w:p>
        </w:tc>
        <w:tc>
          <w:tcPr>
            <w:tcW w:w="517" w:type="pct"/>
            <w:shd w:val="clear" w:color="auto" w:fill="auto"/>
            <w:noWrap/>
            <w:vAlign w:val="bottom"/>
            <w:hideMark/>
          </w:tcPr>
          <w:p w:rsidR="00DF375F" w:rsidRDefault="00DF375F">
            <w:pPr>
              <w:jc w:val="right"/>
              <w:rPr>
                <w:color w:val="000000"/>
              </w:rPr>
            </w:pPr>
            <w:r>
              <w:rPr>
                <w:color w:val="000000"/>
              </w:rPr>
              <w:t>8,2</w:t>
            </w:r>
          </w:p>
        </w:tc>
        <w:tc>
          <w:tcPr>
            <w:tcW w:w="437" w:type="pct"/>
            <w:shd w:val="clear" w:color="auto" w:fill="auto"/>
            <w:noWrap/>
            <w:vAlign w:val="bottom"/>
            <w:hideMark/>
          </w:tcPr>
          <w:p w:rsidR="00DF375F" w:rsidRDefault="00DF375F">
            <w:pPr>
              <w:jc w:val="right"/>
              <w:rPr>
                <w:rFonts w:ascii="Calibri" w:hAnsi="Calibri" w:cs="Calibri"/>
                <w:color w:val="000000"/>
                <w:sz w:val="22"/>
                <w:szCs w:val="22"/>
              </w:rPr>
            </w:pPr>
            <w:r>
              <w:rPr>
                <w:rFonts w:ascii="Calibri" w:hAnsi="Calibri" w:cs="Calibri"/>
                <w:color w:val="000000"/>
                <w:sz w:val="22"/>
                <w:szCs w:val="22"/>
              </w:rPr>
              <w:t>0,1</w:t>
            </w:r>
          </w:p>
        </w:tc>
      </w:tr>
      <w:tr w:rsidR="00BE721B" w:rsidTr="00C363BF">
        <w:trPr>
          <w:trHeight w:val="315"/>
        </w:trPr>
        <w:tc>
          <w:tcPr>
            <w:tcW w:w="3089" w:type="pct"/>
            <w:gridSpan w:val="3"/>
            <w:shd w:val="clear" w:color="auto" w:fill="auto"/>
            <w:noWrap/>
            <w:vAlign w:val="bottom"/>
            <w:hideMark/>
          </w:tcPr>
          <w:p w:rsidR="00DF375F" w:rsidRDefault="00DF375F">
            <w:pPr>
              <w:rPr>
                <w:b/>
                <w:bCs/>
                <w:color w:val="000000"/>
              </w:rPr>
            </w:pPr>
            <w:r>
              <w:rPr>
                <w:b/>
                <w:bCs/>
                <w:color w:val="000000"/>
              </w:rPr>
              <w:t>Iš viso specialiosios tikslinės dotacijos savivaldybės biudžetui:</w:t>
            </w:r>
          </w:p>
        </w:tc>
        <w:tc>
          <w:tcPr>
            <w:tcW w:w="441" w:type="pct"/>
            <w:shd w:val="clear" w:color="auto" w:fill="auto"/>
            <w:noWrap/>
            <w:vAlign w:val="bottom"/>
            <w:hideMark/>
          </w:tcPr>
          <w:p w:rsidR="00DF375F" w:rsidRDefault="00DF375F">
            <w:pPr>
              <w:jc w:val="right"/>
              <w:rPr>
                <w:color w:val="000000"/>
              </w:rPr>
            </w:pPr>
            <w:r>
              <w:rPr>
                <w:color w:val="000000"/>
              </w:rPr>
              <w:t> </w:t>
            </w:r>
          </w:p>
        </w:tc>
        <w:tc>
          <w:tcPr>
            <w:tcW w:w="515" w:type="pct"/>
            <w:shd w:val="clear" w:color="auto" w:fill="auto"/>
            <w:noWrap/>
            <w:vAlign w:val="bottom"/>
            <w:hideMark/>
          </w:tcPr>
          <w:p w:rsidR="00DF375F" w:rsidRDefault="00DF375F">
            <w:pPr>
              <w:jc w:val="right"/>
              <w:rPr>
                <w:b/>
                <w:bCs/>
                <w:color w:val="000000"/>
              </w:rPr>
            </w:pPr>
            <w:r>
              <w:rPr>
                <w:b/>
                <w:bCs/>
                <w:color w:val="000000"/>
              </w:rPr>
              <w:t>1773,9</w:t>
            </w:r>
          </w:p>
        </w:tc>
        <w:tc>
          <w:tcPr>
            <w:tcW w:w="517" w:type="pct"/>
            <w:shd w:val="clear" w:color="auto" w:fill="auto"/>
            <w:noWrap/>
            <w:vAlign w:val="bottom"/>
            <w:hideMark/>
          </w:tcPr>
          <w:p w:rsidR="00DF375F" w:rsidRDefault="00DF375F">
            <w:pPr>
              <w:jc w:val="right"/>
              <w:rPr>
                <w:b/>
                <w:bCs/>
                <w:color w:val="000000"/>
              </w:rPr>
            </w:pPr>
            <w:r>
              <w:rPr>
                <w:b/>
                <w:bCs/>
                <w:color w:val="000000"/>
              </w:rPr>
              <w:t>2040,2</w:t>
            </w:r>
          </w:p>
        </w:tc>
        <w:tc>
          <w:tcPr>
            <w:tcW w:w="437" w:type="pct"/>
            <w:shd w:val="clear" w:color="auto" w:fill="auto"/>
            <w:noWrap/>
            <w:vAlign w:val="bottom"/>
            <w:hideMark/>
          </w:tcPr>
          <w:p w:rsidR="00DF375F" w:rsidRDefault="00DF375F">
            <w:pPr>
              <w:jc w:val="right"/>
              <w:rPr>
                <w:rFonts w:ascii="Calibri" w:hAnsi="Calibri" w:cs="Calibri"/>
                <w:b/>
                <w:bCs/>
                <w:color w:val="000000"/>
                <w:sz w:val="22"/>
                <w:szCs w:val="22"/>
              </w:rPr>
            </w:pPr>
            <w:r>
              <w:rPr>
                <w:rFonts w:ascii="Calibri" w:hAnsi="Calibri" w:cs="Calibri"/>
                <w:b/>
                <w:bCs/>
                <w:color w:val="000000"/>
                <w:sz w:val="22"/>
                <w:szCs w:val="22"/>
              </w:rPr>
              <w:t>266,3</w:t>
            </w:r>
          </w:p>
        </w:tc>
      </w:tr>
    </w:tbl>
    <w:p w:rsidR="00480606" w:rsidRPr="00B600BD" w:rsidRDefault="00480606" w:rsidP="007F36AA">
      <w:pPr>
        <w:autoSpaceDE w:val="0"/>
        <w:autoSpaceDN w:val="0"/>
        <w:adjustRightInd w:val="0"/>
        <w:spacing w:line="360" w:lineRule="auto"/>
        <w:ind w:firstLine="720"/>
        <w:jc w:val="both"/>
      </w:pPr>
    </w:p>
    <w:p w:rsidR="003645DC" w:rsidRDefault="003645DC" w:rsidP="0075499F">
      <w:pPr>
        <w:autoSpaceDE w:val="0"/>
        <w:autoSpaceDN w:val="0"/>
        <w:adjustRightInd w:val="0"/>
        <w:spacing w:line="360" w:lineRule="auto"/>
        <w:ind w:firstLine="720"/>
        <w:jc w:val="both"/>
      </w:pPr>
      <w:r>
        <w:t xml:space="preserve">Pagal </w:t>
      </w:r>
      <w:r w:rsidR="00F22107">
        <w:t>mokymo lėšų apskaičiavimo,</w:t>
      </w:r>
      <w:r>
        <w:t xml:space="preserve"> paskirstymo </w:t>
      </w:r>
      <w:r w:rsidR="00F22107">
        <w:t>ir panaudojimo tvarkos aprašą, 20</w:t>
      </w:r>
      <w:r w:rsidR="00477A68">
        <w:t>20</w:t>
      </w:r>
      <w:r w:rsidR="00F733B8">
        <w:t xml:space="preserve"> metams </w:t>
      </w:r>
      <w:r w:rsidR="00F22107">
        <w:t xml:space="preserve">savivaldybei skirta </w:t>
      </w:r>
      <w:r w:rsidR="00477A68">
        <w:t>4064,5</w:t>
      </w:r>
      <w:r w:rsidR="00F22107">
        <w:t xml:space="preserve"> tūkst. Eur</w:t>
      </w:r>
      <w:r w:rsidR="0075499F">
        <w:t xml:space="preserve">. </w:t>
      </w:r>
      <w:r>
        <w:t xml:space="preserve">Savivaldybės įstaigos  </w:t>
      </w:r>
      <w:r w:rsidR="00F22107">
        <w:t>mokymo</w:t>
      </w:r>
      <w:r>
        <w:t xml:space="preserve"> lėšas naudoja pagal </w:t>
      </w:r>
      <w:r w:rsidR="0075499F">
        <w:t>s</w:t>
      </w:r>
      <w:r>
        <w:t>avivaldybės tarybos patvirtintus tvarkų aprašus.</w:t>
      </w:r>
      <w:r w:rsidR="0075499F">
        <w:t xml:space="preserve"> Dotacijos dalis ugdymo reikmėms finansuoti, skirta </w:t>
      </w:r>
      <w:r w:rsidR="00477A68">
        <w:t>mokytojų darbo užmokesčiui didinti</w:t>
      </w:r>
      <w:r w:rsidR="0075499F">
        <w:t xml:space="preserve"> nuo 20</w:t>
      </w:r>
      <w:r w:rsidR="00477A68">
        <w:t xml:space="preserve">20 </w:t>
      </w:r>
      <w:r w:rsidR="0075499F">
        <w:t>m. rugsėjo 1 d. savivaldybei bus skirta vėliau</w:t>
      </w:r>
      <w:r w:rsidR="00477A68">
        <w:t>.</w:t>
      </w:r>
      <w:r w:rsidR="0075499F">
        <w:t xml:space="preserve"> </w:t>
      </w:r>
    </w:p>
    <w:p w:rsidR="00F733B8" w:rsidRDefault="0075499F" w:rsidP="00411B73">
      <w:pPr>
        <w:autoSpaceDE w:val="0"/>
        <w:autoSpaceDN w:val="0"/>
        <w:adjustRightInd w:val="0"/>
        <w:spacing w:line="360" w:lineRule="auto"/>
        <w:ind w:firstLine="720"/>
        <w:jc w:val="both"/>
      </w:pPr>
      <w:r>
        <w:t>20</w:t>
      </w:r>
      <w:r w:rsidR="00477A68">
        <w:t>20</w:t>
      </w:r>
      <w:r w:rsidR="00F733B8">
        <w:t xml:space="preserve"> metais neformaliojo vaikų švietimo programoms vykdyti</w:t>
      </w:r>
      <w:r w:rsidR="00D7621D">
        <w:t xml:space="preserve"> </w:t>
      </w:r>
      <w:r w:rsidR="004F6B1F">
        <w:t>skiriama</w:t>
      </w:r>
      <w:r w:rsidR="00E4015A">
        <w:t xml:space="preserve"> </w:t>
      </w:r>
      <w:r w:rsidR="00A97397">
        <w:t>35</w:t>
      </w:r>
      <w:r w:rsidR="00E4015A">
        <w:t xml:space="preserve"> tūkst. Eur </w:t>
      </w:r>
      <w:r w:rsidR="004F6B1F">
        <w:t xml:space="preserve">iš Europos socialinio fondo agentūros (ES lėšos). </w:t>
      </w:r>
      <w:r w:rsidR="00A97397">
        <w:t>Ši suma metų eigoje bus tikslinama, kai bus sudaryta nauja sutartis dėl finansavimo.</w:t>
      </w:r>
    </w:p>
    <w:p w:rsidR="00391890" w:rsidRDefault="00391890" w:rsidP="00411B73">
      <w:pPr>
        <w:autoSpaceDE w:val="0"/>
        <w:autoSpaceDN w:val="0"/>
        <w:adjustRightInd w:val="0"/>
        <w:spacing w:line="360" w:lineRule="auto"/>
        <w:ind w:firstLine="720"/>
        <w:jc w:val="both"/>
      </w:pPr>
      <w:r>
        <w:t xml:space="preserve"> Specialioji tikslinė dotacija </w:t>
      </w:r>
      <w:r w:rsidR="0022729A">
        <w:rPr>
          <w:color w:val="000000"/>
        </w:rPr>
        <w:t>pagal</w:t>
      </w:r>
      <w:r w:rsidR="00FF6509">
        <w:rPr>
          <w:color w:val="000000"/>
        </w:rPr>
        <w:t xml:space="preserve"> </w:t>
      </w:r>
      <w:r w:rsidR="0022729A" w:rsidRPr="00FF6509">
        <w:rPr>
          <w:color w:val="000000"/>
        </w:rPr>
        <w:t>teisės aktus savivaldybėms  perduotoms</w:t>
      </w:r>
      <w:r w:rsidR="0022729A">
        <w:rPr>
          <w:color w:val="000000"/>
        </w:rPr>
        <w:t xml:space="preserve"> įstaigoms išlaikyti</w:t>
      </w:r>
      <w:r w:rsidR="00553F5E">
        <w:t>, t. y.</w:t>
      </w:r>
      <w:r>
        <w:t xml:space="preserve"> Molėtų vaikų savarankiško gyvenimo namams</w:t>
      </w:r>
      <w:r w:rsidR="00905A1B">
        <w:t>,</w:t>
      </w:r>
      <w:r w:rsidR="00FE0F3D">
        <w:t xml:space="preserve"> sumažėjo </w:t>
      </w:r>
      <w:r w:rsidR="00A97397">
        <w:t>29</w:t>
      </w:r>
      <w:r>
        <w:t xml:space="preserve"> tūkst. Eur, ne</w:t>
      </w:r>
      <w:r w:rsidR="00553F5E">
        <w:t>s</w:t>
      </w:r>
      <w:r>
        <w:t xml:space="preserve"> mažėja iki 2007 metų namuose apgyvendintų vaikų skaičius.</w:t>
      </w:r>
      <w:r w:rsidR="004A5F85">
        <w:t xml:space="preserve"> Socialinės apsaugos įstaigai išlaikyti skiriama </w:t>
      </w:r>
      <w:r w:rsidR="00A97397">
        <w:t>99</w:t>
      </w:r>
      <w:r w:rsidR="004A5F85">
        <w:t xml:space="preserve"> tūkst. Eur.</w:t>
      </w:r>
    </w:p>
    <w:p w:rsidR="004A1CD9" w:rsidRDefault="004A1CD9" w:rsidP="00411B73">
      <w:pPr>
        <w:autoSpaceDE w:val="0"/>
        <w:autoSpaceDN w:val="0"/>
        <w:adjustRightInd w:val="0"/>
        <w:spacing w:line="360" w:lineRule="auto"/>
        <w:ind w:firstLine="720"/>
        <w:jc w:val="both"/>
        <w:rPr>
          <w:bCs/>
        </w:rPr>
      </w:pPr>
      <w:r>
        <w:t>Kij</w:t>
      </w:r>
      <w:r w:rsidR="00553F5E">
        <w:t>ė</w:t>
      </w:r>
      <w:r>
        <w:t>lių special</w:t>
      </w:r>
      <w:r w:rsidR="00553F5E">
        <w:t>iajam</w:t>
      </w:r>
      <w:r>
        <w:t xml:space="preserve"> ugdymo centrui </w:t>
      </w:r>
      <w:r w:rsidR="00A25CF2" w:rsidRPr="00FF6509">
        <w:t>LR š</w:t>
      </w:r>
      <w:r w:rsidRPr="00FF6509">
        <w:t>vietimo</w:t>
      </w:r>
      <w:r w:rsidR="00D31B3B" w:rsidRPr="00FF6509">
        <w:t>,</w:t>
      </w:r>
      <w:r w:rsidRPr="00FF6509">
        <w:t xml:space="preserve"> mokslo</w:t>
      </w:r>
      <w:r w:rsidR="00D31B3B" w:rsidRPr="00FF6509">
        <w:t xml:space="preserve"> ir sporto</w:t>
      </w:r>
      <w:r w:rsidRPr="00FF6509">
        <w:t xml:space="preserve"> ministerija</w:t>
      </w:r>
      <w:r>
        <w:t xml:space="preserve"> </w:t>
      </w:r>
      <w:r w:rsidR="004A5F85">
        <w:t>20</w:t>
      </w:r>
      <w:r w:rsidR="00A97397">
        <w:t>20</w:t>
      </w:r>
      <w:r w:rsidR="00A9602E">
        <w:t xml:space="preserve"> m. </w:t>
      </w:r>
      <w:r>
        <w:t xml:space="preserve">skiria </w:t>
      </w:r>
      <w:r w:rsidR="00A97397">
        <w:rPr>
          <w:bCs/>
        </w:rPr>
        <w:t>73,4</w:t>
      </w:r>
      <w:r w:rsidR="00A9602E">
        <w:rPr>
          <w:bCs/>
        </w:rPr>
        <w:t xml:space="preserve"> tūkst. Eur </w:t>
      </w:r>
      <w:r>
        <w:t xml:space="preserve">tikslinę dotaciją </w:t>
      </w:r>
      <w:r>
        <w:rPr>
          <w:bCs/>
        </w:rPr>
        <w:t>specialių poreikių turinčių vaikų išlaikymui iš dali</w:t>
      </w:r>
      <w:r w:rsidR="00FE0F3D">
        <w:rPr>
          <w:bCs/>
        </w:rPr>
        <w:t>es finansuoti</w:t>
      </w:r>
      <w:r w:rsidR="004B42F6">
        <w:rPr>
          <w:bCs/>
        </w:rPr>
        <w:t xml:space="preserve">, </w:t>
      </w:r>
      <w:r w:rsidR="00A97397">
        <w:rPr>
          <w:bCs/>
        </w:rPr>
        <w:t>5,8</w:t>
      </w:r>
      <w:r w:rsidR="004A5F85">
        <w:rPr>
          <w:bCs/>
        </w:rPr>
        <w:t xml:space="preserve"> tūkst. Eur daugiau nei </w:t>
      </w:r>
      <w:r w:rsidR="00A25CF2">
        <w:rPr>
          <w:bCs/>
        </w:rPr>
        <w:t xml:space="preserve"> praėjusiais metais </w:t>
      </w:r>
      <w:r w:rsidR="004B42F6">
        <w:rPr>
          <w:bCs/>
        </w:rPr>
        <w:t>(</w:t>
      </w:r>
      <w:r w:rsidR="00A97397">
        <w:rPr>
          <w:bCs/>
        </w:rPr>
        <w:t>67,6</w:t>
      </w:r>
      <w:r w:rsidR="004B42F6">
        <w:rPr>
          <w:bCs/>
        </w:rPr>
        <w:t xml:space="preserve"> tūkst. Eur).</w:t>
      </w:r>
    </w:p>
    <w:p w:rsidR="001A1B93" w:rsidRDefault="007C60FE" w:rsidP="00EA60D8">
      <w:pPr>
        <w:spacing w:line="360" w:lineRule="auto"/>
        <w:jc w:val="both"/>
      </w:pPr>
      <w:r w:rsidRPr="00B600BD">
        <w:rPr>
          <w:b/>
        </w:rPr>
        <w:lastRenderedPageBreak/>
        <w:t xml:space="preserve"> </w:t>
      </w:r>
      <w:r w:rsidR="00905A1B">
        <w:rPr>
          <w:b/>
        </w:rPr>
        <w:t xml:space="preserve">            </w:t>
      </w:r>
      <w:r w:rsidRPr="003F6325">
        <w:t>Įs</w:t>
      </w:r>
      <w:r w:rsidR="00DA4427">
        <w:t xml:space="preserve">taigos planuoja surinkti </w:t>
      </w:r>
      <w:r w:rsidR="00A97397">
        <w:t>590</w:t>
      </w:r>
      <w:r w:rsidRPr="00B600BD">
        <w:t xml:space="preserve"> tūkst.</w:t>
      </w:r>
      <w:r>
        <w:t xml:space="preserve"> </w:t>
      </w:r>
      <w:r w:rsidRPr="00B600BD">
        <w:t>Eur</w:t>
      </w:r>
      <w:r>
        <w:t xml:space="preserve"> </w:t>
      </w:r>
      <w:r w:rsidRPr="00535427">
        <w:t>už teikiamas paslaugas (</w:t>
      </w:r>
      <w:r w:rsidR="004A5F85">
        <w:t xml:space="preserve">pajamos </w:t>
      </w:r>
      <w:r w:rsidRPr="00535427">
        <w:t>p</w:t>
      </w:r>
      <w:r w:rsidR="004A5F85">
        <w:t>agal kiekvieną įstaigą išdėstytos</w:t>
      </w:r>
      <w:r w:rsidRPr="00535427">
        <w:t xml:space="preserve"> sprendimo projekto</w:t>
      </w:r>
      <w:r w:rsidR="0068246D">
        <w:t xml:space="preserve"> 2</w:t>
      </w:r>
      <w:r w:rsidR="004A5F85">
        <w:t xml:space="preserve"> priede), t.y. </w:t>
      </w:r>
      <w:r w:rsidR="00A97397">
        <w:t>161,8</w:t>
      </w:r>
      <w:r w:rsidR="004A5F85">
        <w:t xml:space="preserve"> tūkst. Eur </w:t>
      </w:r>
      <w:r w:rsidR="00A97397">
        <w:t>daugiau</w:t>
      </w:r>
      <w:r w:rsidR="004A5F85">
        <w:t xml:space="preserve"> nei 201</w:t>
      </w:r>
      <w:r w:rsidR="00A97397">
        <w:t>9</w:t>
      </w:r>
      <w:r w:rsidR="004A5F85">
        <w:t xml:space="preserve"> m. </w:t>
      </w:r>
      <w:r w:rsidR="00D5481F">
        <w:t>(</w:t>
      </w:r>
      <w:r w:rsidR="00A97397">
        <w:t>428,2</w:t>
      </w:r>
      <w:r w:rsidR="00D5481F">
        <w:t xml:space="preserve"> tūkst. Eur)</w:t>
      </w:r>
      <w:r w:rsidR="001A1B93">
        <w:t>.</w:t>
      </w:r>
      <w:r w:rsidR="00A97397">
        <w:t xml:space="preserve"> Padidėjimą lemia darželių įmokų už išlaikymą švietimo įstaigose padidėjimas, Molėtų kultūros centro suplanuotos pajamos už teikiamas paslaugas naujai įrengtoje salėje. </w:t>
      </w:r>
    </w:p>
    <w:p w:rsidR="001A1B93" w:rsidRPr="00535427" w:rsidRDefault="001A1B93" w:rsidP="00EA60D8">
      <w:pPr>
        <w:spacing w:line="360" w:lineRule="auto"/>
        <w:jc w:val="both"/>
      </w:pPr>
      <w:r>
        <w:t xml:space="preserve">            Europos  Sąjungos finansinės paramos lėšos – </w:t>
      </w:r>
      <w:r w:rsidR="00A97397">
        <w:t>1993,9</w:t>
      </w:r>
      <w:r>
        <w:t xml:space="preserve"> tūkst. Eur 20</w:t>
      </w:r>
      <w:r w:rsidR="00A97397">
        <w:t>20</w:t>
      </w:r>
      <w:r>
        <w:t xml:space="preserve"> m. numatytos įgyvendinamiems projektams ir programoms finansuoti.</w:t>
      </w:r>
      <w:r w:rsidR="0020424B">
        <w:t xml:space="preserve"> Iš Europos Sąjungos lėšų bus finansuojama: savivaldybės pastatų modernizavimas, viešųjų erdvių, infrastruktūros sutvarkymas, socialinio būsto įsigijimas ir kiti savivaldybės vykdomi projektai. </w:t>
      </w:r>
    </w:p>
    <w:p w:rsidR="007C60FE" w:rsidRPr="00EC6863" w:rsidRDefault="00905A1B" w:rsidP="00A9602E">
      <w:pPr>
        <w:spacing w:line="360" w:lineRule="auto"/>
        <w:jc w:val="both"/>
      </w:pPr>
      <w:r w:rsidRPr="00D6183A">
        <w:rPr>
          <w:b/>
          <w:color w:val="FF0000"/>
        </w:rPr>
        <w:t xml:space="preserve">           </w:t>
      </w:r>
      <w:r w:rsidR="007C60FE" w:rsidRPr="00EC6863">
        <w:t>Vadovau</w:t>
      </w:r>
      <w:r w:rsidR="004A5F85">
        <w:t>jantis Lietuvos Respublikos 20</w:t>
      </w:r>
      <w:r w:rsidR="00A97397">
        <w:t>20</w:t>
      </w:r>
      <w:r w:rsidR="007C60FE" w:rsidRPr="00EC6863">
        <w:t xml:space="preserve"> metų valstybės biudžeto ir savivaldybių biudžetų finansinių r</w:t>
      </w:r>
      <w:r w:rsidR="00DA4427" w:rsidRPr="00EC6863">
        <w:t>odiklių patv</w:t>
      </w:r>
      <w:r w:rsidR="004A5F85">
        <w:t>irtinimo įstatymo 12</w:t>
      </w:r>
      <w:r w:rsidR="00553F5E" w:rsidRPr="00EC6863">
        <w:t xml:space="preserve"> </w:t>
      </w:r>
      <w:r w:rsidR="007C60FE" w:rsidRPr="00EC6863">
        <w:t xml:space="preserve">straipsniu, savivaldybės skola negali viršyti </w:t>
      </w:r>
      <w:r w:rsidR="00D6183A" w:rsidRPr="00EC6863">
        <w:t>6</w:t>
      </w:r>
      <w:r w:rsidR="007C60FE" w:rsidRPr="00EC6863">
        <w:t>0 proc. šio įstatymo</w:t>
      </w:r>
      <w:r w:rsidR="004A5F85">
        <w:t xml:space="preserve"> 6</w:t>
      </w:r>
      <w:r w:rsidR="007C60FE" w:rsidRPr="00EC6863">
        <w:t xml:space="preserve"> priede nurodytų prognozuojamų s</w:t>
      </w:r>
      <w:r w:rsidR="00B75B78" w:rsidRPr="00EC6863">
        <w:t xml:space="preserve">avivaldybės biudžeto pajamų </w:t>
      </w:r>
      <w:r w:rsidR="00D076F6">
        <w:t>(</w:t>
      </w:r>
      <w:r w:rsidR="004A5F85">
        <w:t>1</w:t>
      </w:r>
      <w:r w:rsidR="00A97397">
        <w:t>1359</w:t>
      </w:r>
      <w:r w:rsidR="0027672C" w:rsidRPr="00EC6863">
        <w:t xml:space="preserve"> tūkst</w:t>
      </w:r>
      <w:r w:rsidR="00553F5E" w:rsidRPr="00EC6863">
        <w:t>.</w:t>
      </w:r>
      <w:r w:rsidR="002E5572" w:rsidRPr="00EC6863">
        <w:t xml:space="preserve"> Eur).</w:t>
      </w:r>
      <w:r w:rsidR="0068246D" w:rsidRPr="00EC6863">
        <w:t xml:space="preserve"> Bendras</w:t>
      </w:r>
      <w:r w:rsidR="007C60FE" w:rsidRPr="00EC6863">
        <w:t xml:space="preserve"> </w:t>
      </w:r>
      <w:r w:rsidR="0068246D" w:rsidRPr="00EC6863">
        <w:t>s</w:t>
      </w:r>
      <w:r w:rsidR="007C60FE" w:rsidRPr="00EC6863">
        <w:t xml:space="preserve">kolos limitas </w:t>
      </w:r>
      <w:r w:rsidR="0068246D" w:rsidRPr="00EC6863">
        <w:t xml:space="preserve"> </w:t>
      </w:r>
      <w:r w:rsidR="00A25CF2">
        <w:t>S</w:t>
      </w:r>
      <w:r w:rsidR="0068246D" w:rsidRPr="00EC6863">
        <w:t xml:space="preserve">avivaldybei </w:t>
      </w:r>
      <w:r w:rsidR="004A5F85">
        <w:t>20</w:t>
      </w:r>
      <w:r w:rsidR="00A97397">
        <w:t>20</w:t>
      </w:r>
      <w:r w:rsidR="007C60FE" w:rsidRPr="00EC6863">
        <w:t xml:space="preserve"> metams –</w:t>
      </w:r>
      <w:r w:rsidR="00D6799C" w:rsidRPr="00EC6863">
        <w:t xml:space="preserve"> </w:t>
      </w:r>
      <w:r w:rsidR="00A97397">
        <w:t>6815,4</w:t>
      </w:r>
      <w:r w:rsidR="007C60FE" w:rsidRPr="00EC6863">
        <w:t xml:space="preserve"> tūkst. </w:t>
      </w:r>
      <w:r w:rsidR="00553F5E" w:rsidRPr="00EC6863">
        <w:t>Eur</w:t>
      </w:r>
      <w:r w:rsidR="00D6799C" w:rsidRPr="00EC6863">
        <w:t xml:space="preserve"> ( </w:t>
      </w:r>
      <w:r w:rsidR="00A97397">
        <w:t>11359</w:t>
      </w:r>
      <w:r w:rsidR="004A5F85">
        <w:t xml:space="preserve"> </w:t>
      </w:r>
      <w:r w:rsidR="00EC6863" w:rsidRPr="00EC6863">
        <w:t>x 6</w:t>
      </w:r>
      <w:r w:rsidR="007C60FE" w:rsidRPr="00EC6863">
        <w:t>0 proc.).</w:t>
      </w:r>
    </w:p>
    <w:p w:rsidR="002505F9" w:rsidRDefault="00063D74" w:rsidP="00411B73">
      <w:pPr>
        <w:spacing w:line="360" w:lineRule="auto"/>
        <w:jc w:val="both"/>
      </w:pPr>
      <w:r>
        <w:t xml:space="preserve">           </w:t>
      </w:r>
      <w:r w:rsidR="00A97397">
        <w:t>2020</w:t>
      </w:r>
      <w:r w:rsidR="007C60FE" w:rsidRPr="0027672C">
        <w:t xml:space="preserve"> m. sausio </w:t>
      </w:r>
      <w:r w:rsidR="0027672C">
        <w:t>1</w:t>
      </w:r>
      <w:r w:rsidR="00553F5E">
        <w:t xml:space="preserve"> </w:t>
      </w:r>
      <w:r w:rsidR="0027672C">
        <w:t>d</w:t>
      </w:r>
      <w:r w:rsidR="00ED4502">
        <w:t xml:space="preserve">. </w:t>
      </w:r>
      <w:r w:rsidR="00D37AAE">
        <w:t xml:space="preserve"> savivaldybės </w:t>
      </w:r>
      <w:r w:rsidR="004A5F85">
        <w:t>įsipareigojimų suma yra</w:t>
      </w:r>
      <w:r w:rsidR="00EC6863">
        <w:t xml:space="preserve"> </w:t>
      </w:r>
      <w:r w:rsidR="00A97397">
        <w:t>2992</w:t>
      </w:r>
      <w:r w:rsidR="00D37AAE">
        <w:t xml:space="preserve"> tūkst.</w:t>
      </w:r>
      <w:r w:rsidR="00A9602E">
        <w:t xml:space="preserve"> Eur</w:t>
      </w:r>
      <w:r w:rsidR="004A5F85">
        <w:t xml:space="preserve"> ir bendras s</w:t>
      </w:r>
      <w:r w:rsidR="002505F9">
        <w:t xml:space="preserve">avivaldybės skolos limitas panaudotas </w:t>
      </w:r>
      <w:r w:rsidR="006F2544">
        <w:t>26,3</w:t>
      </w:r>
      <w:r w:rsidR="00DC349E">
        <w:t xml:space="preserve"> </w:t>
      </w:r>
      <w:r w:rsidR="002505F9">
        <w:t>proc.</w:t>
      </w:r>
      <w:r w:rsidR="003A17A4">
        <w:t>, todėl savivaldybė planuoja skolintis 5</w:t>
      </w:r>
      <w:r w:rsidR="00A97397">
        <w:t>5</w:t>
      </w:r>
      <w:r w:rsidR="003A17A4">
        <w:t>0 tūks. Eur paskolų grąžinimui.</w:t>
      </w:r>
    </w:p>
    <w:p w:rsidR="00651DBA" w:rsidRPr="00BB419B" w:rsidRDefault="007C60FE" w:rsidP="00BB419B">
      <w:pPr>
        <w:spacing w:line="360" w:lineRule="auto"/>
        <w:jc w:val="both"/>
      </w:pPr>
      <w:r w:rsidRPr="00B600BD">
        <w:rPr>
          <w:b/>
        </w:rPr>
        <w:t xml:space="preserve"> </w:t>
      </w:r>
      <w:r w:rsidR="00B36EF4">
        <w:rPr>
          <w:b/>
        </w:rPr>
        <w:t xml:space="preserve">          </w:t>
      </w:r>
      <w:r w:rsidR="00DC349E">
        <w:t>201</w:t>
      </w:r>
      <w:r w:rsidR="006F2544">
        <w:t>9</w:t>
      </w:r>
      <w:r w:rsidR="002505F9">
        <w:t xml:space="preserve"> </w:t>
      </w:r>
      <w:r w:rsidRPr="00B600BD">
        <w:t>m. gruodžio 31</w:t>
      </w:r>
      <w:r w:rsidR="00B36EF4">
        <w:t xml:space="preserve"> </w:t>
      </w:r>
      <w:r w:rsidRPr="00B600BD">
        <w:t>d. savivaldybės biudžeto kre</w:t>
      </w:r>
      <w:r w:rsidR="00ED4502">
        <w:t>ditor</w:t>
      </w:r>
      <w:r w:rsidR="002505F9">
        <w:t xml:space="preserve">inis įsiskolinimas sudarė </w:t>
      </w:r>
      <w:r w:rsidR="00F503F6">
        <w:t>3022,3</w:t>
      </w:r>
      <w:r w:rsidRPr="00B600BD">
        <w:rPr>
          <w:b/>
        </w:rPr>
        <w:t xml:space="preserve"> </w:t>
      </w:r>
      <w:r w:rsidRPr="00ED4502">
        <w:t>tūkst. Eur</w:t>
      </w:r>
      <w:r w:rsidR="00CD39CA" w:rsidRPr="00B36EF4">
        <w:t>,</w:t>
      </w:r>
      <w:r w:rsidRPr="00B600BD">
        <w:rPr>
          <w:b/>
        </w:rPr>
        <w:t xml:space="preserve"> </w:t>
      </w:r>
      <w:r w:rsidR="00F503F6">
        <w:t>i</w:t>
      </w:r>
      <w:r w:rsidR="00DC349E">
        <w:t xml:space="preserve">š šios sumos </w:t>
      </w:r>
      <w:r w:rsidR="00F503F6">
        <w:t>2992</w:t>
      </w:r>
      <w:r w:rsidRPr="00B600BD">
        <w:t xml:space="preserve"> tūkst.</w:t>
      </w:r>
      <w:r>
        <w:t xml:space="preserve"> </w:t>
      </w:r>
      <w:r w:rsidRPr="00B600BD">
        <w:t xml:space="preserve">Eur </w:t>
      </w:r>
      <w:r w:rsidR="003A17A4">
        <w:t xml:space="preserve">sudaro </w:t>
      </w:r>
      <w:r w:rsidR="002505F9">
        <w:t>paskolos</w:t>
      </w:r>
      <w:r w:rsidR="003A17A4">
        <w:t xml:space="preserve">, </w:t>
      </w:r>
      <w:r w:rsidR="00F503F6">
        <w:t>30</w:t>
      </w:r>
      <w:r w:rsidR="003A17A4">
        <w:t xml:space="preserve">,3 tūkst. Eur įstaigų skola tiekėjams. </w:t>
      </w:r>
      <w:r w:rsidR="00D076F6">
        <w:t>Per</w:t>
      </w:r>
      <w:r w:rsidR="003A17A4">
        <w:t xml:space="preserve"> 201</w:t>
      </w:r>
      <w:r w:rsidR="00F503F6">
        <w:t>9</w:t>
      </w:r>
      <w:r w:rsidR="00DC349E">
        <w:t xml:space="preserve"> m. </w:t>
      </w:r>
      <w:r w:rsidR="00D076F6">
        <w:t xml:space="preserve">savivaldybės biudžetinių įstaigų </w:t>
      </w:r>
      <w:r w:rsidR="00DC349E">
        <w:t xml:space="preserve">kreditorinis įsiskolinimas </w:t>
      </w:r>
      <w:r w:rsidR="002505F9">
        <w:t xml:space="preserve"> </w:t>
      </w:r>
      <w:r w:rsidR="00F503F6">
        <w:t>padidėjo 2</w:t>
      </w:r>
      <w:r w:rsidR="003F607C">
        <w:t xml:space="preserve"> tūkst</w:t>
      </w:r>
      <w:r w:rsidR="00A0364F">
        <w:t>.</w:t>
      </w:r>
      <w:r w:rsidR="003F607C">
        <w:t xml:space="preserve"> Eur</w:t>
      </w:r>
      <w:r w:rsidR="00F503F6">
        <w:t>.</w:t>
      </w:r>
      <w:r w:rsidR="003A17A4">
        <w:t xml:space="preserve"> </w:t>
      </w:r>
    </w:p>
    <w:p w:rsidR="007C60FE" w:rsidRPr="00BC35FE" w:rsidRDefault="000F46AD" w:rsidP="00BC35FE">
      <w:pPr>
        <w:spacing w:line="360" w:lineRule="auto"/>
        <w:rPr>
          <w:b/>
        </w:rPr>
      </w:pPr>
      <w:r w:rsidRPr="00BC35FE">
        <w:rPr>
          <w:b/>
        </w:rPr>
        <w:t xml:space="preserve">1.2. </w:t>
      </w:r>
      <w:r w:rsidR="007C60FE" w:rsidRPr="00BC35FE">
        <w:rPr>
          <w:b/>
        </w:rPr>
        <w:t>IŠLAIDOS</w:t>
      </w:r>
    </w:p>
    <w:p w:rsidR="00514F9C" w:rsidRDefault="007C60FE" w:rsidP="00411B73">
      <w:pPr>
        <w:spacing w:line="360" w:lineRule="auto"/>
        <w:jc w:val="both"/>
      </w:pPr>
      <w:r>
        <w:tab/>
      </w:r>
      <w:r w:rsidR="00514F9C">
        <w:t>Planuojami</w:t>
      </w:r>
      <w:r w:rsidRPr="00B600BD">
        <w:t xml:space="preserve"> </w:t>
      </w:r>
      <w:r w:rsidR="009A78C0">
        <w:t>20</w:t>
      </w:r>
      <w:r w:rsidR="00F503F6">
        <w:t>20</w:t>
      </w:r>
      <w:r w:rsidR="00514F9C">
        <w:t xml:space="preserve"> metų biudžeto asignavimai </w:t>
      </w:r>
      <w:r w:rsidR="00423830">
        <w:t>–</w:t>
      </w:r>
      <w:r w:rsidRPr="00B600BD">
        <w:t xml:space="preserve"> </w:t>
      </w:r>
      <w:r w:rsidR="00112334">
        <w:t>23870</w:t>
      </w:r>
      <w:r w:rsidRPr="00423830">
        <w:t xml:space="preserve"> tūkst.</w:t>
      </w:r>
      <w:r>
        <w:t xml:space="preserve"> </w:t>
      </w:r>
      <w:r w:rsidRPr="00B600BD">
        <w:t>Eur</w:t>
      </w:r>
      <w:r w:rsidRPr="00411B73">
        <w:t>.</w:t>
      </w:r>
      <w:r w:rsidR="00514F9C">
        <w:t xml:space="preserve"> Jų </w:t>
      </w:r>
      <w:r w:rsidR="000D1BEC">
        <w:t>paskirstymas</w:t>
      </w:r>
      <w:r w:rsidR="003F5830">
        <w:t xml:space="preserve"> </w:t>
      </w:r>
      <w:r w:rsidR="00411B73">
        <w:t>pagal vykdomas programas</w:t>
      </w:r>
      <w:r w:rsidR="003F5830">
        <w:t>,</w:t>
      </w:r>
      <w:r w:rsidRPr="00B600BD">
        <w:t xml:space="preserve"> asignavimų valdyt</w:t>
      </w:r>
      <w:r w:rsidR="00411B73">
        <w:t>ojus ir finansavimo šaltinius</w:t>
      </w:r>
      <w:r w:rsidR="000D1BEC">
        <w:t xml:space="preserve"> išdėstyta</w:t>
      </w:r>
      <w:r w:rsidR="00A25CF2">
        <w:t>s</w:t>
      </w:r>
      <w:r w:rsidR="000D1BEC">
        <w:t xml:space="preserve"> sprendimo 3 priede.</w:t>
      </w:r>
    </w:p>
    <w:p w:rsidR="00E138D5" w:rsidRDefault="009A78C0" w:rsidP="00065A7B">
      <w:pPr>
        <w:spacing w:line="360" w:lineRule="auto"/>
        <w:ind w:firstLine="1296"/>
        <w:jc w:val="both"/>
      </w:pPr>
      <w:r>
        <w:t>20</w:t>
      </w:r>
      <w:r w:rsidR="00F503F6">
        <w:t>20</w:t>
      </w:r>
      <w:r>
        <w:t xml:space="preserve"> m.  savivaldybės biudžeto</w:t>
      </w:r>
      <w:r w:rsidR="000D1BEC">
        <w:t xml:space="preserve"> planuojamos gauti paj</w:t>
      </w:r>
      <w:r w:rsidR="00A0364F">
        <w:t>amos -</w:t>
      </w:r>
      <w:r w:rsidR="00112334">
        <w:t>22501,5</w:t>
      </w:r>
      <w:r w:rsidR="00A0364F" w:rsidRPr="00423830">
        <w:t xml:space="preserve"> tūkst.</w:t>
      </w:r>
      <w:r w:rsidR="00A0364F">
        <w:t xml:space="preserve"> Eur   </w:t>
      </w:r>
      <w:r>
        <w:t>papildomos</w:t>
      </w:r>
      <w:r w:rsidR="000D1BEC">
        <w:t xml:space="preserve"> </w:t>
      </w:r>
      <w:r w:rsidR="00F503F6">
        <w:t>818,5</w:t>
      </w:r>
      <w:r w:rsidR="000D1BEC">
        <w:t xml:space="preserve"> tūkst. Eur</w:t>
      </w:r>
      <w:r w:rsidR="00A25CF2">
        <w:t>,</w:t>
      </w:r>
      <w:r w:rsidR="00853C94">
        <w:t xml:space="preserve"> t.</w:t>
      </w:r>
      <w:r w:rsidR="00A25CF2">
        <w:t xml:space="preserve"> </w:t>
      </w:r>
      <w:r>
        <w:t>y. 201</w:t>
      </w:r>
      <w:r w:rsidR="00F503F6">
        <w:t>9</w:t>
      </w:r>
      <w:r w:rsidR="00853C94">
        <w:t xml:space="preserve"> m. nepanaudota pajamų</w:t>
      </w:r>
      <w:r w:rsidR="000D1BEC">
        <w:t xml:space="preserve"> dali</w:t>
      </w:r>
      <w:r>
        <w:t xml:space="preserve">mi. Ši suma skiriama </w:t>
      </w:r>
      <w:r w:rsidR="000D1BEC">
        <w:t xml:space="preserve">išlaidoms dengti, </w:t>
      </w:r>
      <w:r>
        <w:t xml:space="preserve">tame tarpe </w:t>
      </w:r>
      <w:r w:rsidR="00446ED6">
        <w:t xml:space="preserve"> </w:t>
      </w:r>
      <w:r w:rsidR="00F503F6">
        <w:t>30</w:t>
      </w:r>
      <w:r>
        <w:t>,3</w:t>
      </w:r>
      <w:r w:rsidR="00B36EF4">
        <w:t xml:space="preserve"> tūkst. Eur </w:t>
      </w:r>
      <w:r w:rsidR="00446ED6">
        <w:t xml:space="preserve">numatyta trumpalaikiams </w:t>
      </w:r>
      <w:r>
        <w:t>įsipareigojimams, buvusiems 201</w:t>
      </w:r>
      <w:r w:rsidR="00F503F6">
        <w:t>9</w:t>
      </w:r>
      <w:r w:rsidR="00446ED6">
        <w:t xml:space="preserve"> metų gruodžio 31 d</w:t>
      </w:r>
      <w:r w:rsidR="00B36EF4">
        <w:t>ienai, padengti</w:t>
      </w:r>
      <w:r w:rsidR="00446ED6">
        <w:t xml:space="preserve"> </w:t>
      </w:r>
      <w:r w:rsidR="00D37D14">
        <w:t xml:space="preserve">(6 priedas) </w:t>
      </w:r>
      <w:r w:rsidR="00446ED6">
        <w:t xml:space="preserve">ir </w:t>
      </w:r>
      <w:r w:rsidR="00F503F6">
        <w:t>165,4</w:t>
      </w:r>
      <w:r w:rsidR="00D37D14">
        <w:t xml:space="preserve"> </w:t>
      </w:r>
      <w:r w:rsidR="00B36EF4">
        <w:t xml:space="preserve"> tūkst. Eur tikslinės paskirties</w:t>
      </w:r>
      <w:r w:rsidR="000D1BEC">
        <w:t xml:space="preserve"> asignavimams (</w:t>
      </w:r>
      <w:r w:rsidR="00D37D14">
        <w:t>7</w:t>
      </w:r>
      <w:r w:rsidR="000D1BEC">
        <w:t xml:space="preserve"> priedas)</w:t>
      </w:r>
      <w:r w:rsidR="00446ED6">
        <w:t>.</w:t>
      </w:r>
      <w:r w:rsidR="000D1BEC">
        <w:t xml:space="preserve"> Likusi </w:t>
      </w:r>
      <w:r w:rsidR="00F503F6">
        <w:t>622,8</w:t>
      </w:r>
      <w:r w:rsidR="000D1BEC">
        <w:t xml:space="preserve"> tūkst. Eur</w:t>
      </w:r>
      <w:r>
        <w:t xml:space="preserve"> </w:t>
      </w:r>
      <w:r w:rsidR="009454F3">
        <w:t>nepanaudota asignavimų dalis perskirstoma</w:t>
      </w:r>
      <w:r>
        <w:t xml:space="preserve"> 20</w:t>
      </w:r>
      <w:r w:rsidR="00F503F6">
        <w:t xml:space="preserve">20 </w:t>
      </w:r>
      <w:r w:rsidR="000A2A05">
        <w:t xml:space="preserve">m. asignavimams finansuoti. </w:t>
      </w:r>
    </w:p>
    <w:p w:rsidR="003565B0" w:rsidRPr="00B600BD" w:rsidRDefault="003565B0" w:rsidP="003565B0">
      <w:pPr>
        <w:spacing w:line="360" w:lineRule="auto"/>
        <w:ind w:firstLine="1296"/>
        <w:jc w:val="both"/>
      </w:pPr>
      <w:r w:rsidRPr="000D6144">
        <w:t>Valstybinėms funkcijoms</w:t>
      </w:r>
      <w:r>
        <w:t xml:space="preserve"> (perduotoms savivaldybėms) vykdyti, </w:t>
      </w:r>
      <w:r w:rsidR="009A78C0">
        <w:t>mokymo lėšoms</w:t>
      </w:r>
      <w:r>
        <w:t xml:space="preserve"> finansuoti ir kitoms iš valstybės biudžeto specialių tikslinių dotacijų finansuojamoms sritims,</w:t>
      </w:r>
      <w:r w:rsidRPr="00B600BD">
        <w:t xml:space="preserve"> planuojam</w:t>
      </w:r>
      <w:r>
        <w:t>os ministerijų nustatytos sumos.</w:t>
      </w:r>
      <w:r w:rsidRPr="00B600BD">
        <w:t xml:space="preserve"> </w:t>
      </w:r>
    </w:p>
    <w:p w:rsidR="003565B0" w:rsidRDefault="003565B0" w:rsidP="003565B0">
      <w:pPr>
        <w:spacing w:line="360" w:lineRule="auto"/>
        <w:jc w:val="both"/>
      </w:pPr>
      <w:r>
        <w:rPr>
          <w:b/>
        </w:rPr>
        <w:tab/>
      </w:r>
      <w:r>
        <w:t>Didžiausias asignavimų valdytojas - Savivaldybės administracija, kurios planuojamos</w:t>
      </w:r>
    </w:p>
    <w:p w:rsidR="00FB5B48" w:rsidRDefault="009A78C0" w:rsidP="00983011">
      <w:pPr>
        <w:spacing w:line="360" w:lineRule="auto"/>
        <w:jc w:val="both"/>
      </w:pPr>
      <w:r>
        <w:t>20</w:t>
      </w:r>
      <w:r w:rsidR="00F503F6">
        <w:t>20</w:t>
      </w:r>
      <w:r w:rsidR="003565B0">
        <w:t xml:space="preserve"> metų išlaidos sudaro </w:t>
      </w:r>
      <w:r w:rsidR="00112334">
        <w:t>11343,5</w:t>
      </w:r>
      <w:r w:rsidR="003565B0" w:rsidRPr="0004410C">
        <w:t xml:space="preserve"> tūkst</w:t>
      </w:r>
      <w:r w:rsidR="003565B0">
        <w:t xml:space="preserve">. Eur , iš kurių </w:t>
      </w:r>
      <w:r w:rsidR="00F503F6">
        <w:t>124,4</w:t>
      </w:r>
      <w:r w:rsidR="003565B0">
        <w:t xml:space="preserve"> tūkst. Eur praėjusių metų tikslinės lėšos</w:t>
      </w:r>
      <w:r w:rsidR="00853C94">
        <w:t xml:space="preserve"> ir </w:t>
      </w:r>
      <w:r w:rsidR="00F503F6">
        <w:t>18,4</w:t>
      </w:r>
      <w:r w:rsidR="00790800">
        <w:t xml:space="preserve"> tūkst. Eur 201</w:t>
      </w:r>
      <w:r w:rsidR="00F503F6">
        <w:t xml:space="preserve">9 </w:t>
      </w:r>
      <w:r w:rsidR="00853C94">
        <w:t>m. gruodžio 31 d. susidarę trumpalaikiai įsipareigojimai.</w:t>
      </w:r>
    </w:p>
    <w:p w:rsidR="0063749B" w:rsidRDefault="00790800" w:rsidP="009B7BBB">
      <w:pPr>
        <w:spacing w:line="360" w:lineRule="auto"/>
        <w:ind w:firstLine="1296"/>
        <w:jc w:val="both"/>
      </w:pPr>
      <w:r>
        <w:t>Savivaldybės 20</w:t>
      </w:r>
      <w:r w:rsidR="00F503F6">
        <w:t>20</w:t>
      </w:r>
      <w:r w:rsidR="00E863FF">
        <w:t xml:space="preserve"> metų biudžeto asignavimų</w:t>
      </w:r>
      <w:r w:rsidR="00206448">
        <w:t xml:space="preserve"> su tikslinėmis ir paskolų</w:t>
      </w:r>
      <w:r w:rsidR="00DD4E15">
        <w:t xml:space="preserve">  lėšomis </w:t>
      </w:r>
      <w:r w:rsidR="00E863FF">
        <w:t xml:space="preserve"> </w:t>
      </w:r>
      <w:r w:rsidR="00411B73">
        <w:t>paskirstym</w:t>
      </w:r>
      <w:r w:rsidR="00B36EF4">
        <w:t>as</w:t>
      </w:r>
      <w:r w:rsidR="00E863FF">
        <w:t xml:space="preserve"> pagal veiklos programas</w:t>
      </w:r>
      <w:r w:rsidR="00DD4E15">
        <w:t xml:space="preserve"> </w:t>
      </w:r>
      <w:r w:rsidR="00E863FF">
        <w:t xml:space="preserve"> </w:t>
      </w:r>
      <w:r w:rsidR="00D37D14">
        <w:t xml:space="preserve">pateikiamas </w:t>
      </w:r>
      <w:r w:rsidR="00E37087">
        <w:t xml:space="preserve"> lentelėje:</w:t>
      </w:r>
      <w:bookmarkStart w:id="0" w:name="_GoBack"/>
      <w:bookmarkEnd w:id="0"/>
    </w:p>
    <w:tbl>
      <w:tblPr>
        <w:tblW w:w="5000" w:type="pct"/>
        <w:tblLayout w:type="fixed"/>
        <w:tblLook w:val="04A0" w:firstRow="1" w:lastRow="0" w:firstColumn="1" w:lastColumn="0" w:noHBand="0" w:noVBand="1"/>
      </w:tblPr>
      <w:tblGrid>
        <w:gridCol w:w="988"/>
        <w:gridCol w:w="3828"/>
        <w:gridCol w:w="1132"/>
        <w:gridCol w:w="1277"/>
        <w:gridCol w:w="1136"/>
        <w:gridCol w:w="1267"/>
      </w:tblGrid>
      <w:tr w:rsidR="00220DB6" w:rsidTr="00220DB6">
        <w:trPr>
          <w:trHeight w:val="315"/>
        </w:trPr>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0DB6" w:rsidRDefault="00220DB6">
            <w:pPr>
              <w:jc w:val="center"/>
              <w:rPr>
                <w:b/>
                <w:bCs/>
                <w:color w:val="000000"/>
              </w:rPr>
            </w:pPr>
            <w:r>
              <w:rPr>
                <w:b/>
                <w:bCs/>
                <w:color w:val="000000"/>
              </w:rPr>
              <w:lastRenderedPageBreak/>
              <w:t>Progra-mos</w:t>
            </w:r>
            <w:r>
              <w:rPr>
                <w:b/>
                <w:bCs/>
                <w:color w:val="000000"/>
              </w:rPr>
              <w:br/>
              <w:t>kodas</w:t>
            </w:r>
          </w:p>
        </w:tc>
        <w:tc>
          <w:tcPr>
            <w:tcW w:w="19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0DB6" w:rsidRDefault="00220DB6">
            <w:pPr>
              <w:jc w:val="center"/>
              <w:rPr>
                <w:b/>
                <w:bCs/>
                <w:color w:val="000000"/>
              </w:rPr>
            </w:pPr>
            <w:r>
              <w:rPr>
                <w:b/>
                <w:bCs/>
                <w:color w:val="000000"/>
              </w:rPr>
              <w:t>Savivaldybės veiklos programa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0DB6" w:rsidRDefault="00220DB6">
            <w:pPr>
              <w:jc w:val="center"/>
              <w:rPr>
                <w:b/>
                <w:bCs/>
                <w:color w:val="000000"/>
              </w:rPr>
            </w:pPr>
            <w:r>
              <w:rPr>
                <w:b/>
                <w:bCs/>
                <w:color w:val="000000"/>
              </w:rPr>
              <w:t>2019 m. planas</w:t>
            </w:r>
            <w:r>
              <w:rPr>
                <w:b/>
                <w:bCs/>
                <w:color w:val="000000"/>
              </w:rPr>
              <w:br/>
              <w:t>tūkst. Eur</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0DB6" w:rsidRDefault="00220DB6">
            <w:pPr>
              <w:jc w:val="center"/>
              <w:rPr>
                <w:b/>
                <w:bCs/>
                <w:color w:val="000000"/>
              </w:rPr>
            </w:pPr>
            <w:r>
              <w:rPr>
                <w:b/>
                <w:bCs/>
                <w:color w:val="000000"/>
              </w:rPr>
              <w:t>2020 m. projektas</w:t>
            </w:r>
            <w:r>
              <w:rPr>
                <w:b/>
                <w:bCs/>
                <w:color w:val="000000"/>
              </w:rPr>
              <w:br/>
              <w:t>tūkst. Eur</w:t>
            </w:r>
          </w:p>
        </w:tc>
        <w:tc>
          <w:tcPr>
            <w:tcW w:w="59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0DB6" w:rsidRDefault="00220DB6">
            <w:pPr>
              <w:jc w:val="center"/>
              <w:rPr>
                <w:b/>
                <w:bCs/>
                <w:color w:val="000000"/>
                <w:sz w:val="22"/>
                <w:szCs w:val="22"/>
              </w:rPr>
            </w:pPr>
            <w:r>
              <w:rPr>
                <w:b/>
                <w:bCs/>
                <w:color w:val="000000"/>
                <w:sz w:val="22"/>
                <w:szCs w:val="22"/>
              </w:rPr>
              <w:t xml:space="preserve">Skirtumas tarp 2020 m. ir 2019 m. </w:t>
            </w:r>
          </w:p>
        </w:tc>
        <w:tc>
          <w:tcPr>
            <w:tcW w:w="6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sz w:val="20"/>
                <w:szCs w:val="20"/>
              </w:rPr>
            </w:pPr>
            <w:r>
              <w:rPr>
                <w:color w:val="000000"/>
                <w:sz w:val="20"/>
                <w:szCs w:val="20"/>
              </w:rPr>
              <w:t>2020 m. plano procentai nuo bendros asignavimų sumos</w:t>
            </w:r>
          </w:p>
        </w:tc>
      </w:tr>
      <w:tr w:rsidR="00220DB6" w:rsidTr="00220DB6">
        <w:trPr>
          <w:trHeight w:val="1065"/>
        </w:trPr>
        <w:tc>
          <w:tcPr>
            <w:tcW w:w="513" w:type="pct"/>
            <w:vMerge/>
            <w:tcBorders>
              <w:top w:val="single" w:sz="4" w:space="0" w:color="auto"/>
              <w:left w:val="single" w:sz="4" w:space="0" w:color="auto"/>
              <w:bottom w:val="single" w:sz="4" w:space="0" w:color="auto"/>
              <w:right w:val="single" w:sz="4" w:space="0" w:color="auto"/>
            </w:tcBorders>
            <w:vAlign w:val="center"/>
            <w:hideMark/>
          </w:tcPr>
          <w:p w:rsidR="00220DB6" w:rsidRDefault="00220DB6">
            <w:pPr>
              <w:rPr>
                <w:b/>
                <w:bCs/>
                <w:color w:val="000000"/>
              </w:rPr>
            </w:pPr>
          </w:p>
        </w:tc>
        <w:tc>
          <w:tcPr>
            <w:tcW w:w="1988" w:type="pct"/>
            <w:vMerge/>
            <w:tcBorders>
              <w:top w:val="single" w:sz="4" w:space="0" w:color="auto"/>
              <w:left w:val="single" w:sz="4" w:space="0" w:color="auto"/>
              <w:bottom w:val="single" w:sz="4" w:space="0" w:color="auto"/>
              <w:right w:val="single" w:sz="4" w:space="0" w:color="auto"/>
            </w:tcBorders>
            <w:vAlign w:val="center"/>
            <w:hideMark/>
          </w:tcPr>
          <w:p w:rsidR="00220DB6" w:rsidRDefault="00220DB6">
            <w:pPr>
              <w:rPr>
                <w:b/>
                <w:bCs/>
                <w:color w:val="00000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220DB6" w:rsidRDefault="00220DB6">
            <w:pPr>
              <w:rPr>
                <w:b/>
                <w:bCs/>
                <w:color w:val="00000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220DB6" w:rsidRDefault="00220DB6">
            <w:pPr>
              <w:rPr>
                <w:b/>
                <w:bCs/>
                <w:color w:val="000000"/>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220DB6" w:rsidRDefault="00220DB6">
            <w:pPr>
              <w:rPr>
                <w:b/>
                <w:bCs/>
                <w:color w:val="000000"/>
                <w:sz w:val="22"/>
                <w:szCs w:val="22"/>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20DB6" w:rsidRDefault="00220DB6">
            <w:pPr>
              <w:rPr>
                <w:color w:val="000000"/>
                <w:sz w:val="20"/>
                <w:szCs w:val="20"/>
              </w:rPr>
            </w:pPr>
          </w:p>
        </w:tc>
      </w:tr>
      <w:tr w:rsidR="00220DB6" w:rsidTr="00220DB6">
        <w:trPr>
          <w:trHeight w:val="31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1</w:t>
            </w:r>
          </w:p>
        </w:tc>
        <w:tc>
          <w:tcPr>
            <w:tcW w:w="1988" w:type="pct"/>
            <w:tcBorders>
              <w:top w:val="nil"/>
              <w:left w:val="nil"/>
              <w:bottom w:val="single" w:sz="4" w:space="0" w:color="auto"/>
              <w:right w:val="single" w:sz="4" w:space="0" w:color="auto"/>
            </w:tcBorders>
            <w:shd w:val="clear" w:color="000000" w:fill="FFFFFF"/>
            <w:noWrap/>
            <w:vAlign w:val="bottom"/>
            <w:hideMark/>
          </w:tcPr>
          <w:p w:rsidR="00220DB6" w:rsidRDefault="00220DB6">
            <w:pPr>
              <w:rPr>
                <w:color w:val="000000"/>
              </w:rPr>
            </w:pPr>
            <w:r>
              <w:rPr>
                <w:color w:val="000000"/>
              </w:rPr>
              <w:t>Kaimo plėtros, turizmo ir verslo skatinimo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266,3</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406,8</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140,5</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1,7</w:t>
            </w:r>
          </w:p>
        </w:tc>
      </w:tr>
      <w:tr w:rsidR="00220DB6" w:rsidTr="00220DB6">
        <w:trPr>
          <w:trHeight w:val="31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2</w:t>
            </w:r>
          </w:p>
        </w:tc>
        <w:tc>
          <w:tcPr>
            <w:tcW w:w="1988" w:type="pct"/>
            <w:tcBorders>
              <w:top w:val="nil"/>
              <w:left w:val="nil"/>
              <w:bottom w:val="single" w:sz="4" w:space="0" w:color="auto"/>
              <w:right w:val="single" w:sz="4" w:space="0" w:color="auto"/>
            </w:tcBorders>
            <w:shd w:val="clear" w:color="000000" w:fill="FFFFFF"/>
            <w:noWrap/>
            <w:vAlign w:val="bottom"/>
            <w:hideMark/>
          </w:tcPr>
          <w:p w:rsidR="00220DB6" w:rsidRDefault="00220DB6">
            <w:pPr>
              <w:rPr>
                <w:color w:val="000000"/>
              </w:rPr>
            </w:pPr>
            <w:r>
              <w:rPr>
                <w:color w:val="000000"/>
              </w:rPr>
              <w:t>Valdymo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3720</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4401,3</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681,3</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18,4</w:t>
            </w:r>
          </w:p>
        </w:tc>
      </w:tr>
      <w:tr w:rsidR="00220DB6" w:rsidTr="00220DB6">
        <w:trPr>
          <w:trHeight w:val="630"/>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3</w:t>
            </w:r>
          </w:p>
        </w:tc>
        <w:tc>
          <w:tcPr>
            <w:tcW w:w="1988" w:type="pct"/>
            <w:tcBorders>
              <w:top w:val="nil"/>
              <w:left w:val="nil"/>
              <w:bottom w:val="single" w:sz="4" w:space="0" w:color="auto"/>
              <w:right w:val="single" w:sz="4" w:space="0" w:color="auto"/>
            </w:tcBorders>
            <w:shd w:val="clear" w:color="000000" w:fill="FFFFFF"/>
            <w:vAlign w:val="bottom"/>
            <w:hideMark/>
          </w:tcPr>
          <w:p w:rsidR="00220DB6" w:rsidRDefault="00220DB6">
            <w:pPr>
              <w:rPr>
                <w:color w:val="000000"/>
              </w:rPr>
            </w:pPr>
            <w:r>
              <w:rPr>
                <w:color w:val="000000"/>
              </w:rPr>
              <w:t>Infrastruktūros objektų ir gyvenamosios aplinkos</w:t>
            </w:r>
            <w:r>
              <w:rPr>
                <w:color w:val="000000"/>
              </w:rPr>
              <w:br/>
              <w:t xml:space="preserve"> tvarkymo ir priežiūros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7083,4</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5438,1</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-1645,3</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22,8</w:t>
            </w:r>
          </w:p>
        </w:tc>
      </w:tr>
      <w:tr w:rsidR="00220DB6" w:rsidTr="00220DB6">
        <w:trPr>
          <w:trHeight w:val="31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4</w:t>
            </w:r>
          </w:p>
        </w:tc>
        <w:tc>
          <w:tcPr>
            <w:tcW w:w="1988" w:type="pct"/>
            <w:tcBorders>
              <w:top w:val="nil"/>
              <w:left w:val="nil"/>
              <w:bottom w:val="single" w:sz="4" w:space="0" w:color="auto"/>
              <w:right w:val="single" w:sz="4" w:space="0" w:color="auto"/>
            </w:tcBorders>
            <w:shd w:val="clear" w:color="000000" w:fill="FFFFFF"/>
            <w:noWrap/>
            <w:vAlign w:val="bottom"/>
            <w:hideMark/>
          </w:tcPr>
          <w:p w:rsidR="00220DB6" w:rsidRDefault="00220DB6">
            <w:pPr>
              <w:rPr>
                <w:color w:val="000000"/>
              </w:rPr>
            </w:pPr>
            <w:r>
              <w:rPr>
                <w:color w:val="000000"/>
              </w:rPr>
              <w:t>Aplinkos apsaugos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86</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193,1</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107,1</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0,8</w:t>
            </w:r>
          </w:p>
        </w:tc>
      </w:tr>
      <w:tr w:rsidR="00220DB6" w:rsidTr="00220DB6">
        <w:trPr>
          <w:trHeight w:val="630"/>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5</w:t>
            </w:r>
          </w:p>
        </w:tc>
        <w:tc>
          <w:tcPr>
            <w:tcW w:w="1988" w:type="pct"/>
            <w:tcBorders>
              <w:top w:val="nil"/>
              <w:left w:val="nil"/>
              <w:bottom w:val="single" w:sz="4" w:space="0" w:color="auto"/>
              <w:right w:val="single" w:sz="4" w:space="0" w:color="auto"/>
            </w:tcBorders>
            <w:shd w:val="clear" w:color="000000" w:fill="FFFFFF"/>
            <w:vAlign w:val="bottom"/>
            <w:hideMark/>
          </w:tcPr>
          <w:p w:rsidR="00220DB6" w:rsidRDefault="00220DB6">
            <w:pPr>
              <w:rPr>
                <w:color w:val="000000"/>
              </w:rPr>
            </w:pPr>
            <w:r>
              <w:rPr>
                <w:color w:val="000000"/>
              </w:rPr>
              <w:t xml:space="preserve">Kultūros ir jaunimo politikos plėtros ir </w:t>
            </w:r>
            <w:r>
              <w:rPr>
                <w:color w:val="000000"/>
              </w:rPr>
              <w:br/>
              <w:t>bendruomeniškumo skatinimo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1268,9</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1394,1</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125,2</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5,8</w:t>
            </w:r>
          </w:p>
        </w:tc>
      </w:tr>
      <w:tr w:rsidR="00220DB6" w:rsidTr="00220DB6">
        <w:trPr>
          <w:trHeight w:val="31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6</w:t>
            </w:r>
          </w:p>
        </w:tc>
        <w:tc>
          <w:tcPr>
            <w:tcW w:w="1988" w:type="pct"/>
            <w:tcBorders>
              <w:top w:val="nil"/>
              <w:left w:val="nil"/>
              <w:bottom w:val="single" w:sz="4" w:space="0" w:color="auto"/>
              <w:right w:val="single" w:sz="4" w:space="0" w:color="auto"/>
            </w:tcBorders>
            <w:shd w:val="clear" w:color="000000" w:fill="FFFFFF"/>
            <w:noWrap/>
            <w:vAlign w:val="bottom"/>
            <w:hideMark/>
          </w:tcPr>
          <w:p w:rsidR="00220DB6" w:rsidRDefault="00220DB6">
            <w:pPr>
              <w:rPr>
                <w:color w:val="000000"/>
              </w:rPr>
            </w:pPr>
            <w:r>
              <w:rPr>
                <w:color w:val="000000"/>
              </w:rPr>
              <w:t>Ugdymo proceso užtikrinimo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7355,6</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8079,9</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724,3</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33,9</w:t>
            </w:r>
          </w:p>
        </w:tc>
      </w:tr>
      <w:tr w:rsidR="00220DB6" w:rsidTr="00220DB6">
        <w:trPr>
          <w:trHeight w:val="31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7</w:t>
            </w:r>
          </w:p>
        </w:tc>
        <w:tc>
          <w:tcPr>
            <w:tcW w:w="1988" w:type="pct"/>
            <w:tcBorders>
              <w:top w:val="nil"/>
              <w:left w:val="nil"/>
              <w:bottom w:val="single" w:sz="4" w:space="0" w:color="auto"/>
              <w:right w:val="single" w:sz="4" w:space="0" w:color="auto"/>
            </w:tcBorders>
            <w:shd w:val="clear" w:color="000000" w:fill="FFFFFF"/>
            <w:vAlign w:val="bottom"/>
            <w:hideMark/>
          </w:tcPr>
          <w:p w:rsidR="00220DB6" w:rsidRDefault="00220DB6">
            <w:pPr>
              <w:rPr>
                <w:color w:val="000000"/>
              </w:rPr>
            </w:pPr>
            <w:r>
              <w:rPr>
                <w:color w:val="000000"/>
              </w:rPr>
              <w:t>Socialinės atskirties mažinimo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3428,4</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3595</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166,6</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15,1</w:t>
            </w:r>
          </w:p>
        </w:tc>
      </w:tr>
      <w:tr w:rsidR="00220DB6" w:rsidTr="00220DB6">
        <w:trPr>
          <w:trHeight w:val="31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jc w:val="center"/>
              <w:rPr>
                <w:color w:val="000000"/>
              </w:rPr>
            </w:pPr>
            <w:r>
              <w:rPr>
                <w:color w:val="000000"/>
              </w:rPr>
              <w:t>8</w:t>
            </w:r>
          </w:p>
        </w:tc>
        <w:tc>
          <w:tcPr>
            <w:tcW w:w="1988" w:type="pct"/>
            <w:tcBorders>
              <w:top w:val="nil"/>
              <w:left w:val="nil"/>
              <w:bottom w:val="single" w:sz="4" w:space="0" w:color="auto"/>
              <w:right w:val="single" w:sz="4" w:space="0" w:color="auto"/>
            </w:tcBorders>
            <w:shd w:val="clear" w:color="000000" w:fill="FFFFFF"/>
            <w:noWrap/>
            <w:vAlign w:val="bottom"/>
            <w:hideMark/>
          </w:tcPr>
          <w:p w:rsidR="00220DB6" w:rsidRDefault="00220DB6">
            <w:pPr>
              <w:rPr>
                <w:color w:val="000000"/>
              </w:rPr>
            </w:pPr>
            <w:r>
              <w:rPr>
                <w:color w:val="000000"/>
              </w:rPr>
              <w:t>Sveikatos apsaugos programa</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364,1</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361,7</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-2,4</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1,5</w:t>
            </w:r>
          </w:p>
        </w:tc>
      </w:tr>
      <w:tr w:rsidR="00220DB6" w:rsidTr="00220DB6">
        <w:trPr>
          <w:trHeight w:val="315"/>
        </w:trPr>
        <w:tc>
          <w:tcPr>
            <w:tcW w:w="513" w:type="pct"/>
            <w:tcBorders>
              <w:top w:val="nil"/>
              <w:left w:val="single" w:sz="4" w:space="0" w:color="auto"/>
              <w:bottom w:val="single" w:sz="4" w:space="0" w:color="auto"/>
              <w:right w:val="single" w:sz="4" w:space="0" w:color="auto"/>
            </w:tcBorders>
            <w:shd w:val="clear" w:color="000000" w:fill="FFFFFF"/>
            <w:vAlign w:val="center"/>
            <w:hideMark/>
          </w:tcPr>
          <w:p w:rsidR="00220DB6" w:rsidRDefault="00220DB6">
            <w:pPr>
              <w:rPr>
                <w:color w:val="000000"/>
              </w:rPr>
            </w:pPr>
            <w:r>
              <w:rPr>
                <w:color w:val="000000"/>
              </w:rPr>
              <w:t> </w:t>
            </w:r>
          </w:p>
        </w:tc>
        <w:tc>
          <w:tcPr>
            <w:tcW w:w="1988" w:type="pct"/>
            <w:tcBorders>
              <w:top w:val="nil"/>
              <w:left w:val="nil"/>
              <w:bottom w:val="single" w:sz="4" w:space="0" w:color="auto"/>
              <w:right w:val="single" w:sz="4" w:space="0" w:color="auto"/>
            </w:tcBorders>
            <w:shd w:val="clear" w:color="000000" w:fill="FFFFFF"/>
            <w:vAlign w:val="center"/>
            <w:hideMark/>
          </w:tcPr>
          <w:p w:rsidR="00220DB6" w:rsidRDefault="00220DB6">
            <w:pPr>
              <w:rPr>
                <w:b/>
                <w:bCs/>
                <w:color w:val="000000"/>
              </w:rPr>
            </w:pPr>
            <w:r>
              <w:rPr>
                <w:b/>
                <w:bCs/>
                <w:color w:val="000000"/>
              </w:rPr>
              <w:t>Iš viso</w:t>
            </w:r>
          </w:p>
        </w:tc>
        <w:tc>
          <w:tcPr>
            <w:tcW w:w="58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b/>
                <w:bCs/>
                <w:color w:val="000000"/>
              </w:rPr>
            </w:pPr>
            <w:r>
              <w:rPr>
                <w:b/>
                <w:bCs/>
                <w:color w:val="000000"/>
              </w:rPr>
              <w:t>23572,7</w:t>
            </w:r>
          </w:p>
        </w:tc>
        <w:tc>
          <w:tcPr>
            <w:tcW w:w="663"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b/>
                <w:bCs/>
                <w:color w:val="000000"/>
              </w:rPr>
            </w:pPr>
            <w:r>
              <w:rPr>
                <w:b/>
                <w:bCs/>
                <w:color w:val="000000"/>
              </w:rPr>
              <w:t>23870</w:t>
            </w:r>
          </w:p>
        </w:tc>
        <w:tc>
          <w:tcPr>
            <w:tcW w:w="590"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b/>
                <w:bCs/>
                <w:color w:val="000000"/>
              </w:rPr>
            </w:pPr>
            <w:r>
              <w:rPr>
                <w:b/>
                <w:bCs/>
                <w:color w:val="000000"/>
              </w:rPr>
              <w:t>297,3</w:t>
            </w:r>
          </w:p>
        </w:tc>
        <w:tc>
          <w:tcPr>
            <w:tcW w:w="658" w:type="pct"/>
            <w:tcBorders>
              <w:top w:val="nil"/>
              <w:left w:val="nil"/>
              <w:bottom w:val="single" w:sz="4" w:space="0" w:color="auto"/>
              <w:right w:val="single" w:sz="4" w:space="0" w:color="auto"/>
            </w:tcBorders>
            <w:shd w:val="clear" w:color="000000" w:fill="FFFFFF"/>
            <w:noWrap/>
            <w:vAlign w:val="center"/>
            <w:hideMark/>
          </w:tcPr>
          <w:p w:rsidR="00220DB6" w:rsidRDefault="00220DB6">
            <w:pPr>
              <w:jc w:val="right"/>
              <w:rPr>
                <w:color w:val="000000"/>
              </w:rPr>
            </w:pPr>
            <w:r>
              <w:rPr>
                <w:color w:val="000000"/>
              </w:rPr>
              <w:t>100</w:t>
            </w:r>
          </w:p>
        </w:tc>
      </w:tr>
    </w:tbl>
    <w:p w:rsidR="00220DB6" w:rsidRDefault="00220DB6" w:rsidP="00220DB6">
      <w:pPr>
        <w:spacing w:line="360" w:lineRule="auto"/>
        <w:jc w:val="both"/>
      </w:pPr>
    </w:p>
    <w:p w:rsidR="007C60FE" w:rsidRDefault="00E37087" w:rsidP="0063749B">
      <w:pPr>
        <w:spacing w:line="360" w:lineRule="auto"/>
        <w:jc w:val="both"/>
      </w:pPr>
      <w:r>
        <w:tab/>
      </w:r>
      <w:r w:rsidR="007C60FE" w:rsidRPr="00B600BD">
        <w:t xml:space="preserve"> </w:t>
      </w:r>
      <w:r w:rsidR="00FB5B48">
        <w:t>Savivaldybės 20</w:t>
      </w:r>
      <w:r w:rsidR="009F4E73">
        <w:t>20</w:t>
      </w:r>
      <w:r w:rsidR="00FB5B48">
        <w:t xml:space="preserve"> metų biudžeto asignavimų su tikslinėmis ir paskolų  lėšomis  paskirstymas pagal veiklos programas  pateikiamas diagramoje:</w:t>
      </w:r>
    </w:p>
    <w:p w:rsidR="00220DB6" w:rsidRDefault="00220DB6" w:rsidP="0063749B">
      <w:pPr>
        <w:spacing w:line="360" w:lineRule="auto"/>
        <w:jc w:val="both"/>
      </w:pPr>
      <w:r>
        <w:rPr>
          <w:noProof/>
        </w:rPr>
        <w:drawing>
          <wp:inline distT="0" distB="0" distL="0" distR="0" wp14:anchorId="040AA9FC" wp14:editId="46377DEA">
            <wp:extent cx="6029325" cy="4257675"/>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1034" w:rsidRDefault="00E61034" w:rsidP="00411B73">
      <w:pPr>
        <w:spacing w:line="360" w:lineRule="auto"/>
      </w:pPr>
    </w:p>
    <w:p w:rsidR="009C2630" w:rsidRDefault="00FF6509" w:rsidP="0091445A">
      <w:pPr>
        <w:spacing w:line="360" w:lineRule="auto"/>
      </w:pPr>
      <w:r>
        <w:tab/>
      </w:r>
      <w:r w:rsidR="0091445A">
        <w:t xml:space="preserve">Didžiausia dalis nuo visų savivaldybės pajamų skiriama ugdymo proceso užtikrinimo programai- </w:t>
      </w:r>
      <w:r w:rsidR="00D86541">
        <w:t>34</w:t>
      </w:r>
      <w:r w:rsidR="0091445A">
        <w:t xml:space="preserve"> procento. </w:t>
      </w:r>
    </w:p>
    <w:p w:rsidR="00F23282" w:rsidRDefault="00C7683D" w:rsidP="00F23282">
      <w:pPr>
        <w:spacing w:line="360" w:lineRule="auto"/>
        <w:jc w:val="both"/>
      </w:pPr>
      <w:r>
        <w:t xml:space="preserve">            </w:t>
      </w:r>
      <w:r w:rsidR="00F23282">
        <w:t>20</w:t>
      </w:r>
      <w:r w:rsidR="004B2781">
        <w:t xml:space="preserve">20 m. padidėjo mokymo lėšos, nes didinami </w:t>
      </w:r>
      <w:r w:rsidR="00384095">
        <w:t>mokytojų,</w:t>
      </w:r>
      <w:r w:rsidR="00651DBA">
        <w:t xml:space="preserve"> padidėjo švietimo pagalbos specialistų (spec. pedagogų, psichologų) koeficientai. </w:t>
      </w:r>
      <w:r w:rsidR="00384095">
        <w:t>Nuo 2020 m. rugsėjo 1 d. didės mokytojų</w:t>
      </w:r>
      <w:r w:rsidR="00384095" w:rsidRPr="00384095">
        <w:t xml:space="preserve"> </w:t>
      </w:r>
      <w:r w:rsidR="00384095">
        <w:t>dirbančių pagal ikimokyklinio ir priešmokyklinio ugdymo programas atlyginimai.</w:t>
      </w:r>
    </w:p>
    <w:p w:rsidR="00C7683D" w:rsidRDefault="00C7683D" w:rsidP="00C7683D">
      <w:pPr>
        <w:spacing w:line="360" w:lineRule="auto"/>
        <w:jc w:val="both"/>
      </w:pPr>
      <w:r>
        <w:t xml:space="preserve">            Savivaldybė kompensuodama mokymo lėšų trūkumą, skiria papildomą finansavimą</w:t>
      </w:r>
      <w:r w:rsidR="00094144">
        <w:t xml:space="preserve"> mokykloms </w:t>
      </w:r>
      <w:r>
        <w:t xml:space="preserve"> iš savivaldybės</w:t>
      </w:r>
      <w:r w:rsidR="008D2EE7">
        <w:t xml:space="preserve"> lėšų </w:t>
      </w:r>
      <w:r>
        <w:t xml:space="preserve"> švietimo pagalbos specialistų išlaikymui, ugdymo procesui organizuo</w:t>
      </w:r>
      <w:r w:rsidR="008D2EE7">
        <w:t xml:space="preserve">ti – tai sudaro </w:t>
      </w:r>
      <w:r w:rsidR="00384095">
        <w:t>100</w:t>
      </w:r>
      <w:r w:rsidR="008D2EE7">
        <w:t xml:space="preserve"> tūkst. Eur.</w:t>
      </w:r>
      <w:r>
        <w:t xml:space="preserve"> </w:t>
      </w:r>
      <w:r w:rsidR="008D2EE7">
        <w:t xml:space="preserve">Daugiausia </w:t>
      </w:r>
      <w:r>
        <w:t xml:space="preserve">savivaldybės lėšų skiriama Molėtų r. Švietimo pagalbos tarnybos,  </w:t>
      </w:r>
      <w:r>
        <w:rPr>
          <w:color w:val="000000"/>
          <w:sz w:val="22"/>
          <w:szCs w:val="22"/>
        </w:rPr>
        <w:t xml:space="preserve">Molėtų menų mokyklos ir </w:t>
      </w:r>
      <w:r w:rsidRPr="00C7683D">
        <w:rPr>
          <w:color w:val="000000"/>
          <w:sz w:val="22"/>
          <w:szCs w:val="22"/>
        </w:rPr>
        <w:t xml:space="preserve"> </w:t>
      </w:r>
      <w:r>
        <w:rPr>
          <w:color w:val="000000"/>
          <w:sz w:val="22"/>
          <w:szCs w:val="22"/>
        </w:rPr>
        <w:t>Molėtų r. kūno kultūros ir sporto centrui</w:t>
      </w:r>
      <w:r w:rsidRPr="00C7683D">
        <w:t xml:space="preserve"> </w:t>
      </w:r>
      <w:r w:rsidR="008D2EE7">
        <w:t>išlaikymui, nes finansavimas iš mokymo lėšų šioms įstaigoms sumažėjo</w:t>
      </w:r>
      <w:r w:rsidR="00384095">
        <w:t>.</w:t>
      </w:r>
      <w:r w:rsidR="008D2EE7">
        <w:t xml:space="preserve"> </w:t>
      </w:r>
    </w:p>
    <w:p w:rsidR="007211DF" w:rsidRPr="00DE5777" w:rsidRDefault="00A456E1" w:rsidP="00094144">
      <w:pPr>
        <w:autoSpaceDE w:val="0"/>
        <w:autoSpaceDN w:val="0"/>
        <w:adjustRightInd w:val="0"/>
        <w:spacing w:line="360" w:lineRule="auto"/>
        <w:ind w:firstLine="720"/>
        <w:jc w:val="both"/>
      </w:pPr>
      <w:r w:rsidRPr="00DE5777">
        <w:t>Molėtų rajono ugdymo įstaigoms skiriamas finansavimas, mokinių skaičius ir jų pokytis pateikiamas aiškinamojo rašto 1 priede.</w:t>
      </w:r>
    </w:p>
    <w:p w:rsidR="00DD1362" w:rsidRPr="00DE5777" w:rsidRDefault="00DD1362" w:rsidP="00651DBA">
      <w:pPr>
        <w:autoSpaceDE w:val="0"/>
        <w:autoSpaceDN w:val="0"/>
        <w:adjustRightInd w:val="0"/>
        <w:spacing w:line="360" w:lineRule="auto"/>
        <w:ind w:firstLine="720"/>
        <w:jc w:val="both"/>
      </w:pPr>
      <w:r>
        <w:t xml:space="preserve">Į infrastruktūros objektų ir gyvenamosios aplinkos ir priežiūros programą įeina savivaldybės finansuojami statybos darbai, Europos Sąjungos lėšomis finansuojami projektai ir programos, tikslinės lėšos savivaldybės įgyvendinamiems projektams, seniūnijoms skiriamos lėšos, savivaldybės subsidija UAB Molėtų autobusų parkui už transporto paslaugų patiriamus nuostolius ir kitos su infrastruktūra ir gyvenamąja aplinka susijusios išlaidos. Ši programa sudaro </w:t>
      </w:r>
      <w:r w:rsidR="00D86541">
        <w:t>22,8</w:t>
      </w:r>
      <w:r w:rsidR="00384095">
        <w:t xml:space="preserve"> </w:t>
      </w:r>
      <w:r w:rsidR="00715C8A">
        <w:t>procentus</w:t>
      </w:r>
      <w:r w:rsidR="004F25D7">
        <w:t xml:space="preserve"> visų paskirstytų asignavimų</w:t>
      </w:r>
      <w:r w:rsidR="006B2289">
        <w:t xml:space="preserve"> (</w:t>
      </w:r>
      <w:r w:rsidR="00D86541">
        <w:t>5438,1</w:t>
      </w:r>
      <w:r w:rsidR="00E15380">
        <w:t xml:space="preserve"> </w:t>
      </w:r>
      <w:r w:rsidR="006B2289">
        <w:t>tūkst. Eur)</w:t>
      </w:r>
      <w:r w:rsidR="004F25D7">
        <w:t xml:space="preserve">. </w:t>
      </w:r>
      <w:r w:rsidR="00983011" w:rsidRPr="00DE5777">
        <w:t>20</w:t>
      </w:r>
      <w:r w:rsidR="00E15380">
        <w:t>20</w:t>
      </w:r>
      <w:r w:rsidR="00983011" w:rsidRPr="00DE5777">
        <w:t xml:space="preserve"> metais savivaldybės vykdomi projektai ir Europos Sąjungos finansinės paramos, valstybės dotacijų  ir savivaldybės lėšų dalis tenkanti 20</w:t>
      </w:r>
      <w:r w:rsidR="00E15380">
        <w:t>20</w:t>
      </w:r>
      <w:r w:rsidR="00983011" w:rsidRPr="00DE5777">
        <w:t xml:space="preserve"> metam</w:t>
      </w:r>
      <w:r w:rsidR="007211DF" w:rsidRPr="00DE5777">
        <w:t>s pateikiami aiškinamojo rašto 2</w:t>
      </w:r>
      <w:r w:rsidR="00983011" w:rsidRPr="00DE5777">
        <w:t xml:space="preserve"> priede.</w:t>
      </w:r>
    </w:p>
    <w:p w:rsidR="00DD1362" w:rsidRDefault="004F25D7" w:rsidP="00651DBA">
      <w:pPr>
        <w:autoSpaceDE w:val="0"/>
        <w:autoSpaceDN w:val="0"/>
        <w:adjustRightInd w:val="0"/>
        <w:spacing w:line="360" w:lineRule="auto"/>
        <w:ind w:firstLine="720"/>
        <w:jc w:val="both"/>
      </w:pPr>
      <w:r>
        <w:t>Pagal valdymo programą finansuojama savivaldybės administracijos veikla, išlaikoma Molėtų rajono ugniagesių tarnyba ir Molėtų r paslaugų centras, apmokamos palūkanos ir grąžinamos paskolos. Valdymo</w:t>
      </w:r>
      <w:r w:rsidR="006B2289">
        <w:t xml:space="preserve"> programa sudaro </w:t>
      </w:r>
      <w:r w:rsidR="00D86541">
        <w:t>18,4</w:t>
      </w:r>
      <w:r w:rsidR="006B2289">
        <w:t xml:space="preserve"> procento (</w:t>
      </w:r>
      <w:r w:rsidR="00E15380">
        <w:t>4401,3</w:t>
      </w:r>
      <w:r w:rsidR="006B2289">
        <w:t xml:space="preserve"> tūkst. Eur)</w:t>
      </w:r>
    </w:p>
    <w:p w:rsidR="004F25D7" w:rsidRDefault="004F25D7" w:rsidP="00651DBA">
      <w:pPr>
        <w:autoSpaceDE w:val="0"/>
        <w:autoSpaceDN w:val="0"/>
        <w:adjustRightInd w:val="0"/>
        <w:spacing w:line="360" w:lineRule="auto"/>
        <w:ind w:firstLine="720"/>
        <w:jc w:val="both"/>
      </w:pPr>
      <w:r>
        <w:t xml:space="preserve">Socialinės atskirties mažinimo programai skiriama </w:t>
      </w:r>
      <w:r w:rsidR="00D86541">
        <w:t>15,1</w:t>
      </w:r>
      <w:r w:rsidR="006B2289">
        <w:t xml:space="preserve"> procento nuo visų pajamų, t.y.  </w:t>
      </w:r>
      <w:r w:rsidR="00E15380">
        <w:t>3595</w:t>
      </w:r>
      <w:r w:rsidR="003E75F5">
        <w:t xml:space="preserve"> </w:t>
      </w:r>
      <w:r w:rsidR="006B2289">
        <w:t>tūkst. Eur.</w:t>
      </w:r>
      <w:r>
        <w:t xml:space="preserve"> Socialinės išmokos ir kompensacijos, socialinė parama mokiniams, socialinės paslaugos, socialinių programų vykdymas, gyvenamųjų patalpų pritaikymas neįgaliesiems, socialinių būstų remontas ir įsigijimas</w:t>
      </w:r>
      <w:r w:rsidR="006B2289">
        <w:t>, jaunų šeimų įsikūrimo išlaidos apmokamos iš socialinės atskirties programos. Skiriamas finansavimas Molėtų rajono Alantos senelių globos namams, Molėtų socialinės paramos centrui ir Molėtų vaikų savarankiško gyvenimo namams. 20</w:t>
      </w:r>
      <w:r w:rsidR="00E15380">
        <w:t>20</w:t>
      </w:r>
      <w:r w:rsidR="006B2289">
        <w:t xml:space="preserve"> m. 20 procentų didinami socialinių paslaugų srities darbuotojų minimalieji pareiginės pastoviosios dalies koeficientai, atsižvelgiama į kvalifikacinę kategoriją. </w:t>
      </w:r>
    </w:p>
    <w:p w:rsidR="006B2289" w:rsidRDefault="00FA0C11" w:rsidP="00651DBA">
      <w:pPr>
        <w:autoSpaceDE w:val="0"/>
        <w:autoSpaceDN w:val="0"/>
        <w:adjustRightInd w:val="0"/>
        <w:spacing w:line="360" w:lineRule="auto"/>
        <w:ind w:firstLine="720"/>
        <w:jc w:val="both"/>
      </w:pPr>
      <w:r>
        <w:rPr>
          <w:color w:val="000000"/>
        </w:rPr>
        <w:t xml:space="preserve">Kultūros ir jaunimo politikos plėtros ir bendruomeniškumo skatinimo programa </w:t>
      </w:r>
      <w:r w:rsidR="00996191">
        <w:rPr>
          <w:color w:val="000000"/>
        </w:rPr>
        <w:t>(</w:t>
      </w:r>
      <w:r w:rsidR="00E15380">
        <w:rPr>
          <w:color w:val="000000"/>
        </w:rPr>
        <w:t>1394,1</w:t>
      </w:r>
      <w:r w:rsidR="00BA7257">
        <w:rPr>
          <w:color w:val="000000"/>
        </w:rPr>
        <w:t xml:space="preserve"> tūkst. Eur) </w:t>
      </w:r>
      <w:r>
        <w:rPr>
          <w:color w:val="000000"/>
        </w:rPr>
        <w:t xml:space="preserve">remiamos jaunimo užimtumo programos, nevyriausybinių organizacijų veikla, architektūrinių paveldo objektų projektai ir kitos kultūros programos. Molėtų kultūros centras, Molėtų krašto </w:t>
      </w:r>
      <w:r>
        <w:rPr>
          <w:color w:val="000000"/>
        </w:rPr>
        <w:lastRenderedPageBreak/>
        <w:t xml:space="preserve">muziejus ir Molėtų rajono savivaldybės viešoji biblioteka išlaikomos pagal šią programą. 2018 m. spalio 4 d. </w:t>
      </w:r>
      <w:r w:rsidR="00996191">
        <w:rPr>
          <w:color w:val="000000"/>
        </w:rPr>
        <w:t xml:space="preserve">pasirašytas Memorandumas </w:t>
      </w:r>
      <w:r>
        <w:rPr>
          <w:color w:val="000000"/>
        </w:rPr>
        <w:t>dėl bendradarbiavimo siekiant didinti savivaldybių kultūros įstaigų kultūros ir meno darbuotojų darbo apmokėjimą</w:t>
      </w:r>
      <w:r w:rsidR="00996191">
        <w:rPr>
          <w:color w:val="000000"/>
        </w:rPr>
        <w:t xml:space="preserve">. </w:t>
      </w:r>
      <w:r w:rsidR="006259A0">
        <w:rPr>
          <w:color w:val="000000"/>
        </w:rPr>
        <w:t>2020 m. kultūros darbuotojams 10 proc. didinamas darbo užmokestis: 7 proc. kultūros darbuotojų darbo užmokestis didinamas valstybės lėšomis (skirta 69 tūkst. Eur) ir 3 proc. didinama savivaldybės lėšomis (skirta 27 tūkst. Eur).</w:t>
      </w:r>
    </w:p>
    <w:p w:rsidR="009D44C7" w:rsidRDefault="00BA7257" w:rsidP="00651DBA">
      <w:pPr>
        <w:autoSpaceDE w:val="0"/>
        <w:autoSpaceDN w:val="0"/>
        <w:adjustRightInd w:val="0"/>
        <w:spacing w:line="360" w:lineRule="auto"/>
        <w:ind w:firstLine="720"/>
        <w:jc w:val="both"/>
        <w:rPr>
          <w:color w:val="000000"/>
        </w:rPr>
      </w:pPr>
      <w:r>
        <w:rPr>
          <w:color w:val="000000"/>
        </w:rPr>
        <w:t>Pagal kaimo plėtros, turizmo ir verslo skatinimo programą  (</w:t>
      </w:r>
      <w:r w:rsidR="006259A0">
        <w:rPr>
          <w:color w:val="000000"/>
        </w:rPr>
        <w:t>406,8</w:t>
      </w:r>
      <w:r>
        <w:rPr>
          <w:color w:val="000000"/>
        </w:rPr>
        <w:t xml:space="preserve"> tūkst. Eur) finansuojamos smulkaus verslo, VŠĮ Molėtų turizmo ir verslo informavimo  centro  programos.  LR žemės ūkio ministerijos skirtos lėšos melioracijai. </w:t>
      </w:r>
    </w:p>
    <w:p w:rsidR="00E37087" w:rsidRDefault="00E37087" w:rsidP="00E37087">
      <w:pPr>
        <w:spacing w:line="360" w:lineRule="auto"/>
        <w:ind w:firstLine="720"/>
        <w:jc w:val="both"/>
        <w:rPr>
          <w:color w:val="000000"/>
        </w:rPr>
      </w:pPr>
      <w:r>
        <w:t>Pagal s</w:t>
      </w:r>
      <w:r>
        <w:rPr>
          <w:color w:val="000000"/>
        </w:rPr>
        <w:t>veikatos apsaugos programą (</w:t>
      </w:r>
      <w:r w:rsidR="006259A0">
        <w:rPr>
          <w:color w:val="000000"/>
        </w:rPr>
        <w:t>3</w:t>
      </w:r>
      <w:r w:rsidR="002A5A81">
        <w:rPr>
          <w:color w:val="000000"/>
        </w:rPr>
        <w:t>6</w:t>
      </w:r>
      <w:r w:rsidR="006259A0">
        <w:rPr>
          <w:color w:val="000000"/>
        </w:rPr>
        <w:t>1,7</w:t>
      </w:r>
      <w:r>
        <w:rPr>
          <w:color w:val="000000"/>
        </w:rPr>
        <w:t xml:space="preserve"> tūkst. Eur) finansuojamos valstybinės (savivaldybei perduotos) funkcijos: sveikos gyvensenos plėtojimas ir mokinių sveikatos įgūdžių stiprinimas ugdymo įstaigose, sveikos gyvensenos  įgūdžių stiprinimas bendruomenėse bei visuomenės sveikatos stebėsenos vykdymas savivaldybėje, s</w:t>
      </w:r>
      <w:r w:rsidRPr="00E37087">
        <w:rPr>
          <w:color w:val="000000"/>
        </w:rPr>
        <w:t>avižudybių prevencijos prioritetų nustatymo užtikrinimas</w:t>
      </w:r>
      <w:r>
        <w:rPr>
          <w:color w:val="000000"/>
        </w:rPr>
        <w:t>, neveiksnių asmenų būklės peržiūrėjimo užtikrinimas.</w:t>
      </w:r>
    </w:p>
    <w:p w:rsidR="00E37087" w:rsidRDefault="00E37087" w:rsidP="00E37087">
      <w:pPr>
        <w:spacing w:line="360" w:lineRule="auto"/>
        <w:ind w:firstLine="720"/>
        <w:jc w:val="both"/>
      </w:pPr>
      <w:r>
        <w:rPr>
          <w:color w:val="000000"/>
        </w:rPr>
        <w:t>Aplinkos apsaugos programa (</w:t>
      </w:r>
      <w:r w:rsidR="006259A0">
        <w:rPr>
          <w:color w:val="000000"/>
        </w:rPr>
        <w:t>193,1</w:t>
      </w:r>
      <w:r>
        <w:rPr>
          <w:color w:val="000000"/>
        </w:rPr>
        <w:t xml:space="preserve"> tūkst. Eur) finansuojama pagal Molėtų rajono savivaldybės tarybos einamiesiems metams patvirtintą aplinkos apsaugos rėmimo specialiąją programą. </w:t>
      </w:r>
      <w:r w:rsidRPr="000D6144">
        <w:t>Aplinkos apsaugos rėmimo specialiajai programai</w:t>
      </w:r>
      <w:r w:rsidRPr="00B600BD">
        <w:t xml:space="preserve"> </w:t>
      </w:r>
      <w:r>
        <w:t>skiriamos visos</w:t>
      </w:r>
      <w:r w:rsidRPr="00B600BD">
        <w:t xml:space="preserve"> planuojam</w:t>
      </w:r>
      <w:r>
        <w:t>os 20</w:t>
      </w:r>
      <w:r w:rsidR="006259A0">
        <w:t>20</w:t>
      </w:r>
      <w:r>
        <w:t xml:space="preserve"> m. pajamos iš mokesčių</w:t>
      </w:r>
      <w:r w:rsidRPr="00B600BD">
        <w:t xml:space="preserve"> už aplinkos t</w:t>
      </w:r>
      <w:r>
        <w:t>eršimą, už medžiojamus gyvūnus</w:t>
      </w:r>
      <w:r w:rsidRPr="00B600BD">
        <w:t xml:space="preserve"> ir kitus gamtos išteklius</w:t>
      </w:r>
      <w:r>
        <w:t xml:space="preserve">- </w:t>
      </w:r>
      <w:r w:rsidR="006259A0">
        <w:t>50</w:t>
      </w:r>
      <w:r>
        <w:t xml:space="preserve"> tūkst. Eur</w:t>
      </w:r>
      <w:r w:rsidRPr="00B600BD">
        <w:t xml:space="preserve">.  </w:t>
      </w:r>
    </w:p>
    <w:p w:rsidR="00E61034" w:rsidRDefault="00E61034" w:rsidP="00E37087">
      <w:pPr>
        <w:spacing w:line="360" w:lineRule="auto"/>
        <w:ind w:firstLine="720"/>
        <w:jc w:val="both"/>
      </w:pPr>
      <w:r>
        <w:t>20</w:t>
      </w:r>
      <w:r w:rsidR="004F4158">
        <w:t>20</w:t>
      </w:r>
      <w:r>
        <w:t xml:space="preserve"> m. savivaldybės </w:t>
      </w:r>
      <w:r w:rsidR="0063749B">
        <w:t>išlaidų</w:t>
      </w:r>
      <w:r>
        <w:t xml:space="preserve"> palyginimas tarp 20</w:t>
      </w:r>
      <w:r w:rsidR="004F4158">
        <w:t>20</w:t>
      </w:r>
      <w:r>
        <w:t xml:space="preserve"> ir 201</w:t>
      </w:r>
      <w:r w:rsidR="004F4158">
        <w:t xml:space="preserve">9 </w:t>
      </w:r>
      <w:r>
        <w:t>metų pateikiamas diagramoje:</w:t>
      </w:r>
    </w:p>
    <w:p w:rsidR="002823E5" w:rsidRPr="00E37087" w:rsidRDefault="002A5A81" w:rsidP="002823E5">
      <w:pPr>
        <w:spacing w:line="360" w:lineRule="auto"/>
        <w:jc w:val="both"/>
      </w:pPr>
      <w:r>
        <w:rPr>
          <w:noProof/>
        </w:rPr>
        <w:drawing>
          <wp:inline distT="0" distB="0" distL="0" distR="0" wp14:anchorId="04E0E763" wp14:editId="28B4E702">
            <wp:extent cx="6120130" cy="4124325"/>
            <wp:effectExtent l="0" t="0" r="13970"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2253" w:rsidRDefault="00BA7257" w:rsidP="00BA7257">
      <w:pPr>
        <w:spacing w:line="360" w:lineRule="auto"/>
        <w:jc w:val="both"/>
      </w:pPr>
      <w:r>
        <w:lastRenderedPageBreak/>
        <w:t xml:space="preserve">            </w:t>
      </w:r>
      <w:r w:rsidR="00790800">
        <w:t>Savivaldybės 20</w:t>
      </w:r>
      <w:r w:rsidR="006259A0">
        <w:t>20</w:t>
      </w:r>
      <w:r w:rsidR="007374AC">
        <w:t xml:space="preserve"> m</w:t>
      </w:r>
      <w:r w:rsidR="00B36EF4">
        <w:t>.</w:t>
      </w:r>
      <w:r w:rsidR="007374AC">
        <w:t xml:space="preserve"> biudžeto projektas paskelbtas savivaldy</w:t>
      </w:r>
      <w:r w:rsidR="00790800">
        <w:t>bės interneto svetainėje 20</w:t>
      </w:r>
      <w:r w:rsidR="006259A0">
        <w:t xml:space="preserve">20 </w:t>
      </w:r>
      <w:r w:rsidR="002823E5">
        <w:t xml:space="preserve">m. </w:t>
      </w:r>
      <w:r w:rsidR="006259A0">
        <w:t>vasario 4</w:t>
      </w:r>
      <w:r w:rsidR="002823E5">
        <w:t xml:space="preserve"> d</w:t>
      </w:r>
      <w:r w:rsidR="00AE2CD2">
        <w:t>.</w:t>
      </w:r>
      <w:r w:rsidR="007374AC">
        <w:t xml:space="preserve">  </w:t>
      </w:r>
    </w:p>
    <w:p w:rsidR="00584609" w:rsidRDefault="002823E5" w:rsidP="00647604">
      <w:pPr>
        <w:pStyle w:val="HTMLiankstoformatuota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584609">
        <w:rPr>
          <w:rFonts w:ascii="Times New Roman" w:hAnsi="Times New Roman" w:cs="Times New Roman"/>
          <w:b/>
          <w:sz w:val="24"/>
          <w:szCs w:val="24"/>
        </w:rPr>
        <w:t>2. Šiuo metu esantis teisinis reglamentavimas</w:t>
      </w:r>
    </w:p>
    <w:p w:rsidR="00647604" w:rsidRDefault="00647604" w:rsidP="00647604">
      <w:pPr>
        <w:tabs>
          <w:tab w:val="left" w:pos="720"/>
          <w:tab w:val="num" w:pos="3960"/>
        </w:tabs>
        <w:spacing w:line="360" w:lineRule="auto"/>
        <w:jc w:val="both"/>
      </w:pPr>
      <w:r>
        <w:tab/>
        <w:t xml:space="preserve">Lietuvos Respublikos vietos savivaldos įstatymas </w:t>
      </w:r>
    </w:p>
    <w:p w:rsidR="00647604" w:rsidRDefault="00647604" w:rsidP="00647604">
      <w:pPr>
        <w:tabs>
          <w:tab w:val="left" w:pos="720"/>
          <w:tab w:val="num" w:pos="3960"/>
        </w:tabs>
        <w:spacing w:line="360" w:lineRule="auto"/>
        <w:jc w:val="both"/>
      </w:pPr>
      <w:r>
        <w:tab/>
        <w:t>Lietuvos Respublikos biudžeto sandaros įstatymas</w:t>
      </w:r>
    </w:p>
    <w:p w:rsidR="00647604" w:rsidRDefault="00995205" w:rsidP="00647604">
      <w:pPr>
        <w:tabs>
          <w:tab w:val="left" w:pos="720"/>
          <w:tab w:val="num" w:pos="3960"/>
        </w:tabs>
        <w:spacing w:line="360" w:lineRule="auto"/>
        <w:jc w:val="both"/>
      </w:pPr>
      <w:r>
        <w:tab/>
        <w:t>Lietuvos Respublikos 20</w:t>
      </w:r>
      <w:r w:rsidR="006259A0">
        <w:t>20</w:t>
      </w:r>
      <w:r w:rsidR="00647604">
        <w:t xml:space="preserve"> metų valstybės biudžeto ir savivaldybių biudžetų finansinių rodiklių patvirtinimo įstatymas</w:t>
      </w:r>
    </w:p>
    <w:p w:rsidR="007C60FE" w:rsidRDefault="00584609" w:rsidP="00BC35FE">
      <w:pPr>
        <w:spacing w:line="360" w:lineRule="auto"/>
        <w:rPr>
          <w:b/>
        </w:rPr>
      </w:pPr>
      <w:r>
        <w:rPr>
          <w:b/>
        </w:rPr>
        <w:t>3</w:t>
      </w:r>
      <w:r w:rsidR="000F46AD">
        <w:rPr>
          <w:b/>
        </w:rPr>
        <w:t xml:space="preserve">. </w:t>
      </w:r>
      <w:r w:rsidR="00BC35FE">
        <w:rPr>
          <w:b/>
        </w:rPr>
        <w:t xml:space="preserve">Galimos </w:t>
      </w:r>
      <w:r>
        <w:rPr>
          <w:b/>
        </w:rPr>
        <w:t xml:space="preserve">teigiamos ir neigiamos </w:t>
      </w:r>
      <w:r w:rsidR="00BC35FE">
        <w:rPr>
          <w:b/>
        </w:rPr>
        <w:t>pasekmės</w:t>
      </w:r>
      <w:r w:rsidR="007C60FE" w:rsidRPr="00B600BD">
        <w:rPr>
          <w:b/>
        </w:rPr>
        <w:t xml:space="preserve"> priėmus siū</w:t>
      </w:r>
      <w:r w:rsidR="00BC35FE">
        <w:rPr>
          <w:b/>
        </w:rPr>
        <w:t>lomą tarybos sprendimo projektą</w:t>
      </w:r>
      <w:r w:rsidR="007C60FE" w:rsidRPr="00B600BD">
        <w:rPr>
          <w:b/>
        </w:rPr>
        <w:t xml:space="preserve"> </w:t>
      </w:r>
    </w:p>
    <w:p w:rsidR="00CB4DEE" w:rsidRDefault="00CB4DEE" w:rsidP="00CB4DEE">
      <w:pPr>
        <w:tabs>
          <w:tab w:val="left" w:pos="720"/>
          <w:tab w:val="num" w:pos="3960"/>
        </w:tabs>
        <w:spacing w:line="360" w:lineRule="auto"/>
        <w:jc w:val="both"/>
      </w:pPr>
      <w:r>
        <w:tab/>
        <w:t>Neigiamos pasekmės-pajamų plano nevykdymas, tai sutrikdytų savivaldybės savarankiškųjų funkcijų vykdymą.</w:t>
      </w:r>
    </w:p>
    <w:p w:rsidR="00CB4DEE" w:rsidRDefault="00995205" w:rsidP="00CB4DEE">
      <w:pPr>
        <w:tabs>
          <w:tab w:val="left" w:pos="720"/>
          <w:tab w:val="num" w:pos="3960"/>
        </w:tabs>
        <w:spacing w:line="360" w:lineRule="auto"/>
        <w:jc w:val="both"/>
      </w:pPr>
      <w:r>
        <w:tab/>
        <w:t>Teigiamos –20</w:t>
      </w:r>
      <w:r w:rsidR="006259A0">
        <w:t>20</w:t>
      </w:r>
      <w:r w:rsidR="00CB4DEE">
        <w:t xml:space="preserve"> metų savivaldybės biudžeto patvirtinimas užtikrins savivaldybės funkcijų ir valstybinių (perduotų savivaldybei) funkcijų vykdymą.</w:t>
      </w:r>
    </w:p>
    <w:p w:rsidR="00584609" w:rsidRDefault="00584609" w:rsidP="00584609">
      <w:pPr>
        <w:spacing w:line="360" w:lineRule="auto"/>
        <w:jc w:val="both"/>
        <w:rPr>
          <w:b/>
        </w:rPr>
      </w:pPr>
      <w:r w:rsidRPr="00584609">
        <w:rPr>
          <w:b/>
        </w:rPr>
        <w:t xml:space="preserve">4. </w:t>
      </w:r>
      <w:r>
        <w:rPr>
          <w:b/>
        </w:rPr>
        <w:t>Priemonės sprendimui įgyvendinti</w:t>
      </w:r>
    </w:p>
    <w:p w:rsidR="00584609" w:rsidRPr="00584609" w:rsidRDefault="00584609" w:rsidP="00584609">
      <w:pPr>
        <w:spacing w:line="360" w:lineRule="auto"/>
        <w:jc w:val="both"/>
      </w:pPr>
      <w:r>
        <w:rPr>
          <w:b/>
        </w:rPr>
        <w:t xml:space="preserve">           </w:t>
      </w:r>
      <w:r w:rsidRPr="00584609">
        <w:t>P</w:t>
      </w:r>
      <w:r w:rsidR="00AE2886">
        <w:t xml:space="preserve">atvirtinus </w:t>
      </w:r>
      <w:r>
        <w:t xml:space="preserve">Molėtų rajono </w:t>
      </w:r>
      <w:r w:rsidR="00995205">
        <w:t>savivaldybės 20</w:t>
      </w:r>
      <w:r w:rsidR="006259A0">
        <w:t>20</w:t>
      </w:r>
      <w:r w:rsidR="00995205">
        <w:t xml:space="preserve"> m. biudžetą, įstaigų vadovai-asignavimų valdytojai </w:t>
      </w:r>
      <w:r w:rsidR="00402253">
        <w:t xml:space="preserve"> </w:t>
      </w:r>
      <w:r w:rsidR="00995205">
        <w:t>patvirtins išlaidų sąmata</w:t>
      </w:r>
      <w:r w:rsidR="00AE2886">
        <w:t>s p</w:t>
      </w:r>
      <w:r w:rsidR="00402253">
        <w:t>agal programas ir finansavimo ša</w:t>
      </w:r>
      <w:r w:rsidR="00AE2886">
        <w:t>ltinius.</w:t>
      </w:r>
    </w:p>
    <w:p w:rsidR="00BC35FE" w:rsidRPr="00CB4DEE" w:rsidRDefault="00584609" w:rsidP="00584609">
      <w:pPr>
        <w:spacing w:line="360" w:lineRule="auto"/>
        <w:jc w:val="both"/>
      </w:pPr>
      <w:r w:rsidRPr="00CB4DEE">
        <w:rPr>
          <w:b/>
          <w:bCs/>
        </w:rPr>
        <w:t>5</w:t>
      </w:r>
      <w:r w:rsidR="00BC35FE" w:rsidRPr="00CB4DEE">
        <w:rPr>
          <w:b/>
          <w:bCs/>
        </w:rPr>
        <w:t>.</w:t>
      </w:r>
      <w:r w:rsidRPr="00CB4DEE">
        <w:rPr>
          <w:b/>
          <w:bCs/>
        </w:rPr>
        <w:t xml:space="preserve"> </w:t>
      </w:r>
      <w:r w:rsidRPr="00CB4DEE">
        <w:rPr>
          <w:b/>
        </w:rPr>
        <w:t>Lėšų por</w:t>
      </w:r>
      <w:r w:rsidR="00647604" w:rsidRPr="00CB4DEE">
        <w:rPr>
          <w:b/>
        </w:rPr>
        <w:t>eikis ir jų šaltiniai</w:t>
      </w:r>
    </w:p>
    <w:p w:rsidR="00CB4DEE" w:rsidRDefault="00BC35FE" w:rsidP="00CB4DEE">
      <w:pPr>
        <w:tabs>
          <w:tab w:val="left" w:pos="720"/>
          <w:tab w:val="num" w:pos="3960"/>
        </w:tabs>
        <w:spacing w:line="360" w:lineRule="auto"/>
        <w:jc w:val="both"/>
      </w:pPr>
      <w:r w:rsidRPr="00CB4DEE">
        <w:t xml:space="preserve">           </w:t>
      </w:r>
      <w:r w:rsidR="00CB4DEE" w:rsidRPr="00CB4DEE">
        <w:t>Paskirstomi biudžeto asignavimai</w:t>
      </w:r>
      <w:r w:rsidR="00995205">
        <w:t xml:space="preserve"> 20</w:t>
      </w:r>
      <w:r w:rsidR="006259A0">
        <w:t xml:space="preserve">20 </w:t>
      </w:r>
      <w:r w:rsidR="00CB4DEE">
        <w:t>metams: prognozuojamos Molėtų rajono savivaldybės biudžeto pajamos, valstybės biudžeto specialiųjų tikslinių dotacijų lėšos ir įstaigų planuojamos gauti pajamos už išlaikymą ir savo teikiamas paslaugas.</w:t>
      </w:r>
    </w:p>
    <w:p w:rsidR="00584609" w:rsidRPr="00CB4DEE" w:rsidRDefault="00584609" w:rsidP="00CB4DEE">
      <w:pPr>
        <w:tabs>
          <w:tab w:val="left" w:pos="720"/>
          <w:tab w:val="num" w:pos="3960"/>
        </w:tabs>
        <w:spacing w:line="360" w:lineRule="auto"/>
        <w:jc w:val="both"/>
      </w:pPr>
      <w:r>
        <w:rPr>
          <w:b/>
          <w:bCs/>
          <w:color w:val="000000"/>
        </w:rPr>
        <w:t xml:space="preserve">6. </w:t>
      </w:r>
      <w:r>
        <w:rPr>
          <w:b/>
        </w:rPr>
        <w:t>Vykdytojai, įvykdymo terminai</w:t>
      </w:r>
      <w:r w:rsidRPr="00B600BD">
        <w:rPr>
          <w:color w:val="000000"/>
        </w:rPr>
        <w:t xml:space="preserve"> </w:t>
      </w:r>
    </w:p>
    <w:p w:rsidR="007C60FE" w:rsidRDefault="0042363B" w:rsidP="00411B73">
      <w:pPr>
        <w:spacing w:line="360" w:lineRule="auto"/>
      </w:pPr>
      <w:r>
        <w:rPr>
          <w:color w:val="000000"/>
        </w:rPr>
        <w:t xml:space="preserve">            </w:t>
      </w:r>
      <w:r w:rsidR="00647604" w:rsidRPr="00647604">
        <w:rPr>
          <w:color w:val="000000"/>
        </w:rPr>
        <w:t xml:space="preserve">Savivaldybės </w:t>
      </w:r>
      <w:r w:rsidR="00647604">
        <w:rPr>
          <w:color w:val="000000"/>
        </w:rPr>
        <w:t>administracija, biudžetinių įstaigų vadovai-asignavimų valdytojai</w:t>
      </w:r>
      <w:r w:rsidR="00AE2886">
        <w:rPr>
          <w:color w:val="000000"/>
        </w:rPr>
        <w:t>.</w:t>
      </w:r>
    </w:p>
    <w:p w:rsidR="00411B73" w:rsidRDefault="00411B73" w:rsidP="00411B73">
      <w:pPr>
        <w:spacing w:line="360" w:lineRule="auto"/>
      </w:pPr>
    </w:p>
    <w:p w:rsidR="00CC6AE9" w:rsidRDefault="00CC6AE9" w:rsidP="00411B73">
      <w:pPr>
        <w:spacing w:line="360" w:lineRule="auto"/>
        <w:sectPr w:rsidR="00CC6AE9" w:rsidSect="00BB419B">
          <w:headerReference w:type="default" r:id="rId11"/>
          <w:pgSz w:w="11906" w:h="16838" w:code="9"/>
          <w:pgMar w:top="1134" w:right="567" w:bottom="1134" w:left="1701" w:header="567" w:footer="567" w:gutter="0"/>
          <w:cols w:space="1296"/>
          <w:titlePg/>
          <w:docGrid w:linePitch="360"/>
        </w:sectPr>
      </w:pPr>
    </w:p>
    <w:p w:rsidR="00CC6AE9" w:rsidRDefault="00CC6AE9" w:rsidP="00CC6AE9">
      <w:pPr>
        <w:tabs>
          <w:tab w:val="left" w:pos="1875"/>
        </w:tabs>
        <w:jc w:val="right"/>
      </w:pPr>
      <w:r>
        <w:lastRenderedPageBreak/>
        <w:t xml:space="preserve">  Aiškinamojo rašto „Dėl Molėtų rajono savivaldybės</w:t>
      </w:r>
    </w:p>
    <w:p w:rsidR="00CC6AE9" w:rsidRDefault="00CC6AE9" w:rsidP="00CC6AE9">
      <w:pPr>
        <w:tabs>
          <w:tab w:val="left" w:pos="1875"/>
          <w:tab w:val="left" w:pos="9600"/>
        </w:tabs>
      </w:pPr>
      <w:r>
        <w:tab/>
      </w:r>
      <w:r>
        <w:tab/>
        <w:t>20</w:t>
      </w:r>
      <w:r w:rsidR="004F4158">
        <w:t>20</w:t>
      </w:r>
      <w:r>
        <w:t xml:space="preserve"> m. biudžeto patvirtinimo“ </w:t>
      </w:r>
    </w:p>
    <w:p w:rsidR="00CC6AE9" w:rsidRDefault="00CC6AE9" w:rsidP="00CC6AE9">
      <w:pPr>
        <w:tabs>
          <w:tab w:val="left" w:pos="1875"/>
          <w:tab w:val="left" w:pos="9600"/>
        </w:tabs>
      </w:pPr>
      <w:r>
        <w:tab/>
      </w:r>
      <w:r>
        <w:tab/>
        <w:t>1 priedas</w:t>
      </w:r>
    </w:p>
    <w:tbl>
      <w:tblPr>
        <w:tblW w:w="15076" w:type="dxa"/>
        <w:tblLook w:val="04A0" w:firstRow="1" w:lastRow="0" w:firstColumn="1" w:lastColumn="0" w:noHBand="0" w:noVBand="1"/>
      </w:tblPr>
      <w:tblGrid>
        <w:gridCol w:w="540"/>
        <w:gridCol w:w="4403"/>
        <w:gridCol w:w="1193"/>
        <w:gridCol w:w="977"/>
        <w:gridCol w:w="1180"/>
        <w:gridCol w:w="1105"/>
        <w:gridCol w:w="977"/>
        <w:gridCol w:w="1120"/>
        <w:gridCol w:w="1120"/>
        <w:gridCol w:w="1060"/>
        <w:gridCol w:w="1656"/>
      </w:tblGrid>
      <w:tr w:rsidR="004F4158" w:rsidTr="004F4158">
        <w:trPr>
          <w:trHeight w:val="315"/>
        </w:trPr>
        <w:tc>
          <w:tcPr>
            <w:tcW w:w="15076" w:type="dxa"/>
            <w:gridSpan w:val="11"/>
            <w:tcBorders>
              <w:top w:val="nil"/>
              <w:left w:val="nil"/>
              <w:bottom w:val="nil"/>
              <w:right w:val="nil"/>
            </w:tcBorders>
            <w:shd w:val="clear" w:color="auto" w:fill="auto"/>
            <w:noWrap/>
            <w:vAlign w:val="bottom"/>
            <w:hideMark/>
          </w:tcPr>
          <w:p w:rsidR="004F4158" w:rsidRDefault="004F4158">
            <w:pPr>
              <w:jc w:val="center"/>
              <w:rPr>
                <w:b/>
                <w:bCs/>
                <w:color w:val="000000"/>
              </w:rPr>
            </w:pPr>
            <w:r>
              <w:rPr>
                <w:b/>
                <w:bCs/>
                <w:color w:val="000000"/>
              </w:rPr>
              <w:t xml:space="preserve">Molėtų rajono savivaldybės ugdymo įstaigoms skiriamas finansavimas ir lėšų vienam mokiniui/vaikui paskaičiavimas 2020 ir 2019 m. </w:t>
            </w:r>
          </w:p>
        </w:tc>
      </w:tr>
      <w:tr w:rsidR="004F4158" w:rsidTr="004F4158">
        <w:trPr>
          <w:trHeight w:val="128"/>
        </w:trPr>
        <w:tc>
          <w:tcPr>
            <w:tcW w:w="540" w:type="dxa"/>
            <w:tcBorders>
              <w:top w:val="nil"/>
              <w:left w:val="nil"/>
              <w:bottom w:val="nil"/>
              <w:right w:val="nil"/>
            </w:tcBorders>
            <w:shd w:val="clear" w:color="auto" w:fill="auto"/>
            <w:noWrap/>
            <w:vAlign w:val="bottom"/>
            <w:hideMark/>
          </w:tcPr>
          <w:p w:rsidR="004F4158" w:rsidRDefault="004F4158">
            <w:pPr>
              <w:jc w:val="center"/>
              <w:rPr>
                <w:b/>
                <w:bCs/>
                <w:color w:val="000000"/>
              </w:rPr>
            </w:pPr>
          </w:p>
        </w:tc>
        <w:tc>
          <w:tcPr>
            <w:tcW w:w="4403" w:type="dxa"/>
            <w:tcBorders>
              <w:top w:val="nil"/>
              <w:left w:val="nil"/>
              <w:bottom w:val="nil"/>
              <w:right w:val="nil"/>
            </w:tcBorders>
            <w:shd w:val="clear" w:color="auto" w:fill="auto"/>
            <w:noWrap/>
            <w:vAlign w:val="bottom"/>
            <w:hideMark/>
          </w:tcPr>
          <w:p w:rsidR="004F4158" w:rsidRDefault="004F4158">
            <w:pPr>
              <w:rPr>
                <w:sz w:val="20"/>
                <w:szCs w:val="20"/>
              </w:rPr>
            </w:pPr>
          </w:p>
        </w:tc>
        <w:tc>
          <w:tcPr>
            <w:tcW w:w="1193" w:type="dxa"/>
            <w:tcBorders>
              <w:top w:val="nil"/>
              <w:left w:val="nil"/>
              <w:bottom w:val="nil"/>
              <w:right w:val="nil"/>
            </w:tcBorders>
            <w:shd w:val="clear" w:color="auto" w:fill="auto"/>
            <w:noWrap/>
            <w:vAlign w:val="bottom"/>
            <w:hideMark/>
          </w:tcPr>
          <w:p w:rsidR="004F4158" w:rsidRDefault="004F4158">
            <w:pPr>
              <w:rPr>
                <w:sz w:val="20"/>
                <w:szCs w:val="20"/>
              </w:rPr>
            </w:pPr>
          </w:p>
        </w:tc>
        <w:tc>
          <w:tcPr>
            <w:tcW w:w="960" w:type="dxa"/>
            <w:tcBorders>
              <w:top w:val="nil"/>
              <w:left w:val="nil"/>
              <w:bottom w:val="nil"/>
              <w:right w:val="nil"/>
            </w:tcBorders>
            <w:shd w:val="clear" w:color="auto" w:fill="auto"/>
            <w:noWrap/>
            <w:vAlign w:val="bottom"/>
            <w:hideMark/>
          </w:tcPr>
          <w:p w:rsidR="004F4158" w:rsidRDefault="004F4158">
            <w:pPr>
              <w:rPr>
                <w:sz w:val="20"/>
                <w:szCs w:val="20"/>
              </w:rPr>
            </w:pPr>
          </w:p>
        </w:tc>
        <w:tc>
          <w:tcPr>
            <w:tcW w:w="1180" w:type="dxa"/>
            <w:tcBorders>
              <w:top w:val="nil"/>
              <w:left w:val="nil"/>
              <w:bottom w:val="nil"/>
              <w:right w:val="nil"/>
            </w:tcBorders>
            <w:shd w:val="clear" w:color="auto" w:fill="auto"/>
            <w:noWrap/>
            <w:vAlign w:val="bottom"/>
            <w:hideMark/>
          </w:tcPr>
          <w:p w:rsidR="004F4158" w:rsidRDefault="004F4158">
            <w:pPr>
              <w:rPr>
                <w:sz w:val="20"/>
                <w:szCs w:val="20"/>
              </w:rPr>
            </w:pPr>
          </w:p>
        </w:tc>
        <w:tc>
          <w:tcPr>
            <w:tcW w:w="1105" w:type="dxa"/>
            <w:tcBorders>
              <w:top w:val="nil"/>
              <w:left w:val="nil"/>
              <w:bottom w:val="nil"/>
              <w:right w:val="nil"/>
            </w:tcBorders>
            <w:shd w:val="clear" w:color="auto" w:fill="auto"/>
            <w:noWrap/>
            <w:vAlign w:val="bottom"/>
            <w:hideMark/>
          </w:tcPr>
          <w:p w:rsidR="004F4158" w:rsidRDefault="004F4158">
            <w:pPr>
              <w:rPr>
                <w:sz w:val="20"/>
                <w:szCs w:val="20"/>
              </w:rPr>
            </w:pPr>
          </w:p>
        </w:tc>
        <w:tc>
          <w:tcPr>
            <w:tcW w:w="940" w:type="dxa"/>
            <w:tcBorders>
              <w:top w:val="nil"/>
              <w:left w:val="nil"/>
              <w:bottom w:val="nil"/>
              <w:right w:val="nil"/>
            </w:tcBorders>
            <w:shd w:val="clear" w:color="auto" w:fill="auto"/>
            <w:noWrap/>
            <w:vAlign w:val="bottom"/>
            <w:hideMark/>
          </w:tcPr>
          <w:p w:rsidR="004F4158" w:rsidRDefault="004F4158">
            <w:pPr>
              <w:rPr>
                <w:sz w:val="20"/>
                <w:szCs w:val="20"/>
              </w:rPr>
            </w:pPr>
          </w:p>
        </w:tc>
        <w:tc>
          <w:tcPr>
            <w:tcW w:w="1120" w:type="dxa"/>
            <w:tcBorders>
              <w:top w:val="nil"/>
              <w:left w:val="nil"/>
              <w:bottom w:val="nil"/>
              <w:right w:val="nil"/>
            </w:tcBorders>
            <w:shd w:val="clear" w:color="auto" w:fill="auto"/>
            <w:noWrap/>
            <w:vAlign w:val="bottom"/>
            <w:hideMark/>
          </w:tcPr>
          <w:p w:rsidR="004F4158" w:rsidRDefault="004F4158">
            <w:pPr>
              <w:rPr>
                <w:sz w:val="20"/>
                <w:szCs w:val="20"/>
              </w:rPr>
            </w:pPr>
          </w:p>
        </w:tc>
        <w:tc>
          <w:tcPr>
            <w:tcW w:w="1120" w:type="dxa"/>
            <w:tcBorders>
              <w:top w:val="nil"/>
              <w:left w:val="nil"/>
              <w:bottom w:val="nil"/>
              <w:right w:val="nil"/>
            </w:tcBorders>
            <w:shd w:val="clear" w:color="auto" w:fill="auto"/>
            <w:noWrap/>
            <w:vAlign w:val="bottom"/>
            <w:hideMark/>
          </w:tcPr>
          <w:p w:rsidR="004F4158" w:rsidRDefault="004F4158">
            <w:pPr>
              <w:rPr>
                <w:sz w:val="20"/>
                <w:szCs w:val="20"/>
              </w:rPr>
            </w:pPr>
          </w:p>
        </w:tc>
        <w:tc>
          <w:tcPr>
            <w:tcW w:w="1060" w:type="dxa"/>
            <w:tcBorders>
              <w:top w:val="nil"/>
              <w:left w:val="nil"/>
              <w:bottom w:val="nil"/>
              <w:right w:val="nil"/>
            </w:tcBorders>
            <w:shd w:val="clear" w:color="auto" w:fill="auto"/>
            <w:noWrap/>
            <w:vAlign w:val="bottom"/>
            <w:hideMark/>
          </w:tcPr>
          <w:p w:rsidR="004F4158" w:rsidRDefault="004F4158">
            <w:pPr>
              <w:rPr>
                <w:sz w:val="20"/>
                <w:szCs w:val="20"/>
              </w:rPr>
            </w:pPr>
          </w:p>
        </w:tc>
        <w:tc>
          <w:tcPr>
            <w:tcW w:w="1455" w:type="dxa"/>
            <w:tcBorders>
              <w:top w:val="nil"/>
              <w:left w:val="nil"/>
              <w:bottom w:val="nil"/>
              <w:right w:val="nil"/>
            </w:tcBorders>
            <w:shd w:val="clear" w:color="auto" w:fill="auto"/>
            <w:noWrap/>
            <w:vAlign w:val="bottom"/>
            <w:hideMark/>
          </w:tcPr>
          <w:p w:rsidR="004F4158" w:rsidRDefault="004F4158">
            <w:pPr>
              <w:rPr>
                <w:sz w:val="20"/>
                <w:szCs w:val="20"/>
              </w:rPr>
            </w:pPr>
          </w:p>
        </w:tc>
      </w:tr>
      <w:tr w:rsidR="004F4158" w:rsidTr="004F4158">
        <w:trPr>
          <w:trHeight w:val="1643"/>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xml:space="preserve">Eil. </w:t>
            </w:r>
            <w:r>
              <w:rPr>
                <w:rFonts w:ascii="Calibri" w:hAnsi="Calibri" w:cs="Calibri"/>
                <w:b/>
                <w:bCs/>
                <w:color w:val="000000"/>
                <w:sz w:val="22"/>
                <w:szCs w:val="22"/>
              </w:rPr>
              <w:br/>
              <w:t xml:space="preserve">Nr. </w:t>
            </w:r>
          </w:p>
        </w:tc>
        <w:tc>
          <w:tcPr>
            <w:tcW w:w="4403" w:type="dxa"/>
            <w:tcBorders>
              <w:top w:val="single" w:sz="4" w:space="0" w:color="auto"/>
              <w:left w:val="nil"/>
              <w:bottom w:val="single" w:sz="4" w:space="0" w:color="auto"/>
              <w:right w:val="nil"/>
            </w:tcBorders>
            <w:shd w:val="clear" w:color="000000" w:fill="FFFFFF"/>
            <w:noWrap/>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Įstaigos pavadinimas</w:t>
            </w:r>
          </w:p>
        </w:tc>
        <w:tc>
          <w:tcPr>
            <w:tcW w:w="11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 xml:space="preserve">Skirta lėšų </w:t>
            </w:r>
            <w:r>
              <w:rPr>
                <w:rFonts w:ascii="Calibri" w:hAnsi="Calibri" w:cs="Calibri"/>
                <w:b/>
                <w:bCs/>
                <w:color w:val="000000"/>
                <w:sz w:val="22"/>
                <w:szCs w:val="22"/>
              </w:rPr>
              <w:br/>
              <w:t xml:space="preserve">tūkst. Eur </w:t>
            </w:r>
            <w:r>
              <w:rPr>
                <w:rFonts w:ascii="Calibri" w:hAnsi="Calibri" w:cs="Calibri"/>
                <w:b/>
                <w:bCs/>
                <w:color w:val="000000"/>
                <w:sz w:val="22"/>
                <w:szCs w:val="22"/>
              </w:rPr>
              <w:br/>
              <w:t xml:space="preserve">2020 m. </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 xml:space="preserve">Mokinių </w:t>
            </w:r>
            <w:r>
              <w:rPr>
                <w:rFonts w:ascii="Calibri" w:hAnsi="Calibri" w:cs="Calibri"/>
                <w:b/>
                <w:bCs/>
                <w:color w:val="000000"/>
                <w:sz w:val="22"/>
                <w:szCs w:val="22"/>
              </w:rPr>
              <w:br/>
              <w:t>skaičius</w:t>
            </w:r>
          </w:p>
        </w:tc>
        <w:tc>
          <w:tcPr>
            <w:tcW w:w="1180" w:type="dxa"/>
            <w:tcBorders>
              <w:top w:val="single" w:sz="8" w:space="0" w:color="auto"/>
              <w:left w:val="nil"/>
              <w:bottom w:val="single" w:sz="4" w:space="0" w:color="auto"/>
              <w:right w:val="single" w:sz="8"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Lėšos vienam mokiniui/</w:t>
            </w:r>
            <w:r>
              <w:rPr>
                <w:rFonts w:ascii="Calibri" w:hAnsi="Calibri" w:cs="Calibri"/>
                <w:b/>
                <w:bCs/>
                <w:color w:val="000000"/>
                <w:sz w:val="22"/>
                <w:szCs w:val="22"/>
              </w:rPr>
              <w:br/>
              <w:t>vaikui Eur</w:t>
            </w:r>
          </w:p>
        </w:tc>
        <w:tc>
          <w:tcPr>
            <w:tcW w:w="1105" w:type="dxa"/>
            <w:tcBorders>
              <w:top w:val="single" w:sz="8" w:space="0" w:color="auto"/>
              <w:left w:val="nil"/>
              <w:bottom w:val="single" w:sz="4" w:space="0" w:color="auto"/>
              <w:right w:val="single" w:sz="4"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 xml:space="preserve">Skirta lėšų </w:t>
            </w:r>
            <w:r>
              <w:rPr>
                <w:rFonts w:ascii="Calibri" w:hAnsi="Calibri" w:cs="Calibri"/>
                <w:b/>
                <w:bCs/>
                <w:color w:val="000000"/>
                <w:sz w:val="22"/>
                <w:szCs w:val="22"/>
              </w:rPr>
              <w:br/>
              <w:t xml:space="preserve">tūkst. Eur </w:t>
            </w:r>
            <w:r>
              <w:rPr>
                <w:rFonts w:ascii="Calibri" w:hAnsi="Calibri" w:cs="Calibri"/>
                <w:b/>
                <w:bCs/>
                <w:color w:val="000000"/>
                <w:sz w:val="22"/>
                <w:szCs w:val="22"/>
              </w:rPr>
              <w:br/>
              <w:t xml:space="preserve">2019 m. </w:t>
            </w:r>
          </w:p>
        </w:tc>
        <w:tc>
          <w:tcPr>
            <w:tcW w:w="940" w:type="dxa"/>
            <w:tcBorders>
              <w:top w:val="single" w:sz="8" w:space="0" w:color="auto"/>
              <w:left w:val="nil"/>
              <w:bottom w:val="single" w:sz="4" w:space="0" w:color="auto"/>
              <w:right w:val="single" w:sz="4"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 xml:space="preserve">Mokinių </w:t>
            </w:r>
            <w:r>
              <w:rPr>
                <w:rFonts w:ascii="Calibri" w:hAnsi="Calibri" w:cs="Calibri"/>
                <w:b/>
                <w:bCs/>
                <w:color w:val="000000"/>
                <w:sz w:val="22"/>
                <w:szCs w:val="22"/>
              </w:rPr>
              <w:br/>
              <w:t>skaičius</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Lėšos vienam mokiniui/</w:t>
            </w:r>
            <w:r>
              <w:rPr>
                <w:rFonts w:ascii="Calibri" w:hAnsi="Calibri" w:cs="Calibri"/>
                <w:b/>
                <w:bCs/>
                <w:color w:val="000000"/>
                <w:sz w:val="22"/>
                <w:szCs w:val="22"/>
              </w:rPr>
              <w:br/>
              <w:t>vaikui Eur</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 xml:space="preserve">Skiriamų lėšų pokytis tūkst. Eur lyginant su 2019 m. </w:t>
            </w:r>
          </w:p>
        </w:tc>
        <w:tc>
          <w:tcPr>
            <w:tcW w:w="1060" w:type="dxa"/>
            <w:tcBorders>
              <w:top w:val="single" w:sz="8" w:space="0" w:color="auto"/>
              <w:left w:val="nil"/>
              <w:bottom w:val="single" w:sz="4" w:space="0" w:color="auto"/>
              <w:right w:val="single" w:sz="4"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 xml:space="preserve">Mokinių skaičiaus pokytis lyginant su 2019 m.  </w:t>
            </w:r>
          </w:p>
        </w:tc>
        <w:tc>
          <w:tcPr>
            <w:tcW w:w="1455" w:type="dxa"/>
            <w:tcBorders>
              <w:top w:val="single" w:sz="8" w:space="0" w:color="auto"/>
              <w:left w:val="nil"/>
              <w:bottom w:val="single" w:sz="4" w:space="0" w:color="auto"/>
              <w:right w:val="single" w:sz="8" w:space="0" w:color="auto"/>
            </w:tcBorders>
            <w:shd w:val="clear" w:color="000000" w:fill="FFFFFF"/>
            <w:vAlign w:val="center"/>
            <w:hideMark/>
          </w:tcPr>
          <w:p w:rsidR="004F4158" w:rsidRDefault="004F4158">
            <w:pPr>
              <w:jc w:val="center"/>
              <w:rPr>
                <w:rFonts w:ascii="Calibri" w:hAnsi="Calibri" w:cs="Calibri"/>
                <w:b/>
                <w:bCs/>
                <w:color w:val="000000"/>
                <w:sz w:val="22"/>
                <w:szCs w:val="22"/>
              </w:rPr>
            </w:pPr>
            <w:r>
              <w:rPr>
                <w:rFonts w:ascii="Calibri" w:hAnsi="Calibri" w:cs="Calibri"/>
                <w:b/>
                <w:bCs/>
                <w:color w:val="000000"/>
                <w:sz w:val="22"/>
                <w:szCs w:val="22"/>
              </w:rPr>
              <w:t xml:space="preserve">Lėšų pokytis vienam mokiniui/vaikui lyginant su 2019 m. </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1.</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gimnazija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1074,1</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375</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2864,3</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975,2</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389</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2506,9</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98,9</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-14</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357,3</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2.</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progimnazija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934,7</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366</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2553,8</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904,8</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367</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2465,4</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29,9</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88,4</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3.</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pradinė mokykla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752</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336</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2238,1</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717,9</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369</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1945,5</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34,1</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-33</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292,6</w:t>
            </w:r>
          </w:p>
        </w:tc>
      </w:tr>
      <w:tr w:rsidR="004F4158" w:rsidTr="004F4158">
        <w:trPr>
          <w:trHeight w:val="300"/>
        </w:trPr>
        <w:tc>
          <w:tcPr>
            <w:tcW w:w="4943"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Iš viso miesto mokyklos (vidurkis)</w:t>
            </w:r>
          </w:p>
        </w:tc>
        <w:tc>
          <w:tcPr>
            <w:tcW w:w="1193" w:type="dxa"/>
            <w:tcBorders>
              <w:top w:val="nil"/>
              <w:left w:val="single" w:sz="8" w:space="0" w:color="auto"/>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2760,8</w:t>
            </w:r>
          </w:p>
        </w:tc>
        <w:tc>
          <w:tcPr>
            <w:tcW w:w="9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1077</w:t>
            </w:r>
          </w:p>
        </w:tc>
        <w:tc>
          <w:tcPr>
            <w:tcW w:w="118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2563,4</w:t>
            </w:r>
          </w:p>
        </w:tc>
        <w:tc>
          <w:tcPr>
            <w:tcW w:w="1105"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2597,9</w:t>
            </w:r>
          </w:p>
        </w:tc>
        <w:tc>
          <w:tcPr>
            <w:tcW w:w="94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1125</w:t>
            </w:r>
          </w:p>
        </w:tc>
        <w:tc>
          <w:tcPr>
            <w:tcW w:w="112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2309,2</w:t>
            </w:r>
          </w:p>
        </w:tc>
        <w:tc>
          <w:tcPr>
            <w:tcW w:w="112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162,9</w:t>
            </w:r>
          </w:p>
        </w:tc>
        <w:tc>
          <w:tcPr>
            <w:tcW w:w="10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-48</w:t>
            </w:r>
          </w:p>
        </w:tc>
        <w:tc>
          <w:tcPr>
            <w:tcW w:w="1455"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254,2</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4.</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Alantos gimnazija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666,8</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174</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3832,2</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614,2</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184</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3338,0</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52,6</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-10</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494,1</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5.</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Giedraičių A. Jaroševičiaus gimnazija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733,7</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199</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3686,9</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682,9</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204</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3347,5</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50,8</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339,4</w:t>
            </w:r>
          </w:p>
        </w:tc>
      </w:tr>
      <w:tr w:rsidR="004F4158" w:rsidTr="004F4158">
        <w:trPr>
          <w:trHeight w:val="300"/>
        </w:trPr>
        <w:tc>
          <w:tcPr>
            <w:tcW w:w="4943"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Iš viso kaimo gimnazijos (vidurkis)</w:t>
            </w:r>
          </w:p>
        </w:tc>
        <w:tc>
          <w:tcPr>
            <w:tcW w:w="1193" w:type="dxa"/>
            <w:tcBorders>
              <w:top w:val="nil"/>
              <w:left w:val="single" w:sz="8" w:space="0" w:color="auto"/>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1400,5</w:t>
            </w:r>
          </w:p>
        </w:tc>
        <w:tc>
          <w:tcPr>
            <w:tcW w:w="9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373</w:t>
            </w:r>
          </w:p>
        </w:tc>
        <w:tc>
          <w:tcPr>
            <w:tcW w:w="118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3754,7</w:t>
            </w:r>
          </w:p>
        </w:tc>
        <w:tc>
          <w:tcPr>
            <w:tcW w:w="1105"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1297,1</w:t>
            </w:r>
          </w:p>
        </w:tc>
        <w:tc>
          <w:tcPr>
            <w:tcW w:w="94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388</w:t>
            </w:r>
          </w:p>
        </w:tc>
        <w:tc>
          <w:tcPr>
            <w:tcW w:w="112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3343,0</w:t>
            </w:r>
          </w:p>
        </w:tc>
        <w:tc>
          <w:tcPr>
            <w:tcW w:w="112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103,4</w:t>
            </w:r>
          </w:p>
        </w:tc>
        <w:tc>
          <w:tcPr>
            <w:tcW w:w="10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-15</w:t>
            </w:r>
          </w:p>
        </w:tc>
        <w:tc>
          <w:tcPr>
            <w:tcW w:w="1455"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411,7</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6.</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Inturkės pagrindinė mokykla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238</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37</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6432,4</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251,3</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53</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4741,5</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-13,3</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-16</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1690,9</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7.</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Joniškio mokykla-daugiafunkcis centras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297,2</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44</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6754,5</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284,3</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59</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4818,6</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12,9</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-15</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1935,9</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8.</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Suginčių pagrindinė mokykla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352,9</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64</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5514,1</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343,7</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71</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4840,8</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9,2</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-7</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673,2</w:t>
            </w:r>
          </w:p>
        </w:tc>
      </w:tr>
      <w:tr w:rsidR="004F4158" w:rsidTr="004F4158">
        <w:trPr>
          <w:trHeight w:val="300"/>
        </w:trPr>
        <w:tc>
          <w:tcPr>
            <w:tcW w:w="4943"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Iš viso kaimo pagrindinės (vidurkis)</w:t>
            </w:r>
          </w:p>
        </w:tc>
        <w:tc>
          <w:tcPr>
            <w:tcW w:w="1193" w:type="dxa"/>
            <w:tcBorders>
              <w:top w:val="nil"/>
              <w:left w:val="single" w:sz="8" w:space="0" w:color="auto"/>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888,1</w:t>
            </w:r>
          </w:p>
        </w:tc>
        <w:tc>
          <w:tcPr>
            <w:tcW w:w="9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145</w:t>
            </w:r>
          </w:p>
        </w:tc>
        <w:tc>
          <w:tcPr>
            <w:tcW w:w="118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6124,8</w:t>
            </w:r>
          </w:p>
        </w:tc>
        <w:tc>
          <w:tcPr>
            <w:tcW w:w="1105"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879,3</w:t>
            </w:r>
          </w:p>
        </w:tc>
        <w:tc>
          <w:tcPr>
            <w:tcW w:w="94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183</w:t>
            </w:r>
          </w:p>
        </w:tc>
        <w:tc>
          <w:tcPr>
            <w:tcW w:w="112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4804,9</w:t>
            </w:r>
          </w:p>
        </w:tc>
        <w:tc>
          <w:tcPr>
            <w:tcW w:w="112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8,8</w:t>
            </w:r>
          </w:p>
        </w:tc>
        <w:tc>
          <w:tcPr>
            <w:tcW w:w="10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-38</w:t>
            </w:r>
          </w:p>
        </w:tc>
        <w:tc>
          <w:tcPr>
            <w:tcW w:w="1455"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1319,9</w:t>
            </w:r>
          </w:p>
        </w:tc>
      </w:tr>
      <w:tr w:rsidR="004F4158" w:rsidTr="004F4158">
        <w:trPr>
          <w:trHeight w:val="300"/>
        </w:trPr>
        <w:tc>
          <w:tcPr>
            <w:tcW w:w="4943"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Iš viso mokyklos (vidurkis)</w:t>
            </w:r>
          </w:p>
        </w:tc>
        <w:tc>
          <w:tcPr>
            <w:tcW w:w="1193" w:type="dxa"/>
            <w:tcBorders>
              <w:top w:val="nil"/>
              <w:left w:val="single" w:sz="8" w:space="0" w:color="auto"/>
              <w:bottom w:val="single" w:sz="4" w:space="0" w:color="auto"/>
              <w:right w:val="single" w:sz="4"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5049,4</w:t>
            </w:r>
          </w:p>
        </w:tc>
        <w:tc>
          <w:tcPr>
            <w:tcW w:w="960" w:type="dxa"/>
            <w:tcBorders>
              <w:top w:val="nil"/>
              <w:left w:val="nil"/>
              <w:bottom w:val="single" w:sz="4" w:space="0" w:color="auto"/>
              <w:right w:val="single" w:sz="4"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1595</w:t>
            </w:r>
          </w:p>
        </w:tc>
        <w:tc>
          <w:tcPr>
            <w:tcW w:w="1180" w:type="dxa"/>
            <w:tcBorders>
              <w:top w:val="nil"/>
              <w:left w:val="nil"/>
              <w:bottom w:val="single" w:sz="4" w:space="0" w:color="auto"/>
              <w:right w:val="single" w:sz="8"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3165,8</w:t>
            </w:r>
          </w:p>
        </w:tc>
        <w:tc>
          <w:tcPr>
            <w:tcW w:w="1105" w:type="dxa"/>
            <w:tcBorders>
              <w:top w:val="nil"/>
              <w:left w:val="nil"/>
              <w:bottom w:val="single" w:sz="4" w:space="0" w:color="auto"/>
              <w:right w:val="single" w:sz="4"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4774,3</w:t>
            </w:r>
          </w:p>
        </w:tc>
        <w:tc>
          <w:tcPr>
            <w:tcW w:w="940" w:type="dxa"/>
            <w:tcBorders>
              <w:top w:val="nil"/>
              <w:left w:val="nil"/>
              <w:bottom w:val="single" w:sz="4" w:space="0" w:color="auto"/>
              <w:right w:val="single" w:sz="4"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1696</w:t>
            </w:r>
          </w:p>
        </w:tc>
        <w:tc>
          <w:tcPr>
            <w:tcW w:w="1120" w:type="dxa"/>
            <w:tcBorders>
              <w:top w:val="nil"/>
              <w:left w:val="nil"/>
              <w:bottom w:val="single" w:sz="4" w:space="0" w:color="auto"/>
              <w:right w:val="single" w:sz="8"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2815,0</w:t>
            </w:r>
          </w:p>
        </w:tc>
        <w:tc>
          <w:tcPr>
            <w:tcW w:w="1120" w:type="dxa"/>
            <w:tcBorders>
              <w:top w:val="nil"/>
              <w:left w:val="nil"/>
              <w:bottom w:val="single" w:sz="4" w:space="0" w:color="auto"/>
              <w:right w:val="single" w:sz="4"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275,1</w:t>
            </w:r>
          </w:p>
        </w:tc>
        <w:tc>
          <w:tcPr>
            <w:tcW w:w="1060" w:type="dxa"/>
            <w:tcBorders>
              <w:top w:val="nil"/>
              <w:left w:val="nil"/>
              <w:bottom w:val="single" w:sz="4" w:space="0" w:color="auto"/>
              <w:right w:val="single" w:sz="4"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-101</w:t>
            </w:r>
          </w:p>
        </w:tc>
        <w:tc>
          <w:tcPr>
            <w:tcW w:w="1455" w:type="dxa"/>
            <w:tcBorders>
              <w:top w:val="nil"/>
              <w:left w:val="nil"/>
              <w:bottom w:val="single" w:sz="4" w:space="0" w:color="auto"/>
              <w:right w:val="single" w:sz="8" w:space="0" w:color="auto"/>
            </w:tcBorders>
            <w:shd w:val="clear" w:color="000000" w:fill="E2EFDA"/>
            <w:noWrap/>
            <w:vAlign w:val="bottom"/>
            <w:hideMark/>
          </w:tcPr>
          <w:p w:rsidR="004F4158" w:rsidRDefault="004F4158">
            <w:pPr>
              <w:jc w:val="right"/>
              <w:rPr>
                <w:rFonts w:ascii="Calibri" w:hAnsi="Calibri" w:cs="Calibri"/>
                <w:b/>
                <w:bCs/>
                <w:color w:val="000000"/>
                <w:sz w:val="22"/>
                <w:szCs w:val="22"/>
              </w:rPr>
            </w:pPr>
            <w:r>
              <w:rPr>
                <w:rFonts w:ascii="Calibri" w:hAnsi="Calibri" w:cs="Calibri"/>
                <w:b/>
                <w:bCs/>
                <w:color w:val="000000"/>
                <w:sz w:val="22"/>
                <w:szCs w:val="22"/>
              </w:rPr>
              <w:t>350,7</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9.</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"Saulutės" vaikų lopšelis-darželis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781,1</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203</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3847,8</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595,3</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201</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2961,7</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185,8</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886,1</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10.</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"Vyturėlio" vaikų lopšelis-darželis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942,6</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249</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3785,5</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815,7</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249</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3275,9</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126,9</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0</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509,6</w:t>
            </w:r>
          </w:p>
        </w:tc>
      </w:tr>
      <w:tr w:rsidR="004F4158" w:rsidTr="004F4158">
        <w:trPr>
          <w:trHeight w:val="300"/>
        </w:trPr>
        <w:tc>
          <w:tcPr>
            <w:tcW w:w="4943"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Iš viso vaikų darželiai (vidurkis)</w:t>
            </w:r>
          </w:p>
        </w:tc>
        <w:tc>
          <w:tcPr>
            <w:tcW w:w="1193" w:type="dxa"/>
            <w:tcBorders>
              <w:top w:val="nil"/>
              <w:left w:val="single" w:sz="8" w:space="0" w:color="auto"/>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1723,7</w:t>
            </w:r>
          </w:p>
        </w:tc>
        <w:tc>
          <w:tcPr>
            <w:tcW w:w="9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452</w:t>
            </w:r>
          </w:p>
        </w:tc>
        <w:tc>
          <w:tcPr>
            <w:tcW w:w="118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3813,5</w:t>
            </w:r>
          </w:p>
        </w:tc>
        <w:tc>
          <w:tcPr>
            <w:tcW w:w="1105"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1411</w:t>
            </w:r>
          </w:p>
        </w:tc>
        <w:tc>
          <w:tcPr>
            <w:tcW w:w="94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450</w:t>
            </w:r>
          </w:p>
        </w:tc>
        <w:tc>
          <w:tcPr>
            <w:tcW w:w="1120"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3135,6</w:t>
            </w:r>
          </w:p>
        </w:tc>
        <w:tc>
          <w:tcPr>
            <w:tcW w:w="112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312,7</w:t>
            </w:r>
          </w:p>
        </w:tc>
        <w:tc>
          <w:tcPr>
            <w:tcW w:w="1060" w:type="dxa"/>
            <w:tcBorders>
              <w:top w:val="nil"/>
              <w:left w:val="nil"/>
              <w:bottom w:val="single" w:sz="4"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w:t>
            </w:r>
          </w:p>
        </w:tc>
        <w:tc>
          <w:tcPr>
            <w:tcW w:w="1455" w:type="dxa"/>
            <w:tcBorders>
              <w:top w:val="nil"/>
              <w:left w:val="nil"/>
              <w:bottom w:val="single" w:sz="4"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677,9</w:t>
            </w:r>
          </w:p>
        </w:tc>
      </w:tr>
      <w:tr w:rsidR="004F4158" w:rsidTr="004F4158">
        <w:trPr>
          <w:trHeight w:val="315"/>
        </w:trPr>
        <w:tc>
          <w:tcPr>
            <w:tcW w:w="540" w:type="dxa"/>
            <w:tcBorders>
              <w:top w:val="nil"/>
              <w:left w:val="single" w:sz="4" w:space="0" w:color="auto"/>
              <w:bottom w:val="nil"/>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11.</w:t>
            </w:r>
          </w:p>
        </w:tc>
        <w:tc>
          <w:tcPr>
            <w:tcW w:w="4403" w:type="dxa"/>
            <w:tcBorders>
              <w:top w:val="nil"/>
              <w:left w:val="nil"/>
              <w:bottom w:val="nil"/>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Kijėlių specialusis ugdymo centras</w:t>
            </w:r>
          </w:p>
        </w:tc>
        <w:tc>
          <w:tcPr>
            <w:tcW w:w="1193" w:type="dxa"/>
            <w:tcBorders>
              <w:top w:val="nil"/>
              <w:left w:val="single" w:sz="8" w:space="0" w:color="auto"/>
              <w:bottom w:val="nil"/>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305,5</w:t>
            </w:r>
          </w:p>
        </w:tc>
        <w:tc>
          <w:tcPr>
            <w:tcW w:w="960" w:type="dxa"/>
            <w:tcBorders>
              <w:top w:val="nil"/>
              <w:left w:val="nil"/>
              <w:bottom w:val="nil"/>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23</w:t>
            </w:r>
          </w:p>
        </w:tc>
        <w:tc>
          <w:tcPr>
            <w:tcW w:w="1180" w:type="dxa"/>
            <w:tcBorders>
              <w:top w:val="nil"/>
              <w:left w:val="nil"/>
              <w:bottom w:val="nil"/>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13282,6</w:t>
            </w:r>
          </w:p>
        </w:tc>
        <w:tc>
          <w:tcPr>
            <w:tcW w:w="1105" w:type="dxa"/>
            <w:tcBorders>
              <w:top w:val="nil"/>
              <w:left w:val="nil"/>
              <w:bottom w:val="nil"/>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279,7</w:t>
            </w:r>
          </w:p>
        </w:tc>
        <w:tc>
          <w:tcPr>
            <w:tcW w:w="940" w:type="dxa"/>
            <w:tcBorders>
              <w:top w:val="nil"/>
              <w:left w:val="nil"/>
              <w:bottom w:val="nil"/>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22</w:t>
            </w:r>
          </w:p>
        </w:tc>
        <w:tc>
          <w:tcPr>
            <w:tcW w:w="1120" w:type="dxa"/>
            <w:tcBorders>
              <w:top w:val="nil"/>
              <w:left w:val="nil"/>
              <w:bottom w:val="nil"/>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12713,6</w:t>
            </w:r>
          </w:p>
        </w:tc>
        <w:tc>
          <w:tcPr>
            <w:tcW w:w="1120" w:type="dxa"/>
            <w:tcBorders>
              <w:top w:val="nil"/>
              <w:left w:val="nil"/>
              <w:bottom w:val="nil"/>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25,8</w:t>
            </w:r>
          </w:p>
        </w:tc>
        <w:tc>
          <w:tcPr>
            <w:tcW w:w="1060" w:type="dxa"/>
            <w:tcBorders>
              <w:top w:val="nil"/>
              <w:left w:val="nil"/>
              <w:bottom w:val="nil"/>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w:t>
            </w:r>
          </w:p>
        </w:tc>
        <w:tc>
          <w:tcPr>
            <w:tcW w:w="1455" w:type="dxa"/>
            <w:tcBorders>
              <w:top w:val="nil"/>
              <w:left w:val="nil"/>
              <w:bottom w:val="nil"/>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569,0</w:t>
            </w:r>
          </w:p>
        </w:tc>
      </w:tr>
      <w:tr w:rsidR="004F4158" w:rsidTr="004F4158">
        <w:trPr>
          <w:trHeight w:val="315"/>
        </w:trPr>
        <w:tc>
          <w:tcPr>
            <w:tcW w:w="4943" w:type="dxa"/>
            <w:gridSpan w:val="2"/>
            <w:tcBorders>
              <w:top w:val="single" w:sz="8" w:space="0" w:color="auto"/>
              <w:left w:val="single" w:sz="8" w:space="0" w:color="auto"/>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Neformaliojo ugdymo įstaigos</w:t>
            </w:r>
          </w:p>
        </w:tc>
        <w:tc>
          <w:tcPr>
            <w:tcW w:w="1193"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1180"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1105"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940"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1120"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1120"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1060" w:type="dxa"/>
            <w:tcBorders>
              <w:top w:val="single" w:sz="8" w:space="0" w:color="auto"/>
              <w:left w:val="nil"/>
              <w:bottom w:val="single" w:sz="8"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c>
          <w:tcPr>
            <w:tcW w:w="1455" w:type="dxa"/>
            <w:tcBorders>
              <w:top w:val="single" w:sz="8" w:space="0" w:color="auto"/>
              <w:left w:val="nil"/>
              <w:bottom w:val="single" w:sz="8" w:space="0" w:color="auto"/>
              <w:right w:val="single" w:sz="8" w:space="0" w:color="auto"/>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 </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12.</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menų mokykla</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425,9</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297</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1434,0</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383,3</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296</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1294,9</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42,6</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139,1</w:t>
            </w:r>
          </w:p>
        </w:tc>
      </w:tr>
      <w:tr w:rsidR="004F4158" w:rsidTr="004F4158">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13.</w:t>
            </w:r>
          </w:p>
        </w:tc>
        <w:tc>
          <w:tcPr>
            <w:tcW w:w="4403" w:type="dxa"/>
            <w:tcBorders>
              <w:top w:val="nil"/>
              <w:left w:val="nil"/>
              <w:bottom w:val="single" w:sz="4" w:space="0" w:color="auto"/>
              <w:right w:val="nil"/>
            </w:tcBorders>
            <w:shd w:val="clear" w:color="auto" w:fill="auto"/>
            <w:noWrap/>
            <w:vAlign w:val="bottom"/>
            <w:hideMark/>
          </w:tcPr>
          <w:p w:rsidR="004F4158" w:rsidRDefault="004F4158">
            <w:pPr>
              <w:rPr>
                <w:rFonts w:ascii="Calibri" w:hAnsi="Calibri" w:cs="Calibri"/>
                <w:color w:val="000000"/>
                <w:sz w:val="22"/>
                <w:szCs w:val="22"/>
              </w:rPr>
            </w:pPr>
            <w:r>
              <w:rPr>
                <w:rFonts w:ascii="Calibri" w:hAnsi="Calibri" w:cs="Calibri"/>
                <w:color w:val="000000"/>
                <w:sz w:val="22"/>
                <w:szCs w:val="22"/>
              </w:rPr>
              <w:t>Molėtų r. kūno kultūros ir sporto centras</w:t>
            </w:r>
          </w:p>
        </w:tc>
        <w:tc>
          <w:tcPr>
            <w:tcW w:w="1193" w:type="dxa"/>
            <w:tcBorders>
              <w:top w:val="nil"/>
              <w:left w:val="single" w:sz="8" w:space="0" w:color="auto"/>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265,2</w:t>
            </w:r>
          </w:p>
        </w:tc>
        <w:tc>
          <w:tcPr>
            <w:tcW w:w="9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195</w:t>
            </w:r>
          </w:p>
        </w:tc>
        <w:tc>
          <w:tcPr>
            <w:tcW w:w="118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1360,0</w:t>
            </w:r>
          </w:p>
        </w:tc>
        <w:tc>
          <w:tcPr>
            <w:tcW w:w="1105"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310,5</w:t>
            </w:r>
          </w:p>
        </w:tc>
        <w:tc>
          <w:tcPr>
            <w:tcW w:w="94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204</w:t>
            </w:r>
          </w:p>
        </w:tc>
        <w:tc>
          <w:tcPr>
            <w:tcW w:w="1120"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1522,1</w:t>
            </w:r>
          </w:p>
        </w:tc>
        <w:tc>
          <w:tcPr>
            <w:tcW w:w="112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-45,3</w:t>
            </w:r>
          </w:p>
        </w:tc>
        <w:tc>
          <w:tcPr>
            <w:tcW w:w="1060" w:type="dxa"/>
            <w:tcBorders>
              <w:top w:val="nil"/>
              <w:left w:val="nil"/>
              <w:bottom w:val="single" w:sz="4" w:space="0" w:color="auto"/>
              <w:right w:val="single" w:sz="4"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-9</w:t>
            </w:r>
          </w:p>
        </w:tc>
        <w:tc>
          <w:tcPr>
            <w:tcW w:w="1455" w:type="dxa"/>
            <w:tcBorders>
              <w:top w:val="nil"/>
              <w:left w:val="nil"/>
              <w:bottom w:val="single" w:sz="4" w:space="0" w:color="auto"/>
              <w:right w:val="single" w:sz="8" w:space="0" w:color="auto"/>
            </w:tcBorders>
            <w:shd w:val="clear" w:color="auto" w:fill="auto"/>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-162,1</w:t>
            </w:r>
          </w:p>
        </w:tc>
      </w:tr>
      <w:tr w:rsidR="004F4158" w:rsidTr="004F4158">
        <w:trPr>
          <w:trHeight w:val="315"/>
        </w:trPr>
        <w:tc>
          <w:tcPr>
            <w:tcW w:w="4943" w:type="dxa"/>
            <w:gridSpan w:val="2"/>
            <w:tcBorders>
              <w:top w:val="single" w:sz="4" w:space="0" w:color="auto"/>
              <w:left w:val="single" w:sz="4" w:space="0" w:color="auto"/>
              <w:bottom w:val="single" w:sz="4" w:space="0" w:color="auto"/>
              <w:right w:val="nil"/>
            </w:tcBorders>
            <w:shd w:val="clear" w:color="auto" w:fill="auto"/>
            <w:noWrap/>
            <w:vAlign w:val="bottom"/>
            <w:hideMark/>
          </w:tcPr>
          <w:p w:rsidR="004F4158" w:rsidRDefault="004F4158">
            <w:pPr>
              <w:rPr>
                <w:rFonts w:ascii="Calibri" w:hAnsi="Calibri" w:cs="Calibri"/>
                <w:b/>
                <w:bCs/>
                <w:color w:val="000000"/>
                <w:sz w:val="22"/>
                <w:szCs w:val="22"/>
              </w:rPr>
            </w:pPr>
            <w:r>
              <w:rPr>
                <w:rFonts w:ascii="Calibri" w:hAnsi="Calibri" w:cs="Calibri"/>
                <w:b/>
                <w:bCs/>
                <w:color w:val="000000"/>
                <w:sz w:val="22"/>
                <w:szCs w:val="22"/>
              </w:rPr>
              <w:t>Iš viso neformaliojo ugdymo įstaigų:</w:t>
            </w:r>
          </w:p>
        </w:tc>
        <w:tc>
          <w:tcPr>
            <w:tcW w:w="1193" w:type="dxa"/>
            <w:tcBorders>
              <w:top w:val="nil"/>
              <w:left w:val="single" w:sz="8" w:space="0" w:color="auto"/>
              <w:bottom w:val="single" w:sz="8"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691,1</w:t>
            </w:r>
          </w:p>
        </w:tc>
        <w:tc>
          <w:tcPr>
            <w:tcW w:w="960" w:type="dxa"/>
            <w:tcBorders>
              <w:top w:val="nil"/>
              <w:left w:val="nil"/>
              <w:bottom w:val="single" w:sz="8"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492</w:t>
            </w:r>
          </w:p>
        </w:tc>
        <w:tc>
          <w:tcPr>
            <w:tcW w:w="1180" w:type="dxa"/>
            <w:tcBorders>
              <w:top w:val="nil"/>
              <w:left w:val="nil"/>
              <w:bottom w:val="single" w:sz="8"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1404,7</w:t>
            </w:r>
          </w:p>
        </w:tc>
        <w:tc>
          <w:tcPr>
            <w:tcW w:w="1105" w:type="dxa"/>
            <w:tcBorders>
              <w:top w:val="nil"/>
              <w:left w:val="nil"/>
              <w:bottom w:val="single" w:sz="8"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693,8</w:t>
            </w:r>
          </w:p>
        </w:tc>
        <w:tc>
          <w:tcPr>
            <w:tcW w:w="940" w:type="dxa"/>
            <w:tcBorders>
              <w:top w:val="nil"/>
              <w:left w:val="nil"/>
              <w:bottom w:val="single" w:sz="8"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500</w:t>
            </w:r>
          </w:p>
        </w:tc>
        <w:tc>
          <w:tcPr>
            <w:tcW w:w="1120" w:type="dxa"/>
            <w:tcBorders>
              <w:top w:val="nil"/>
              <w:left w:val="nil"/>
              <w:bottom w:val="single" w:sz="8"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1387,6</w:t>
            </w:r>
          </w:p>
        </w:tc>
        <w:tc>
          <w:tcPr>
            <w:tcW w:w="1120" w:type="dxa"/>
            <w:tcBorders>
              <w:top w:val="nil"/>
              <w:left w:val="nil"/>
              <w:bottom w:val="single" w:sz="8"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-2,7</w:t>
            </w:r>
          </w:p>
        </w:tc>
        <w:tc>
          <w:tcPr>
            <w:tcW w:w="1060" w:type="dxa"/>
            <w:tcBorders>
              <w:top w:val="nil"/>
              <w:left w:val="nil"/>
              <w:bottom w:val="single" w:sz="8" w:space="0" w:color="auto"/>
              <w:right w:val="single" w:sz="4"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-8</w:t>
            </w:r>
          </w:p>
        </w:tc>
        <w:tc>
          <w:tcPr>
            <w:tcW w:w="1455" w:type="dxa"/>
            <w:tcBorders>
              <w:top w:val="nil"/>
              <w:left w:val="nil"/>
              <w:bottom w:val="single" w:sz="8" w:space="0" w:color="auto"/>
              <w:right w:val="single" w:sz="8" w:space="0" w:color="auto"/>
            </w:tcBorders>
            <w:shd w:val="clear" w:color="000000" w:fill="FFF2CC"/>
            <w:noWrap/>
            <w:vAlign w:val="bottom"/>
            <w:hideMark/>
          </w:tcPr>
          <w:p w:rsidR="004F4158" w:rsidRDefault="004F4158">
            <w:pPr>
              <w:jc w:val="right"/>
              <w:rPr>
                <w:rFonts w:ascii="Calibri" w:hAnsi="Calibri" w:cs="Calibri"/>
                <w:color w:val="000000"/>
                <w:sz w:val="22"/>
                <w:szCs w:val="22"/>
              </w:rPr>
            </w:pPr>
            <w:r>
              <w:rPr>
                <w:rFonts w:ascii="Calibri" w:hAnsi="Calibri" w:cs="Calibri"/>
                <w:color w:val="000000"/>
                <w:sz w:val="22"/>
                <w:szCs w:val="22"/>
              </w:rPr>
              <w:t>17,1</w:t>
            </w:r>
          </w:p>
        </w:tc>
      </w:tr>
    </w:tbl>
    <w:p w:rsidR="00CC6AE9" w:rsidRDefault="00CC6AE9" w:rsidP="00CC6AE9">
      <w:pPr>
        <w:spacing w:line="360" w:lineRule="auto"/>
        <w:jc w:val="center"/>
        <w:sectPr w:rsidR="00CC6AE9" w:rsidSect="00CC6AE9">
          <w:pgSz w:w="16838" w:h="11906" w:orient="landscape" w:code="9"/>
          <w:pgMar w:top="1134" w:right="1134" w:bottom="567" w:left="1134" w:header="567" w:footer="567" w:gutter="0"/>
          <w:cols w:space="1296"/>
          <w:titlePg/>
          <w:docGrid w:linePitch="360"/>
        </w:sectPr>
      </w:pPr>
      <w:r>
        <w:t>__________________________________</w:t>
      </w:r>
    </w:p>
    <w:p w:rsidR="00B37877" w:rsidRDefault="00B37877" w:rsidP="00B37877">
      <w:pPr>
        <w:tabs>
          <w:tab w:val="left" w:pos="1875"/>
        </w:tabs>
        <w:jc w:val="right"/>
        <w:rPr>
          <w:sz w:val="22"/>
          <w:szCs w:val="22"/>
        </w:rPr>
      </w:pPr>
      <w:r w:rsidRPr="007211DF">
        <w:rPr>
          <w:sz w:val="22"/>
          <w:szCs w:val="22"/>
        </w:rPr>
        <w:lastRenderedPageBreak/>
        <w:t>Aiškinamojo rašto "Dėl Molėtų rajono savivaldybės</w:t>
      </w:r>
    </w:p>
    <w:p w:rsidR="00B37877" w:rsidRDefault="00B37877" w:rsidP="00B37877">
      <w:pPr>
        <w:tabs>
          <w:tab w:val="left" w:pos="1875"/>
        </w:tabs>
        <w:rPr>
          <w:sz w:val="22"/>
          <w:szCs w:val="22"/>
        </w:rPr>
      </w:pPr>
      <w:r>
        <w:rPr>
          <w:sz w:val="22"/>
          <w:szCs w:val="22"/>
        </w:rPr>
        <w:t xml:space="preserve">                                                                                           </w:t>
      </w:r>
      <w:r w:rsidRPr="007211DF">
        <w:rPr>
          <w:sz w:val="22"/>
          <w:szCs w:val="22"/>
        </w:rPr>
        <w:t xml:space="preserve"> 20</w:t>
      </w:r>
      <w:r>
        <w:rPr>
          <w:sz w:val="22"/>
          <w:szCs w:val="22"/>
        </w:rPr>
        <w:t>20</w:t>
      </w:r>
      <w:r w:rsidRPr="007211DF">
        <w:rPr>
          <w:sz w:val="22"/>
          <w:szCs w:val="22"/>
        </w:rPr>
        <w:t xml:space="preserve"> m. biudžeto patvirtinimo"</w:t>
      </w:r>
    </w:p>
    <w:p w:rsidR="00B37877" w:rsidRDefault="00B37877" w:rsidP="00B37877">
      <w:pPr>
        <w:tabs>
          <w:tab w:val="left" w:pos="1875"/>
        </w:tabs>
        <w:rPr>
          <w:b/>
          <w:bCs/>
          <w:sz w:val="28"/>
          <w:szCs w:val="28"/>
        </w:rPr>
      </w:pPr>
      <w:r>
        <w:rPr>
          <w:sz w:val="22"/>
          <w:szCs w:val="22"/>
        </w:rPr>
        <w:t xml:space="preserve">                                                                                            </w:t>
      </w:r>
      <w:r w:rsidRPr="007211DF">
        <w:rPr>
          <w:sz w:val="22"/>
          <w:szCs w:val="22"/>
        </w:rPr>
        <w:t>2 priedas</w:t>
      </w:r>
      <w:r w:rsidRPr="00B37877">
        <w:rPr>
          <w:b/>
          <w:bCs/>
          <w:sz w:val="28"/>
          <w:szCs w:val="28"/>
        </w:rPr>
        <w:t xml:space="preserve"> </w:t>
      </w:r>
    </w:p>
    <w:p w:rsidR="00B37877" w:rsidRDefault="00B37877" w:rsidP="00B37877">
      <w:pPr>
        <w:tabs>
          <w:tab w:val="left" w:pos="1875"/>
        </w:tabs>
        <w:rPr>
          <w:b/>
          <w:bCs/>
          <w:sz w:val="28"/>
          <w:szCs w:val="28"/>
        </w:rPr>
      </w:pPr>
    </w:p>
    <w:p w:rsidR="007211DF" w:rsidRDefault="00B37877" w:rsidP="00B37877">
      <w:pPr>
        <w:tabs>
          <w:tab w:val="left" w:pos="1875"/>
        </w:tabs>
        <w:jc w:val="center"/>
        <w:rPr>
          <w:b/>
          <w:bCs/>
          <w:sz w:val="28"/>
          <w:szCs w:val="28"/>
        </w:rPr>
      </w:pPr>
      <w:r w:rsidRPr="007211DF">
        <w:rPr>
          <w:b/>
          <w:bCs/>
          <w:sz w:val="28"/>
          <w:szCs w:val="28"/>
        </w:rPr>
        <w:t>Molėtų rajono savivaldyb</w:t>
      </w:r>
      <w:r>
        <w:rPr>
          <w:b/>
          <w:bCs/>
          <w:sz w:val="28"/>
          <w:szCs w:val="28"/>
        </w:rPr>
        <w:t xml:space="preserve">ės vykdomų projektų planuojamas </w:t>
      </w:r>
      <w:r w:rsidRPr="007211DF">
        <w:rPr>
          <w:b/>
          <w:bCs/>
          <w:sz w:val="28"/>
          <w:szCs w:val="28"/>
        </w:rPr>
        <w:t>20</w:t>
      </w:r>
      <w:r>
        <w:rPr>
          <w:b/>
          <w:bCs/>
          <w:sz w:val="28"/>
          <w:szCs w:val="28"/>
        </w:rPr>
        <w:t>20</w:t>
      </w:r>
      <w:r w:rsidRPr="007211DF">
        <w:rPr>
          <w:b/>
          <w:bCs/>
          <w:sz w:val="28"/>
          <w:szCs w:val="28"/>
        </w:rPr>
        <w:t xml:space="preserve"> m. lėšų poreikis  pagal finansavimo šaltinius</w:t>
      </w:r>
      <w:r>
        <w:rPr>
          <w:b/>
          <w:bCs/>
          <w:sz w:val="28"/>
          <w:szCs w:val="28"/>
        </w:rPr>
        <w:t xml:space="preserve"> </w:t>
      </w:r>
    </w:p>
    <w:p w:rsidR="00B37877" w:rsidRDefault="00B37877" w:rsidP="00B37877">
      <w:pPr>
        <w:tabs>
          <w:tab w:val="left" w:pos="1875"/>
        </w:tabs>
        <w:jc w:val="center"/>
        <w:rPr>
          <w:b/>
          <w:bCs/>
          <w:sz w:val="28"/>
          <w:szCs w:val="28"/>
        </w:rPr>
      </w:pPr>
    </w:p>
    <w:tbl>
      <w:tblPr>
        <w:tblW w:w="0" w:type="auto"/>
        <w:tblLook w:val="04A0" w:firstRow="1" w:lastRow="0" w:firstColumn="1" w:lastColumn="0" w:noHBand="0" w:noVBand="1"/>
      </w:tblPr>
      <w:tblGrid>
        <w:gridCol w:w="559"/>
        <w:gridCol w:w="3261"/>
        <w:gridCol w:w="1253"/>
        <w:gridCol w:w="1008"/>
        <w:gridCol w:w="1008"/>
        <w:gridCol w:w="887"/>
        <w:gridCol w:w="765"/>
        <w:gridCol w:w="887"/>
      </w:tblGrid>
      <w:tr w:rsidR="00B37877" w:rsidTr="00B37877">
        <w:trPr>
          <w:trHeight w:val="315"/>
        </w:trPr>
        <w:tc>
          <w:tcPr>
            <w:tcW w:w="0" w:type="auto"/>
            <w:tcBorders>
              <w:top w:val="single" w:sz="4" w:space="0" w:color="auto"/>
              <w:left w:val="single" w:sz="4" w:space="0" w:color="auto"/>
              <w:bottom w:val="nil"/>
              <w:right w:val="nil"/>
            </w:tcBorders>
            <w:shd w:val="clear" w:color="000000" w:fill="FFFFFF"/>
            <w:noWrap/>
            <w:textDirection w:val="btLr"/>
            <w:vAlign w:val="center"/>
            <w:hideMark/>
          </w:tcPr>
          <w:p w:rsidR="00B37877" w:rsidRDefault="00B37877">
            <w:pPr>
              <w:jc w:val="center"/>
            </w:pPr>
            <w: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877" w:rsidRDefault="00B37877">
            <w:pPr>
              <w:jc w:val="center"/>
              <w:rPr>
                <w:b/>
                <w:bCs/>
                <w:color w:val="000000"/>
              </w:rPr>
            </w:pPr>
            <w:r>
              <w:rPr>
                <w:b/>
                <w:bCs/>
                <w:color w:val="000000"/>
              </w:rPr>
              <w:t xml:space="preserve">Projekto pavadinimas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877" w:rsidRDefault="00B37877">
            <w:pPr>
              <w:jc w:val="center"/>
              <w:rPr>
                <w:color w:val="000000"/>
              </w:rPr>
            </w:pPr>
            <w:r>
              <w:rPr>
                <w:color w:val="000000"/>
              </w:rPr>
              <w:t>Programa</w:t>
            </w:r>
          </w:p>
        </w:tc>
        <w:tc>
          <w:tcPr>
            <w:tcW w:w="0" w:type="auto"/>
            <w:gridSpan w:val="5"/>
            <w:tcBorders>
              <w:top w:val="single" w:sz="4" w:space="0" w:color="auto"/>
              <w:left w:val="nil"/>
              <w:bottom w:val="nil"/>
              <w:right w:val="single" w:sz="4" w:space="0" w:color="000000"/>
            </w:tcBorders>
            <w:shd w:val="clear" w:color="000000" w:fill="FFFFFF"/>
            <w:noWrap/>
            <w:vAlign w:val="center"/>
            <w:hideMark/>
          </w:tcPr>
          <w:p w:rsidR="00B37877" w:rsidRDefault="00B37877">
            <w:pPr>
              <w:jc w:val="center"/>
              <w:rPr>
                <w:b/>
                <w:bCs/>
              </w:rPr>
            </w:pPr>
            <w:r>
              <w:rPr>
                <w:b/>
                <w:bCs/>
              </w:rPr>
              <w:t>Planuojamas lėšų poreikis 2020 m.</w:t>
            </w:r>
          </w:p>
        </w:tc>
      </w:tr>
      <w:tr w:rsidR="00B37877" w:rsidTr="00B37877">
        <w:trPr>
          <w:trHeight w:val="975"/>
        </w:trPr>
        <w:tc>
          <w:tcPr>
            <w:tcW w:w="0" w:type="auto"/>
            <w:tcBorders>
              <w:top w:val="nil"/>
              <w:left w:val="single" w:sz="4" w:space="0" w:color="auto"/>
              <w:bottom w:val="single" w:sz="4" w:space="0" w:color="auto"/>
              <w:right w:val="nil"/>
            </w:tcBorders>
            <w:shd w:val="clear" w:color="000000" w:fill="FFFFFF"/>
            <w:vAlign w:val="center"/>
            <w:hideMark/>
          </w:tcPr>
          <w:p w:rsidR="00B37877" w:rsidRDefault="00B37877">
            <w:pPr>
              <w:jc w:val="center"/>
            </w:pPr>
            <w:r>
              <w:t>Eil.</w:t>
            </w:r>
            <w:r>
              <w:br/>
              <w:t xml:space="preserve"> Nr.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877" w:rsidRDefault="00B37877">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877" w:rsidRDefault="00B37877">
            <w:pPr>
              <w:rPr>
                <w:color w:val="000000"/>
              </w:rPr>
            </w:pPr>
          </w:p>
        </w:tc>
        <w:tc>
          <w:tcPr>
            <w:tcW w:w="0" w:type="auto"/>
            <w:tcBorders>
              <w:top w:val="single" w:sz="4" w:space="0" w:color="auto"/>
              <w:left w:val="nil"/>
              <w:bottom w:val="single" w:sz="4" w:space="0" w:color="auto"/>
              <w:right w:val="single" w:sz="4" w:space="0" w:color="auto"/>
            </w:tcBorders>
            <w:shd w:val="clear" w:color="000000" w:fill="FFFFFF"/>
            <w:textDirection w:val="btLr"/>
            <w:vAlign w:val="center"/>
            <w:hideMark/>
          </w:tcPr>
          <w:p w:rsidR="00B37877" w:rsidRDefault="00B37877">
            <w:pPr>
              <w:jc w:val="center"/>
              <w:rPr>
                <w:b/>
                <w:bCs/>
              </w:rPr>
            </w:pPr>
            <w:r>
              <w:rPr>
                <w:b/>
                <w:bCs/>
              </w:rPr>
              <w:t>Iš viso:</w:t>
            </w:r>
          </w:p>
        </w:tc>
        <w:tc>
          <w:tcPr>
            <w:tcW w:w="0" w:type="auto"/>
            <w:tcBorders>
              <w:top w:val="single" w:sz="4" w:space="0" w:color="auto"/>
              <w:left w:val="nil"/>
              <w:bottom w:val="single" w:sz="4" w:space="0" w:color="auto"/>
              <w:right w:val="single" w:sz="4" w:space="0" w:color="auto"/>
            </w:tcBorders>
            <w:shd w:val="clear" w:color="000000" w:fill="FFFFFF"/>
            <w:textDirection w:val="btLr"/>
            <w:vAlign w:val="center"/>
            <w:hideMark/>
          </w:tcPr>
          <w:p w:rsidR="00B37877" w:rsidRDefault="00B37877">
            <w:pPr>
              <w:jc w:val="center"/>
              <w:rPr>
                <w:b/>
                <w:bCs/>
              </w:rPr>
            </w:pPr>
            <w:r>
              <w:rPr>
                <w:b/>
                <w:bCs/>
              </w:rPr>
              <w:t>ES</w:t>
            </w:r>
          </w:p>
        </w:tc>
        <w:tc>
          <w:tcPr>
            <w:tcW w:w="0" w:type="auto"/>
            <w:tcBorders>
              <w:top w:val="single" w:sz="4" w:space="0" w:color="auto"/>
              <w:left w:val="nil"/>
              <w:bottom w:val="single" w:sz="4" w:space="0" w:color="auto"/>
              <w:right w:val="single" w:sz="4" w:space="0" w:color="auto"/>
            </w:tcBorders>
            <w:shd w:val="clear" w:color="000000" w:fill="FFFFFF"/>
            <w:textDirection w:val="btLr"/>
            <w:vAlign w:val="center"/>
            <w:hideMark/>
          </w:tcPr>
          <w:p w:rsidR="00B37877" w:rsidRDefault="00B37877">
            <w:pPr>
              <w:jc w:val="center"/>
              <w:rPr>
                <w:b/>
                <w:bCs/>
              </w:rPr>
            </w:pPr>
            <w:r>
              <w:rPr>
                <w:b/>
                <w:bCs/>
              </w:rPr>
              <w:t>SB</w:t>
            </w:r>
          </w:p>
        </w:tc>
        <w:tc>
          <w:tcPr>
            <w:tcW w:w="0" w:type="auto"/>
            <w:tcBorders>
              <w:top w:val="single" w:sz="4" w:space="0" w:color="auto"/>
              <w:left w:val="nil"/>
              <w:bottom w:val="single" w:sz="4" w:space="0" w:color="auto"/>
              <w:right w:val="single" w:sz="4" w:space="0" w:color="auto"/>
            </w:tcBorders>
            <w:shd w:val="clear" w:color="000000" w:fill="FFFFFF"/>
            <w:textDirection w:val="btLr"/>
            <w:vAlign w:val="center"/>
            <w:hideMark/>
          </w:tcPr>
          <w:p w:rsidR="00B37877" w:rsidRDefault="00B37877">
            <w:pPr>
              <w:jc w:val="center"/>
              <w:rPr>
                <w:b/>
                <w:bCs/>
              </w:rPr>
            </w:pPr>
            <w:r>
              <w:rPr>
                <w:b/>
                <w:bCs/>
              </w:rPr>
              <w:t>Kitos lėšos</w:t>
            </w:r>
          </w:p>
        </w:tc>
        <w:tc>
          <w:tcPr>
            <w:tcW w:w="0" w:type="auto"/>
            <w:tcBorders>
              <w:top w:val="single" w:sz="4" w:space="0" w:color="auto"/>
              <w:left w:val="nil"/>
              <w:bottom w:val="single" w:sz="4" w:space="0" w:color="auto"/>
              <w:right w:val="single" w:sz="4" w:space="0" w:color="auto"/>
            </w:tcBorders>
            <w:shd w:val="clear" w:color="000000" w:fill="FFFFFF"/>
            <w:textDirection w:val="btLr"/>
            <w:vAlign w:val="center"/>
            <w:hideMark/>
          </w:tcPr>
          <w:p w:rsidR="00B37877" w:rsidRDefault="00B37877">
            <w:pPr>
              <w:jc w:val="center"/>
              <w:rPr>
                <w:b/>
                <w:bCs/>
              </w:rPr>
            </w:pPr>
            <w:r>
              <w:rPr>
                <w:b/>
                <w:bCs/>
              </w:rPr>
              <w:t>Dotacija</w:t>
            </w:r>
          </w:p>
        </w:tc>
      </w:tr>
      <w:tr w:rsidR="00B37877" w:rsidTr="00B37877">
        <w:trPr>
          <w:trHeight w:val="330"/>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1.</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Molėtų miesto centrinės dalies kompleksinis sutvarkymas (I etapas)</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553,30</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310,80</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202,60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39,90</w:t>
            </w:r>
          </w:p>
        </w:tc>
      </w:tr>
      <w:tr w:rsidR="00B37877" w:rsidTr="00B37877">
        <w:trPr>
          <w:trHeight w:val="615"/>
        </w:trPr>
        <w:tc>
          <w:tcPr>
            <w:tcW w:w="0" w:type="auto"/>
            <w:tcBorders>
              <w:top w:val="single" w:sz="4" w:space="0" w:color="auto"/>
              <w:left w:val="single" w:sz="4" w:space="0" w:color="auto"/>
              <w:bottom w:val="single" w:sz="4" w:space="0" w:color="auto"/>
              <w:right w:val="nil"/>
            </w:tcBorders>
            <w:shd w:val="clear" w:color="000000" w:fill="FFFFFF"/>
            <w:hideMark/>
          </w:tcPr>
          <w:p w:rsidR="00B37877" w:rsidRDefault="00B37877">
            <w:pPr>
              <w:rPr>
                <w:color w:val="000000"/>
              </w:rPr>
            </w:pPr>
            <w:r>
              <w:rPr>
                <w:color w:val="000000"/>
              </w:rPr>
              <w:t>2.</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Molėtų miesto J. Janonio g. gyvenamojo kvartalo viešosios infrastruktūros sutvarkymas</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381,10</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219,70</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151,90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9,50</w:t>
            </w:r>
          </w:p>
        </w:tc>
      </w:tr>
      <w:tr w:rsidR="00B37877" w:rsidTr="00B37877">
        <w:trPr>
          <w:trHeight w:val="390"/>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3.</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Molėtų miesto centrinės dalies kompleksinis sutvarkymas (II etapas)</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333,60</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253,40</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59,30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pPr>
            <w:r>
              <w:t>20,90</w:t>
            </w:r>
          </w:p>
        </w:tc>
      </w:tr>
      <w:tr w:rsidR="00B37877" w:rsidTr="00B37877">
        <w:trPr>
          <w:trHeight w:val="375"/>
        </w:trPr>
        <w:tc>
          <w:tcPr>
            <w:tcW w:w="0" w:type="auto"/>
            <w:tcBorders>
              <w:top w:val="nil"/>
              <w:left w:val="single" w:sz="4" w:space="0" w:color="auto"/>
              <w:bottom w:val="single" w:sz="4" w:space="0" w:color="auto"/>
              <w:right w:val="nil"/>
            </w:tcBorders>
            <w:shd w:val="clear" w:color="000000" w:fill="FFFFFF"/>
            <w:hideMark/>
          </w:tcPr>
          <w:p w:rsidR="00B37877" w:rsidRDefault="00B37877">
            <w:pPr>
              <w:rPr>
                <w:color w:val="000000"/>
              </w:rPr>
            </w:pPr>
            <w:r>
              <w:rPr>
                <w:color w:val="000000"/>
              </w:rPr>
              <w:t>4.</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Saugaus eismo priemonių diegimas Molėtų rajono Giedraičių miestelyje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83,90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16,10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600"/>
        </w:trPr>
        <w:tc>
          <w:tcPr>
            <w:tcW w:w="0" w:type="auto"/>
            <w:tcBorders>
              <w:top w:val="nil"/>
              <w:left w:val="single" w:sz="4" w:space="0" w:color="auto"/>
              <w:bottom w:val="single" w:sz="4" w:space="0" w:color="auto"/>
              <w:right w:val="nil"/>
            </w:tcBorders>
            <w:shd w:val="clear" w:color="000000" w:fill="FFFFFF"/>
            <w:hideMark/>
          </w:tcPr>
          <w:p w:rsidR="00B37877" w:rsidRDefault="00B37877">
            <w:pPr>
              <w:rPr>
                <w:color w:val="000000"/>
              </w:rPr>
            </w:pPr>
            <w:r>
              <w:rPr>
                <w:color w:val="000000"/>
              </w:rPr>
              <w:t>5.</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Vandens tiekimo ir nuotekų tvarkymo infrastruktūros plėtra ir rekonstrukcija Molėtų rajone (II etapas)</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100,00</w:t>
            </w:r>
          </w:p>
        </w:tc>
      </w:tr>
      <w:tr w:rsidR="00B37877" w:rsidTr="00B37877">
        <w:trPr>
          <w:trHeight w:val="540"/>
        </w:trPr>
        <w:tc>
          <w:tcPr>
            <w:tcW w:w="0" w:type="auto"/>
            <w:tcBorders>
              <w:top w:val="nil"/>
              <w:left w:val="single" w:sz="4" w:space="0" w:color="auto"/>
              <w:bottom w:val="single" w:sz="4" w:space="0" w:color="auto"/>
              <w:right w:val="nil"/>
            </w:tcBorders>
            <w:shd w:val="clear" w:color="000000" w:fill="FFFFFF"/>
            <w:hideMark/>
          </w:tcPr>
          <w:p w:rsidR="00B37877" w:rsidRDefault="00B37877">
            <w:pPr>
              <w:rPr>
                <w:color w:val="000000"/>
              </w:rPr>
            </w:pPr>
            <w:r>
              <w:rPr>
                <w:color w:val="000000"/>
              </w:rPr>
              <w:t>6.</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Kūrybiškumą skatinančių edukacinių erdvių kūrimas Molėtų gimnazijos vidaus patalpose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198,60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168,80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29,80</w:t>
            </w:r>
          </w:p>
        </w:tc>
      </w:tr>
      <w:tr w:rsidR="00B37877" w:rsidTr="00B37877">
        <w:trPr>
          <w:trHeight w:val="585"/>
        </w:trPr>
        <w:tc>
          <w:tcPr>
            <w:tcW w:w="0" w:type="auto"/>
            <w:tcBorders>
              <w:top w:val="nil"/>
              <w:left w:val="single" w:sz="4" w:space="0" w:color="auto"/>
              <w:bottom w:val="single" w:sz="4" w:space="0" w:color="auto"/>
              <w:right w:val="nil"/>
            </w:tcBorders>
            <w:shd w:val="clear" w:color="000000" w:fill="FFFFFF"/>
            <w:hideMark/>
          </w:tcPr>
          <w:p w:rsidR="00B37877" w:rsidRDefault="00B37877">
            <w:pPr>
              <w:rPr>
                <w:color w:val="000000"/>
              </w:rPr>
            </w:pPr>
            <w:r>
              <w:rPr>
                <w:color w:val="000000"/>
              </w:rPr>
              <w:t>7.</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Molėtų r. pirminės sveikatos priežiūros centro veiklos efektyvumo didinimas“ įgyvendinimo</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108,30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89,20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19,10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405"/>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8.</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Institucinės globos pertvarka: Investicijos į infrastruktūrą</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161,20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113,70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47,50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300"/>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9.</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Socialinio būsto fondo plėtra Molėtų rajono savivaldybėje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181,90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172,80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9,10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570"/>
        </w:trPr>
        <w:tc>
          <w:tcPr>
            <w:tcW w:w="0" w:type="auto"/>
            <w:tcBorders>
              <w:top w:val="single" w:sz="4" w:space="0" w:color="auto"/>
              <w:left w:val="single" w:sz="4" w:space="0" w:color="auto"/>
              <w:bottom w:val="single" w:sz="4" w:space="0" w:color="auto"/>
              <w:right w:val="nil"/>
            </w:tcBorders>
            <w:shd w:val="clear" w:color="000000" w:fill="FFFFFF"/>
            <w:hideMark/>
          </w:tcPr>
          <w:p w:rsidR="00B37877" w:rsidRDefault="00B37877">
            <w:pPr>
              <w:rPr>
                <w:color w:val="000000"/>
              </w:rPr>
            </w:pPr>
            <w:r>
              <w:rPr>
                <w:color w:val="000000"/>
              </w:rPr>
              <w:t>10.</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Visuomeninės paskirties pastato Mindūnuose modernizavimas pritaikant bendruomenės poreikiams</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180,70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80,00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100,70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555"/>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11.</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Molėtų r. Joniškio mokyklos – daugiafunkcio centro pastato renovacijos užbaigimas</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134,40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46,20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88,20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570"/>
        </w:trPr>
        <w:tc>
          <w:tcPr>
            <w:tcW w:w="0" w:type="auto"/>
            <w:tcBorders>
              <w:top w:val="single" w:sz="4" w:space="0" w:color="auto"/>
              <w:left w:val="single" w:sz="4" w:space="0" w:color="auto"/>
              <w:bottom w:val="nil"/>
              <w:right w:val="nil"/>
            </w:tcBorders>
            <w:shd w:val="clear" w:color="000000" w:fill="FFFFFF"/>
            <w:hideMark/>
          </w:tcPr>
          <w:p w:rsidR="00B37877" w:rsidRDefault="00B37877">
            <w:pPr>
              <w:rPr>
                <w:color w:val="000000"/>
              </w:rPr>
            </w:pPr>
            <w:r>
              <w:rPr>
                <w:color w:val="000000"/>
              </w:rPr>
              <w:t>12.</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Bešeimininkių apleistų, kraštovaizdį darkančių statinių likvidavimas Molėtų rajono savivaldybėje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4</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54,80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54,80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525"/>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lastRenderedPageBreak/>
              <w:t>13.</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Kraštovaizdžio planavimas, tvarkymas ir būklės gerinimas Molėtų rajone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4</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46,10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39,20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6,90</w:t>
            </w:r>
          </w:p>
        </w:tc>
      </w:tr>
      <w:tr w:rsidR="00B37877" w:rsidTr="00B37877">
        <w:trPr>
          <w:trHeight w:val="630"/>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14.</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Viešosios infrastruktūros ir rekreacinės turizmo žvejybos plėtra „Žvejybos rojuje“ Mindūnuose (laivas)</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29,60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28,40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405"/>
        </w:trPr>
        <w:tc>
          <w:tcPr>
            <w:tcW w:w="0" w:type="auto"/>
            <w:tcBorders>
              <w:top w:val="single" w:sz="4" w:space="0" w:color="auto"/>
              <w:left w:val="single" w:sz="4" w:space="0" w:color="auto"/>
              <w:bottom w:val="single" w:sz="4" w:space="0" w:color="auto"/>
              <w:right w:val="nil"/>
            </w:tcBorders>
            <w:shd w:val="clear" w:color="000000" w:fill="FFFFFF"/>
            <w:hideMark/>
          </w:tcPr>
          <w:p w:rsidR="00B37877" w:rsidRDefault="00B37877">
            <w:pPr>
              <w:rPr>
                <w:color w:val="000000"/>
              </w:rPr>
            </w:pPr>
            <w:r>
              <w:rPr>
                <w:color w:val="000000"/>
              </w:rPr>
              <w:t>15.</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Informacinės infrastruktūros plėtra Ignalinos, Molėtų ir Utenos rajonuose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90,20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76,50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13,70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450"/>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16.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Learn Eco Travel</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25,40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23,50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345"/>
        </w:trPr>
        <w:tc>
          <w:tcPr>
            <w:tcW w:w="0" w:type="auto"/>
            <w:tcBorders>
              <w:top w:val="single" w:sz="4" w:space="0" w:color="auto"/>
              <w:left w:val="single" w:sz="4" w:space="0" w:color="auto"/>
              <w:bottom w:val="single" w:sz="4" w:space="0" w:color="auto"/>
              <w:right w:val="nil"/>
            </w:tcBorders>
            <w:shd w:val="clear" w:color="000000" w:fill="FFFFFF"/>
            <w:hideMark/>
          </w:tcPr>
          <w:p w:rsidR="00B37877" w:rsidRDefault="00B37877">
            <w:pPr>
              <w:rPr>
                <w:color w:val="000000"/>
              </w:rPr>
            </w:pPr>
            <w:r>
              <w:rPr>
                <w:color w:val="000000"/>
              </w:rPr>
              <w:t>17.</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 xml:space="preserve">Sveikos  gyvensenos skatinimas Molėtų rajone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70,00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64,80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5,20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570"/>
        </w:trPr>
        <w:tc>
          <w:tcPr>
            <w:tcW w:w="0" w:type="auto"/>
            <w:tcBorders>
              <w:top w:val="nil"/>
              <w:left w:val="single" w:sz="4" w:space="0" w:color="auto"/>
              <w:bottom w:val="nil"/>
              <w:right w:val="nil"/>
            </w:tcBorders>
            <w:shd w:val="clear" w:color="000000" w:fill="FFFFFF"/>
            <w:hideMark/>
          </w:tcPr>
          <w:p w:rsidR="00B37877" w:rsidRDefault="00B37877">
            <w:pPr>
              <w:rPr>
                <w:color w:val="000000"/>
              </w:rPr>
            </w:pPr>
            <w:r>
              <w:rPr>
                <w:color w:val="000000"/>
              </w:rPr>
              <w:t>18.</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Kompleksinių paslaugų šeimai prieinamumo didinimas Molėtų rajono savivaldybėje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77,20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77,20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r>
      <w:tr w:rsidR="00B37877" w:rsidTr="00B37877">
        <w:trPr>
          <w:trHeight w:val="540"/>
        </w:trPr>
        <w:tc>
          <w:tcPr>
            <w:tcW w:w="0" w:type="auto"/>
            <w:tcBorders>
              <w:top w:val="single" w:sz="4" w:space="0" w:color="auto"/>
              <w:left w:val="single" w:sz="4" w:space="0" w:color="auto"/>
              <w:bottom w:val="single" w:sz="4" w:space="0" w:color="auto"/>
              <w:right w:val="nil"/>
            </w:tcBorders>
            <w:shd w:val="clear" w:color="000000" w:fill="FFFFFF"/>
            <w:hideMark/>
          </w:tcPr>
          <w:p w:rsidR="00B37877" w:rsidRDefault="00B37877">
            <w:pPr>
              <w:rPr>
                <w:color w:val="000000"/>
              </w:rPr>
            </w:pPr>
            <w:r>
              <w:rPr>
                <w:color w:val="000000"/>
              </w:rPr>
              <w:t>19.</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B37877" w:rsidRDefault="00B37877">
            <w:pPr>
              <w:rPr>
                <w:color w:val="000000"/>
              </w:rPr>
            </w:pPr>
            <w:r>
              <w:rPr>
                <w:color w:val="000000"/>
              </w:rPr>
              <w:t>Paslaugų ir asmenų aptarnavimo kokybės gerinimas Molėtų rajono savivaldybėje</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2</w:t>
            </w:r>
          </w:p>
        </w:tc>
        <w:tc>
          <w:tcPr>
            <w:tcW w:w="0" w:type="auto"/>
            <w:tcBorders>
              <w:top w:val="nil"/>
              <w:left w:val="nil"/>
              <w:bottom w:val="single" w:sz="4" w:space="0" w:color="auto"/>
              <w:right w:val="single" w:sz="4" w:space="0" w:color="auto"/>
            </w:tcBorders>
            <w:shd w:val="clear" w:color="000000" w:fill="FFFFFF"/>
            <w:vAlign w:val="bottom"/>
            <w:hideMark/>
          </w:tcPr>
          <w:p w:rsidR="00B37877" w:rsidRDefault="00B37877">
            <w:pPr>
              <w:jc w:val="right"/>
              <w:rPr>
                <w:b/>
                <w:bCs/>
                <w:color w:val="000000"/>
              </w:rPr>
            </w:pPr>
            <w:r>
              <w:rPr>
                <w:b/>
                <w:bCs/>
                <w:color w:val="000000"/>
              </w:rPr>
              <w:t>109,00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91,00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rPr>
                <w:color w:val="000000"/>
              </w:rPr>
            </w:pPr>
            <w:r>
              <w:rPr>
                <w:color w:val="00000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color w:val="000000"/>
              </w:rPr>
            </w:pPr>
            <w:r>
              <w:rPr>
                <w:color w:val="000000"/>
              </w:rPr>
              <w:t>18,00</w:t>
            </w:r>
          </w:p>
        </w:tc>
      </w:tr>
      <w:tr w:rsidR="00B37877" w:rsidTr="00B37877">
        <w:trPr>
          <w:trHeight w:val="315"/>
        </w:trPr>
        <w:tc>
          <w:tcPr>
            <w:tcW w:w="0" w:type="auto"/>
            <w:tcBorders>
              <w:top w:val="nil"/>
              <w:left w:val="nil"/>
              <w:bottom w:val="nil"/>
              <w:right w:val="nil"/>
            </w:tcBorders>
            <w:shd w:val="clear" w:color="auto" w:fill="auto"/>
            <w:noWrap/>
            <w:vAlign w:val="bottom"/>
            <w:hideMark/>
          </w:tcPr>
          <w:p w:rsidR="00B37877" w:rsidRDefault="00B37877">
            <w:pPr>
              <w:jc w:val="right"/>
              <w:rPr>
                <w:color w:val="000000"/>
              </w:rPr>
            </w:pPr>
          </w:p>
        </w:tc>
        <w:tc>
          <w:tcPr>
            <w:tcW w:w="0" w:type="auto"/>
            <w:gridSpan w:val="2"/>
            <w:tcBorders>
              <w:top w:val="single" w:sz="4" w:space="0" w:color="auto"/>
              <w:left w:val="single" w:sz="4" w:space="0" w:color="auto"/>
              <w:bottom w:val="single" w:sz="4" w:space="0" w:color="auto"/>
              <w:right w:val="nil"/>
            </w:tcBorders>
            <w:shd w:val="clear" w:color="000000" w:fill="FFFFFF"/>
            <w:noWrap/>
            <w:vAlign w:val="bottom"/>
            <w:hideMark/>
          </w:tcPr>
          <w:p w:rsidR="00B37877" w:rsidRDefault="00B37877">
            <w:pPr>
              <w:jc w:val="center"/>
              <w:rPr>
                <w:b/>
                <w:bCs/>
                <w:color w:val="000000"/>
                <w:sz w:val="22"/>
                <w:szCs w:val="22"/>
              </w:rPr>
            </w:pPr>
            <w:r>
              <w:rPr>
                <w:b/>
                <w:bCs/>
                <w:color w:val="000000"/>
                <w:sz w:val="22"/>
                <w:szCs w:val="22"/>
              </w:rPr>
              <w:t>Iš viso:</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rFonts w:ascii="Calibri" w:hAnsi="Calibri" w:cs="Calibri"/>
                <w:b/>
                <w:bCs/>
                <w:color w:val="000000"/>
              </w:rPr>
            </w:pPr>
            <w:r>
              <w:rPr>
                <w:rFonts w:ascii="Calibri" w:hAnsi="Calibri" w:cs="Calibri"/>
                <w:b/>
                <w:bCs/>
                <w:color w:val="000000"/>
              </w:rPr>
              <w:t>2935,40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rFonts w:ascii="Calibri" w:hAnsi="Calibri" w:cs="Calibri"/>
                <w:b/>
                <w:bCs/>
                <w:color w:val="000000"/>
              </w:rPr>
            </w:pPr>
            <w:r>
              <w:rPr>
                <w:rFonts w:ascii="Calibri" w:hAnsi="Calibri" w:cs="Calibri"/>
                <w:b/>
                <w:bCs/>
                <w:color w:val="000000"/>
              </w:rPr>
              <w:t>1993,90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rFonts w:ascii="Calibri" w:hAnsi="Calibri" w:cs="Calibri"/>
                <w:b/>
                <w:bCs/>
                <w:color w:val="000000"/>
              </w:rPr>
            </w:pPr>
            <w:r>
              <w:rPr>
                <w:rFonts w:ascii="Calibri" w:hAnsi="Calibri" w:cs="Calibri"/>
                <w:b/>
                <w:bCs/>
                <w:color w:val="000000"/>
              </w:rPr>
              <w:t>691,30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rFonts w:ascii="Calibri" w:hAnsi="Calibri" w:cs="Calibri"/>
                <w:b/>
                <w:bCs/>
                <w:color w:val="000000"/>
              </w:rPr>
            </w:pPr>
            <w:r>
              <w:rPr>
                <w:rFonts w:ascii="Calibri" w:hAnsi="Calibri" w:cs="Calibri"/>
                <w:b/>
                <w:bCs/>
                <w:color w:val="000000"/>
              </w:rPr>
              <w:t>25,20</w:t>
            </w:r>
          </w:p>
        </w:tc>
        <w:tc>
          <w:tcPr>
            <w:tcW w:w="0" w:type="auto"/>
            <w:tcBorders>
              <w:top w:val="nil"/>
              <w:left w:val="nil"/>
              <w:bottom w:val="single" w:sz="4" w:space="0" w:color="auto"/>
              <w:right w:val="single" w:sz="4" w:space="0" w:color="auto"/>
            </w:tcBorders>
            <w:shd w:val="clear" w:color="000000" w:fill="FFFFFF"/>
            <w:noWrap/>
            <w:vAlign w:val="bottom"/>
            <w:hideMark/>
          </w:tcPr>
          <w:p w:rsidR="00B37877" w:rsidRDefault="00B37877">
            <w:pPr>
              <w:jc w:val="right"/>
              <w:rPr>
                <w:rFonts w:ascii="Calibri" w:hAnsi="Calibri" w:cs="Calibri"/>
                <w:b/>
                <w:bCs/>
                <w:color w:val="000000"/>
              </w:rPr>
            </w:pPr>
            <w:r>
              <w:rPr>
                <w:rFonts w:ascii="Calibri" w:hAnsi="Calibri" w:cs="Calibri"/>
                <w:b/>
                <w:bCs/>
                <w:color w:val="000000"/>
              </w:rPr>
              <w:t>225,00</w:t>
            </w:r>
          </w:p>
        </w:tc>
      </w:tr>
      <w:tr w:rsidR="00B37877" w:rsidTr="00B37877">
        <w:trPr>
          <w:trHeight w:val="315"/>
        </w:trPr>
        <w:tc>
          <w:tcPr>
            <w:tcW w:w="0" w:type="auto"/>
            <w:tcBorders>
              <w:top w:val="nil"/>
              <w:left w:val="nil"/>
              <w:bottom w:val="nil"/>
              <w:right w:val="nil"/>
            </w:tcBorders>
            <w:shd w:val="clear" w:color="auto" w:fill="auto"/>
            <w:noWrap/>
            <w:vAlign w:val="bottom"/>
            <w:hideMark/>
          </w:tcPr>
          <w:p w:rsidR="00B37877" w:rsidRDefault="00B37877">
            <w:pPr>
              <w:jc w:val="right"/>
              <w:rPr>
                <w:rFonts w:ascii="Calibri" w:hAnsi="Calibri" w:cs="Calibri"/>
                <w:b/>
                <w:bCs/>
                <w:color w:val="000000"/>
              </w:rPr>
            </w:pPr>
          </w:p>
        </w:tc>
        <w:tc>
          <w:tcPr>
            <w:tcW w:w="0" w:type="auto"/>
            <w:gridSpan w:val="7"/>
            <w:tcBorders>
              <w:top w:val="single" w:sz="4" w:space="0" w:color="auto"/>
              <w:left w:val="nil"/>
              <w:bottom w:val="single" w:sz="4" w:space="0" w:color="auto"/>
              <w:right w:val="nil"/>
            </w:tcBorders>
            <w:shd w:val="clear" w:color="auto" w:fill="auto"/>
            <w:noWrap/>
            <w:vAlign w:val="bottom"/>
            <w:hideMark/>
          </w:tcPr>
          <w:p w:rsidR="00B37877" w:rsidRDefault="00B37877">
            <w:pPr>
              <w:rPr>
                <w:b/>
                <w:bCs/>
                <w:color w:val="000000"/>
              </w:rPr>
            </w:pPr>
            <w:r>
              <w:rPr>
                <w:b/>
                <w:bCs/>
                <w:color w:val="000000"/>
              </w:rPr>
              <w:t>Projektų paskirstymas pagal finansavimo šaltinius ir  programas:</w:t>
            </w:r>
          </w:p>
        </w:tc>
      </w:tr>
      <w:tr w:rsidR="005507E3" w:rsidTr="003D3DD3">
        <w:trPr>
          <w:trHeight w:val="1223"/>
        </w:trPr>
        <w:tc>
          <w:tcPr>
            <w:tcW w:w="0" w:type="auto"/>
            <w:tcBorders>
              <w:top w:val="nil"/>
              <w:left w:val="nil"/>
              <w:bottom w:val="nil"/>
              <w:right w:val="nil"/>
            </w:tcBorders>
            <w:shd w:val="clear" w:color="auto" w:fill="auto"/>
            <w:noWrap/>
            <w:vAlign w:val="bottom"/>
          </w:tcPr>
          <w:p w:rsidR="005507E3" w:rsidRDefault="005507E3" w:rsidP="005507E3">
            <w:pPr>
              <w:rPr>
                <w:b/>
                <w:bCs/>
                <w:color w:val="000000"/>
              </w:rPr>
            </w:pPr>
          </w:p>
        </w:tc>
        <w:tc>
          <w:tcPr>
            <w:tcW w:w="0" w:type="auto"/>
            <w:vMerge w:val="restart"/>
            <w:tcBorders>
              <w:top w:val="nil"/>
              <w:left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r>
              <w:rPr>
                <w:color w:val="000000"/>
              </w:rPr>
              <w:t>Programa</w:t>
            </w:r>
          </w:p>
        </w:tc>
        <w:tc>
          <w:tcPr>
            <w:tcW w:w="0" w:type="auto"/>
            <w:tcBorders>
              <w:top w:val="nil"/>
              <w:left w:val="nil"/>
              <w:bottom w:val="single" w:sz="4" w:space="0" w:color="auto"/>
              <w:right w:val="single" w:sz="4" w:space="0" w:color="auto"/>
            </w:tcBorders>
            <w:shd w:val="clear" w:color="auto" w:fill="auto"/>
            <w:noWrap/>
            <w:textDirection w:val="btLr"/>
            <w:vAlign w:val="center"/>
          </w:tcPr>
          <w:p w:rsidR="005507E3" w:rsidRDefault="005507E3" w:rsidP="005507E3">
            <w:pPr>
              <w:jc w:val="center"/>
              <w:rPr>
                <w:b/>
                <w:bCs/>
              </w:rPr>
            </w:pPr>
            <w:r>
              <w:rPr>
                <w:b/>
                <w:bCs/>
              </w:rPr>
              <w:t>Iš viso:</w:t>
            </w:r>
          </w:p>
        </w:tc>
        <w:tc>
          <w:tcPr>
            <w:tcW w:w="0" w:type="auto"/>
            <w:tcBorders>
              <w:top w:val="nil"/>
              <w:left w:val="nil"/>
              <w:bottom w:val="single" w:sz="4" w:space="0" w:color="auto"/>
              <w:right w:val="single" w:sz="4" w:space="0" w:color="auto"/>
            </w:tcBorders>
            <w:shd w:val="clear" w:color="000000" w:fill="FFFFFF"/>
            <w:noWrap/>
            <w:textDirection w:val="btLr"/>
            <w:vAlign w:val="center"/>
          </w:tcPr>
          <w:p w:rsidR="005507E3" w:rsidRDefault="005507E3" w:rsidP="005507E3">
            <w:pPr>
              <w:jc w:val="center"/>
              <w:rPr>
                <w:b/>
                <w:bCs/>
              </w:rPr>
            </w:pPr>
            <w:r>
              <w:rPr>
                <w:b/>
                <w:bCs/>
              </w:rPr>
              <w:t>ES</w:t>
            </w:r>
          </w:p>
        </w:tc>
        <w:tc>
          <w:tcPr>
            <w:tcW w:w="0" w:type="auto"/>
            <w:tcBorders>
              <w:top w:val="nil"/>
              <w:left w:val="nil"/>
              <w:bottom w:val="single" w:sz="4" w:space="0" w:color="auto"/>
              <w:right w:val="single" w:sz="4" w:space="0" w:color="auto"/>
            </w:tcBorders>
            <w:shd w:val="clear" w:color="auto" w:fill="auto"/>
            <w:noWrap/>
            <w:textDirection w:val="btLr"/>
            <w:vAlign w:val="center"/>
          </w:tcPr>
          <w:p w:rsidR="005507E3" w:rsidRDefault="005507E3" w:rsidP="005507E3">
            <w:pPr>
              <w:jc w:val="center"/>
              <w:rPr>
                <w:b/>
                <w:bCs/>
              </w:rPr>
            </w:pPr>
            <w:r>
              <w:rPr>
                <w:b/>
                <w:bCs/>
              </w:rPr>
              <w:t>SB</w:t>
            </w:r>
          </w:p>
        </w:tc>
        <w:tc>
          <w:tcPr>
            <w:tcW w:w="0" w:type="auto"/>
            <w:tcBorders>
              <w:top w:val="nil"/>
              <w:left w:val="nil"/>
              <w:bottom w:val="single" w:sz="4" w:space="0" w:color="auto"/>
              <w:right w:val="single" w:sz="4" w:space="0" w:color="auto"/>
            </w:tcBorders>
            <w:shd w:val="clear" w:color="auto" w:fill="auto"/>
            <w:noWrap/>
            <w:textDirection w:val="btLr"/>
            <w:vAlign w:val="center"/>
          </w:tcPr>
          <w:p w:rsidR="005507E3" w:rsidRDefault="005507E3" w:rsidP="005507E3">
            <w:pPr>
              <w:jc w:val="center"/>
              <w:rPr>
                <w:b/>
                <w:bCs/>
              </w:rPr>
            </w:pPr>
            <w:r>
              <w:rPr>
                <w:b/>
                <w:bCs/>
              </w:rPr>
              <w:t>Kitos lėšos</w:t>
            </w:r>
          </w:p>
        </w:tc>
        <w:tc>
          <w:tcPr>
            <w:tcW w:w="0" w:type="auto"/>
            <w:tcBorders>
              <w:top w:val="nil"/>
              <w:left w:val="nil"/>
              <w:bottom w:val="single" w:sz="4" w:space="0" w:color="auto"/>
              <w:right w:val="single" w:sz="4" w:space="0" w:color="auto"/>
            </w:tcBorders>
            <w:shd w:val="clear" w:color="auto" w:fill="auto"/>
            <w:noWrap/>
            <w:textDirection w:val="btLr"/>
            <w:vAlign w:val="center"/>
          </w:tcPr>
          <w:p w:rsidR="005507E3" w:rsidRDefault="005507E3" w:rsidP="005507E3">
            <w:pPr>
              <w:jc w:val="center"/>
              <w:rPr>
                <w:b/>
                <w:bCs/>
              </w:rPr>
            </w:pPr>
            <w:r>
              <w:rPr>
                <w:b/>
                <w:bCs/>
              </w:rPr>
              <w:t>Dotacija</w:t>
            </w:r>
          </w:p>
        </w:tc>
      </w:tr>
      <w:tr w:rsidR="005507E3" w:rsidTr="003D3DD3">
        <w:trPr>
          <w:trHeight w:val="300"/>
        </w:trPr>
        <w:tc>
          <w:tcPr>
            <w:tcW w:w="0" w:type="auto"/>
            <w:tcBorders>
              <w:top w:val="nil"/>
              <w:left w:val="nil"/>
              <w:bottom w:val="nil"/>
              <w:right w:val="nil"/>
            </w:tcBorders>
            <w:shd w:val="clear" w:color="auto" w:fill="auto"/>
            <w:noWrap/>
            <w:vAlign w:val="bottom"/>
            <w:hideMark/>
          </w:tcPr>
          <w:p w:rsidR="005507E3" w:rsidRDefault="005507E3" w:rsidP="005507E3">
            <w:pPr>
              <w:rPr>
                <w:b/>
                <w:bCs/>
                <w:color w:val="000000"/>
              </w:rPr>
            </w:pPr>
          </w:p>
        </w:tc>
        <w:tc>
          <w:tcPr>
            <w:tcW w:w="0" w:type="auto"/>
            <w:vMerge/>
            <w:tcBorders>
              <w:left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 programa</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119,80</w:t>
            </w:r>
          </w:p>
        </w:tc>
        <w:tc>
          <w:tcPr>
            <w:tcW w:w="0" w:type="auto"/>
            <w:tcBorders>
              <w:top w:val="nil"/>
              <w:left w:val="nil"/>
              <w:bottom w:val="single" w:sz="4" w:space="0" w:color="auto"/>
              <w:right w:val="single" w:sz="4" w:space="0" w:color="auto"/>
            </w:tcBorders>
            <w:shd w:val="clear" w:color="000000" w:fill="FFFFFF"/>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104,90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14,90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r>
      <w:tr w:rsidR="005507E3" w:rsidTr="003D3DD3">
        <w:trPr>
          <w:trHeight w:val="300"/>
        </w:trPr>
        <w:tc>
          <w:tcPr>
            <w:tcW w:w="0" w:type="auto"/>
            <w:tcBorders>
              <w:top w:val="nil"/>
              <w:left w:val="nil"/>
              <w:bottom w:val="nil"/>
              <w:right w:val="nil"/>
            </w:tcBorders>
            <w:shd w:val="clear" w:color="auto" w:fill="auto"/>
            <w:noWrap/>
            <w:vAlign w:val="bottom"/>
            <w:hideMark/>
          </w:tcPr>
          <w:p w:rsidR="005507E3" w:rsidRDefault="005507E3" w:rsidP="005507E3">
            <w:pPr>
              <w:jc w:val="right"/>
              <w:rPr>
                <w:rFonts w:ascii="Calibri" w:hAnsi="Calibri" w:cs="Calibri"/>
                <w:color w:val="000000"/>
                <w:sz w:val="22"/>
                <w:szCs w:val="22"/>
              </w:rPr>
            </w:pPr>
          </w:p>
        </w:tc>
        <w:tc>
          <w:tcPr>
            <w:tcW w:w="0" w:type="auto"/>
            <w:vMerge/>
            <w:tcBorders>
              <w:left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2 programa</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109,00</w:t>
            </w:r>
          </w:p>
        </w:tc>
        <w:tc>
          <w:tcPr>
            <w:tcW w:w="0" w:type="auto"/>
            <w:tcBorders>
              <w:top w:val="nil"/>
              <w:left w:val="nil"/>
              <w:bottom w:val="single" w:sz="4" w:space="0" w:color="auto"/>
              <w:right w:val="single" w:sz="4" w:space="0" w:color="auto"/>
            </w:tcBorders>
            <w:shd w:val="clear" w:color="000000" w:fill="FFFFFF"/>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91,00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18,00</w:t>
            </w:r>
          </w:p>
        </w:tc>
      </w:tr>
      <w:tr w:rsidR="005507E3" w:rsidTr="003D3DD3">
        <w:trPr>
          <w:trHeight w:val="300"/>
        </w:trPr>
        <w:tc>
          <w:tcPr>
            <w:tcW w:w="0" w:type="auto"/>
            <w:tcBorders>
              <w:top w:val="nil"/>
              <w:left w:val="nil"/>
              <w:bottom w:val="nil"/>
              <w:right w:val="nil"/>
            </w:tcBorders>
            <w:shd w:val="clear" w:color="auto" w:fill="auto"/>
            <w:noWrap/>
            <w:vAlign w:val="bottom"/>
            <w:hideMark/>
          </w:tcPr>
          <w:p w:rsidR="005507E3" w:rsidRDefault="005507E3" w:rsidP="005507E3">
            <w:pPr>
              <w:jc w:val="right"/>
              <w:rPr>
                <w:rFonts w:ascii="Calibri" w:hAnsi="Calibri" w:cs="Calibri"/>
                <w:color w:val="000000"/>
                <w:sz w:val="22"/>
                <w:szCs w:val="22"/>
              </w:rPr>
            </w:pPr>
          </w:p>
        </w:tc>
        <w:tc>
          <w:tcPr>
            <w:tcW w:w="0" w:type="auto"/>
            <w:vMerge/>
            <w:tcBorders>
              <w:left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3 programa</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2168,30</w:t>
            </w:r>
          </w:p>
        </w:tc>
        <w:tc>
          <w:tcPr>
            <w:tcW w:w="0" w:type="auto"/>
            <w:tcBorders>
              <w:top w:val="nil"/>
              <w:left w:val="nil"/>
              <w:bottom w:val="single" w:sz="4" w:space="0" w:color="auto"/>
              <w:right w:val="single" w:sz="4" w:space="0" w:color="auto"/>
            </w:tcBorders>
            <w:shd w:val="clear" w:color="000000" w:fill="FFFFFF"/>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1300,00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652,10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16,10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200,10</w:t>
            </w:r>
          </w:p>
        </w:tc>
      </w:tr>
      <w:tr w:rsidR="005507E3" w:rsidTr="003D3DD3">
        <w:trPr>
          <w:trHeight w:val="300"/>
        </w:trPr>
        <w:tc>
          <w:tcPr>
            <w:tcW w:w="0" w:type="auto"/>
            <w:tcBorders>
              <w:top w:val="nil"/>
              <w:left w:val="nil"/>
              <w:bottom w:val="nil"/>
              <w:right w:val="nil"/>
            </w:tcBorders>
            <w:shd w:val="clear" w:color="auto" w:fill="auto"/>
            <w:noWrap/>
            <w:vAlign w:val="bottom"/>
            <w:hideMark/>
          </w:tcPr>
          <w:p w:rsidR="005507E3" w:rsidRDefault="005507E3" w:rsidP="005507E3">
            <w:pPr>
              <w:jc w:val="right"/>
              <w:rPr>
                <w:rFonts w:ascii="Calibri" w:hAnsi="Calibri" w:cs="Calibri"/>
                <w:color w:val="000000"/>
                <w:sz w:val="22"/>
                <w:szCs w:val="22"/>
              </w:rPr>
            </w:pPr>
          </w:p>
        </w:tc>
        <w:tc>
          <w:tcPr>
            <w:tcW w:w="0" w:type="auto"/>
            <w:vMerge/>
            <w:tcBorders>
              <w:left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4 programa</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100,90</w:t>
            </w:r>
          </w:p>
        </w:tc>
        <w:tc>
          <w:tcPr>
            <w:tcW w:w="0" w:type="auto"/>
            <w:tcBorders>
              <w:top w:val="nil"/>
              <w:left w:val="nil"/>
              <w:bottom w:val="single" w:sz="4" w:space="0" w:color="auto"/>
              <w:right w:val="single" w:sz="4" w:space="0" w:color="auto"/>
            </w:tcBorders>
            <w:shd w:val="clear" w:color="000000" w:fill="FFFFFF"/>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94,00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6,90</w:t>
            </w:r>
          </w:p>
        </w:tc>
      </w:tr>
      <w:tr w:rsidR="005507E3" w:rsidTr="003D3DD3">
        <w:trPr>
          <w:trHeight w:val="300"/>
        </w:trPr>
        <w:tc>
          <w:tcPr>
            <w:tcW w:w="0" w:type="auto"/>
            <w:tcBorders>
              <w:top w:val="nil"/>
              <w:left w:val="nil"/>
              <w:bottom w:val="nil"/>
              <w:right w:val="nil"/>
            </w:tcBorders>
            <w:shd w:val="clear" w:color="auto" w:fill="auto"/>
            <w:noWrap/>
            <w:vAlign w:val="bottom"/>
            <w:hideMark/>
          </w:tcPr>
          <w:p w:rsidR="005507E3" w:rsidRDefault="005507E3" w:rsidP="005507E3">
            <w:pPr>
              <w:jc w:val="right"/>
              <w:rPr>
                <w:rFonts w:ascii="Calibri" w:hAnsi="Calibri" w:cs="Calibri"/>
                <w:color w:val="000000"/>
                <w:sz w:val="22"/>
                <w:szCs w:val="22"/>
              </w:rPr>
            </w:pPr>
          </w:p>
        </w:tc>
        <w:tc>
          <w:tcPr>
            <w:tcW w:w="0" w:type="auto"/>
            <w:vMerge/>
            <w:tcBorders>
              <w:left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7 programa</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259,10</w:t>
            </w:r>
          </w:p>
        </w:tc>
        <w:tc>
          <w:tcPr>
            <w:tcW w:w="0" w:type="auto"/>
            <w:tcBorders>
              <w:top w:val="nil"/>
              <w:left w:val="nil"/>
              <w:bottom w:val="single" w:sz="4" w:space="0" w:color="auto"/>
              <w:right w:val="single" w:sz="4" w:space="0" w:color="auto"/>
            </w:tcBorders>
            <w:shd w:val="clear" w:color="000000" w:fill="FFFFFF"/>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250,00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9,10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r>
      <w:tr w:rsidR="005507E3" w:rsidTr="003D3DD3">
        <w:trPr>
          <w:trHeight w:val="300"/>
        </w:trPr>
        <w:tc>
          <w:tcPr>
            <w:tcW w:w="0" w:type="auto"/>
            <w:tcBorders>
              <w:top w:val="nil"/>
              <w:left w:val="nil"/>
              <w:bottom w:val="nil"/>
              <w:right w:val="nil"/>
            </w:tcBorders>
            <w:shd w:val="clear" w:color="auto" w:fill="auto"/>
            <w:noWrap/>
            <w:vAlign w:val="bottom"/>
            <w:hideMark/>
          </w:tcPr>
          <w:p w:rsidR="005507E3" w:rsidRDefault="005507E3" w:rsidP="005507E3">
            <w:pPr>
              <w:jc w:val="right"/>
              <w:rPr>
                <w:rFonts w:ascii="Calibri" w:hAnsi="Calibri" w:cs="Calibri"/>
                <w:color w:val="000000"/>
                <w:sz w:val="22"/>
                <w:szCs w:val="22"/>
              </w:rPr>
            </w:pPr>
          </w:p>
        </w:tc>
        <w:tc>
          <w:tcPr>
            <w:tcW w:w="0" w:type="auto"/>
            <w:vMerge/>
            <w:tcBorders>
              <w:left w:val="single" w:sz="4" w:space="0" w:color="auto"/>
              <w:bottom w:val="single" w:sz="4" w:space="0" w:color="auto"/>
              <w:right w:val="single" w:sz="4" w:space="0" w:color="auto"/>
            </w:tcBorders>
            <w:shd w:val="clear" w:color="auto" w:fill="auto"/>
            <w:noWrap/>
            <w:vAlign w:val="bottom"/>
          </w:tcPr>
          <w:p w:rsidR="005507E3" w:rsidRDefault="005507E3" w:rsidP="005507E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8 programa</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178,30</w:t>
            </w:r>
          </w:p>
        </w:tc>
        <w:tc>
          <w:tcPr>
            <w:tcW w:w="0" w:type="auto"/>
            <w:tcBorders>
              <w:top w:val="nil"/>
              <w:left w:val="nil"/>
              <w:bottom w:val="single" w:sz="4" w:space="0" w:color="auto"/>
              <w:right w:val="single" w:sz="4" w:space="0" w:color="auto"/>
            </w:tcBorders>
            <w:shd w:val="clear" w:color="000000" w:fill="FFFFFF"/>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154,00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24,30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color w:val="000000"/>
                <w:sz w:val="22"/>
                <w:szCs w:val="22"/>
              </w:rPr>
            </w:pPr>
            <w:r>
              <w:rPr>
                <w:rFonts w:ascii="Calibri" w:hAnsi="Calibri" w:cs="Calibri"/>
                <w:color w:val="000000"/>
                <w:sz w:val="22"/>
                <w:szCs w:val="22"/>
              </w:rPr>
              <w:t>0,00</w:t>
            </w:r>
          </w:p>
        </w:tc>
      </w:tr>
      <w:tr w:rsidR="005507E3" w:rsidTr="00B37877">
        <w:trPr>
          <w:trHeight w:val="300"/>
        </w:trPr>
        <w:tc>
          <w:tcPr>
            <w:tcW w:w="0" w:type="auto"/>
            <w:tcBorders>
              <w:top w:val="nil"/>
              <w:left w:val="nil"/>
              <w:bottom w:val="nil"/>
              <w:right w:val="nil"/>
            </w:tcBorders>
            <w:shd w:val="clear" w:color="auto" w:fill="auto"/>
            <w:noWrap/>
            <w:vAlign w:val="bottom"/>
            <w:hideMark/>
          </w:tcPr>
          <w:p w:rsidR="005507E3" w:rsidRDefault="005507E3" w:rsidP="005507E3">
            <w:pPr>
              <w:jc w:val="right"/>
              <w:rPr>
                <w:rFonts w:ascii="Calibri" w:hAnsi="Calibri" w:cs="Calibri"/>
                <w:color w:val="000000"/>
                <w:sz w:val="22"/>
                <w:szCs w:val="22"/>
              </w:rPr>
            </w:pPr>
          </w:p>
        </w:tc>
        <w:tc>
          <w:tcPr>
            <w:tcW w:w="0" w:type="auto"/>
            <w:gridSpan w:val="2"/>
            <w:tcBorders>
              <w:top w:val="single" w:sz="4" w:space="0" w:color="auto"/>
              <w:left w:val="single" w:sz="4" w:space="0" w:color="auto"/>
              <w:bottom w:val="single" w:sz="4" w:space="0" w:color="auto"/>
              <w:right w:val="nil"/>
            </w:tcBorders>
            <w:shd w:val="clear" w:color="000000" w:fill="FFFFFF"/>
            <w:noWrap/>
            <w:vAlign w:val="bottom"/>
            <w:hideMark/>
          </w:tcPr>
          <w:p w:rsidR="005507E3" w:rsidRDefault="005507E3" w:rsidP="005507E3">
            <w:pPr>
              <w:jc w:val="right"/>
              <w:rPr>
                <w:b/>
                <w:bCs/>
                <w:color w:val="000000"/>
                <w:sz w:val="22"/>
                <w:szCs w:val="22"/>
              </w:rPr>
            </w:pPr>
            <w:r>
              <w:rPr>
                <w:b/>
                <w:bCs/>
                <w:color w:val="000000"/>
                <w:sz w:val="22"/>
                <w:szCs w:val="22"/>
              </w:rPr>
              <w:t>Iš viso:</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b/>
                <w:bCs/>
                <w:color w:val="000000"/>
                <w:sz w:val="22"/>
                <w:szCs w:val="22"/>
              </w:rPr>
            </w:pPr>
            <w:r>
              <w:rPr>
                <w:rFonts w:ascii="Calibri" w:hAnsi="Calibri" w:cs="Calibri"/>
                <w:b/>
                <w:bCs/>
                <w:color w:val="000000"/>
                <w:sz w:val="22"/>
                <w:szCs w:val="22"/>
              </w:rPr>
              <w:t>2935,40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b/>
                <w:bCs/>
                <w:color w:val="000000"/>
                <w:sz w:val="22"/>
                <w:szCs w:val="22"/>
              </w:rPr>
            </w:pPr>
            <w:r>
              <w:rPr>
                <w:rFonts w:ascii="Calibri" w:hAnsi="Calibri" w:cs="Calibri"/>
                <w:b/>
                <w:bCs/>
                <w:color w:val="000000"/>
                <w:sz w:val="22"/>
                <w:szCs w:val="22"/>
              </w:rPr>
              <w:t>1993,90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b/>
                <w:bCs/>
                <w:color w:val="000000"/>
                <w:sz w:val="22"/>
                <w:szCs w:val="22"/>
              </w:rPr>
            </w:pPr>
            <w:r>
              <w:rPr>
                <w:rFonts w:ascii="Calibri" w:hAnsi="Calibri" w:cs="Calibri"/>
                <w:b/>
                <w:bCs/>
                <w:color w:val="000000"/>
                <w:sz w:val="22"/>
                <w:szCs w:val="22"/>
              </w:rPr>
              <w:t>691,30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b/>
                <w:bCs/>
                <w:color w:val="000000"/>
                <w:sz w:val="22"/>
                <w:szCs w:val="22"/>
              </w:rPr>
            </w:pPr>
            <w:r>
              <w:rPr>
                <w:rFonts w:ascii="Calibri" w:hAnsi="Calibri" w:cs="Calibri"/>
                <w:b/>
                <w:bCs/>
                <w:color w:val="000000"/>
                <w:sz w:val="22"/>
                <w:szCs w:val="22"/>
              </w:rPr>
              <w:t>25,20</w:t>
            </w:r>
          </w:p>
        </w:tc>
        <w:tc>
          <w:tcPr>
            <w:tcW w:w="0" w:type="auto"/>
            <w:tcBorders>
              <w:top w:val="nil"/>
              <w:left w:val="nil"/>
              <w:bottom w:val="single" w:sz="4" w:space="0" w:color="auto"/>
              <w:right w:val="single" w:sz="4" w:space="0" w:color="auto"/>
            </w:tcBorders>
            <w:shd w:val="clear" w:color="auto" w:fill="auto"/>
            <w:noWrap/>
            <w:vAlign w:val="bottom"/>
            <w:hideMark/>
          </w:tcPr>
          <w:p w:rsidR="005507E3" w:rsidRDefault="005507E3" w:rsidP="005507E3">
            <w:pPr>
              <w:jc w:val="right"/>
              <w:rPr>
                <w:rFonts w:ascii="Calibri" w:hAnsi="Calibri" w:cs="Calibri"/>
                <w:b/>
                <w:bCs/>
                <w:color w:val="000000"/>
                <w:sz w:val="22"/>
                <w:szCs w:val="22"/>
              </w:rPr>
            </w:pPr>
            <w:r>
              <w:rPr>
                <w:rFonts w:ascii="Calibri" w:hAnsi="Calibri" w:cs="Calibri"/>
                <w:b/>
                <w:bCs/>
                <w:color w:val="000000"/>
                <w:sz w:val="22"/>
                <w:szCs w:val="22"/>
              </w:rPr>
              <w:t>225,00</w:t>
            </w:r>
          </w:p>
        </w:tc>
      </w:tr>
    </w:tbl>
    <w:p w:rsidR="00B37877" w:rsidRDefault="008D1A35" w:rsidP="00B37877">
      <w:pPr>
        <w:tabs>
          <w:tab w:val="left" w:pos="1875"/>
        </w:tabs>
        <w:jc w:val="center"/>
        <w:sectPr w:rsidR="00B37877" w:rsidSect="00CC6AE9">
          <w:pgSz w:w="11906" w:h="16838" w:code="9"/>
          <w:pgMar w:top="1134" w:right="567" w:bottom="1134" w:left="1701" w:header="567" w:footer="567" w:gutter="0"/>
          <w:cols w:space="1296"/>
          <w:titlePg/>
          <w:docGrid w:linePitch="360"/>
        </w:sectPr>
      </w:pPr>
      <w:r>
        <w:t>_________________________</w:t>
      </w:r>
    </w:p>
    <w:p w:rsidR="00CC6AE9" w:rsidRPr="007211DF" w:rsidRDefault="00CC6AE9" w:rsidP="008D1A35">
      <w:pPr>
        <w:tabs>
          <w:tab w:val="left" w:pos="1875"/>
        </w:tabs>
      </w:pPr>
    </w:p>
    <w:sectPr w:rsidR="00CC6AE9" w:rsidRPr="007211DF" w:rsidSect="007211DF">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6" w:rsidRDefault="00220DB6" w:rsidP="00AB638F">
      <w:r>
        <w:separator/>
      </w:r>
    </w:p>
  </w:endnote>
  <w:endnote w:type="continuationSeparator" w:id="0">
    <w:p w:rsidR="00220DB6" w:rsidRDefault="00220DB6" w:rsidP="00AB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altName w:val="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6" w:rsidRDefault="00220DB6" w:rsidP="00AB638F">
      <w:r>
        <w:separator/>
      </w:r>
    </w:p>
  </w:footnote>
  <w:footnote w:type="continuationSeparator" w:id="0">
    <w:p w:rsidR="00220DB6" w:rsidRDefault="00220DB6" w:rsidP="00AB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45624"/>
      <w:docPartObj>
        <w:docPartGallery w:val="Page Numbers (Top of Page)"/>
        <w:docPartUnique/>
      </w:docPartObj>
    </w:sdtPr>
    <w:sdtContent>
      <w:p w:rsidR="00220DB6" w:rsidRDefault="00220DB6">
        <w:pPr>
          <w:pStyle w:val="Antrats"/>
          <w:jc w:val="center"/>
        </w:pPr>
        <w:r>
          <w:fldChar w:fldCharType="begin"/>
        </w:r>
        <w:r>
          <w:instrText>PAGE   \* MERGEFORMAT</w:instrText>
        </w:r>
        <w:r>
          <w:fldChar w:fldCharType="separate"/>
        </w:r>
        <w:r w:rsidR="009B7BBB">
          <w:rPr>
            <w:noProof/>
          </w:rPr>
          <w:t>16</w:t>
        </w:r>
        <w:r>
          <w:fldChar w:fldCharType="end"/>
        </w:r>
      </w:p>
    </w:sdtContent>
  </w:sdt>
  <w:p w:rsidR="00220DB6" w:rsidRDefault="00220D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644"/>
    <w:multiLevelType w:val="hybridMultilevel"/>
    <w:tmpl w:val="E0828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E12776"/>
    <w:multiLevelType w:val="hybridMultilevel"/>
    <w:tmpl w:val="52563506"/>
    <w:lvl w:ilvl="0" w:tplc="0A164924">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215D278B"/>
    <w:multiLevelType w:val="hybridMultilevel"/>
    <w:tmpl w:val="DB828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4A30A2"/>
    <w:multiLevelType w:val="hybridMultilevel"/>
    <w:tmpl w:val="F872F2E4"/>
    <w:lvl w:ilvl="0" w:tplc="598CBA8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06EAA"/>
    <w:multiLevelType w:val="multilevel"/>
    <w:tmpl w:val="AB6609BA"/>
    <w:lvl w:ilvl="0">
      <w:start w:val="1"/>
      <w:numFmt w:val="decimal"/>
      <w:lvlText w:val="%1."/>
      <w:lvlJc w:val="left"/>
      <w:pPr>
        <w:ind w:left="108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5" w15:restartNumberingAfterBreak="0">
    <w:nsid w:val="54CF5ECE"/>
    <w:multiLevelType w:val="multilevel"/>
    <w:tmpl w:val="2FFE9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7EF36A2"/>
    <w:multiLevelType w:val="hybridMultilevel"/>
    <w:tmpl w:val="D584C67A"/>
    <w:lvl w:ilvl="0" w:tplc="2ECA64D6">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6B386F"/>
    <w:multiLevelType w:val="hybridMultilevel"/>
    <w:tmpl w:val="84B45670"/>
    <w:lvl w:ilvl="0" w:tplc="0C325350">
      <w:start w:val="3"/>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8" w15:restartNumberingAfterBreak="0">
    <w:nsid w:val="7563269C"/>
    <w:multiLevelType w:val="hybridMultilevel"/>
    <w:tmpl w:val="C08E8C74"/>
    <w:lvl w:ilvl="0" w:tplc="0268894C">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88312A1"/>
    <w:multiLevelType w:val="hybridMultilevel"/>
    <w:tmpl w:val="8FA8B9A4"/>
    <w:lvl w:ilvl="0" w:tplc="B2C4804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BA717EE"/>
    <w:multiLevelType w:val="hybridMultilevel"/>
    <w:tmpl w:val="CD003148"/>
    <w:lvl w:ilvl="0" w:tplc="10BC48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6"/>
  </w:num>
  <w:num w:numId="6">
    <w:abstractNumId w:val="4"/>
  </w:num>
  <w:num w:numId="7">
    <w:abstractNumId w:val="7"/>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C5"/>
    <w:rsid w:val="00004358"/>
    <w:rsid w:val="00004858"/>
    <w:rsid w:val="00005883"/>
    <w:rsid w:val="00007064"/>
    <w:rsid w:val="0000731A"/>
    <w:rsid w:val="0000749D"/>
    <w:rsid w:val="00007AC1"/>
    <w:rsid w:val="00017F83"/>
    <w:rsid w:val="0002185A"/>
    <w:rsid w:val="00026742"/>
    <w:rsid w:val="00027555"/>
    <w:rsid w:val="00033BF4"/>
    <w:rsid w:val="00037BEB"/>
    <w:rsid w:val="000415CC"/>
    <w:rsid w:val="0004375E"/>
    <w:rsid w:val="0004410C"/>
    <w:rsid w:val="000501B8"/>
    <w:rsid w:val="00055195"/>
    <w:rsid w:val="00055968"/>
    <w:rsid w:val="00056AE0"/>
    <w:rsid w:val="0006361E"/>
    <w:rsid w:val="00063D74"/>
    <w:rsid w:val="00063DA4"/>
    <w:rsid w:val="00065A7B"/>
    <w:rsid w:val="00066AAF"/>
    <w:rsid w:val="0006709F"/>
    <w:rsid w:val="00067164"/>
    <w:rsid w:val="0006719E"/>
    <w:rsid w:val="0006772F"/>
    <w:rsid w:val="00071612"/>
    <w:rsid w:val="00072EC6"/>
    <w:rsid w:val="0008139B"/>
    <w:rsid w:val="0008199A"/>
    <w:rsid w:val="00082AE3"/>
    <w:rsid w:val="00084E4C"/>
    <w:rsid w:val="00086690"/>
    <w:rsid w:val="00090979"/>
    <w:rsid w:val="00094144"/>
    <w:rsid w:val="000A0531"/>
    <w:rsid w:val="000A06E4"/>
    <w:rsid w:val="000A2A05"/>
    <w:rsid w:val="000A3176"/>
    <w:rsid w:val="000B18AF"/>
    <w:rsid w:val="000B7814"/>
    <w:rsid w:val="000C1C68"/>
    <w:rsid w:val="000C29CC"/>
    <w:rsid w:val="000D0618"/>
    <w:rsid w:val="000D1786"/>
    <w:rsid w:val="000D1BEC"/>
    <w:rsid w:val="000D2916"/>
    <w:rsid w:val="000D2DEA"/>
    <w:rsid w:val="000D5668"/>
    <w:rsid w:val="000D5D22"/>
    <w:rsid w:val="000D6144"/>
    <w:rsid w:val="000D7F3E"/>
    <w:rsid w:val="000E2B25"/>
    <w:rsid w:val="000E703A"/>
    <w:rsid w:val="000F3473"/>
    <w:rsid w:val="000F46AD"/>
    <w:rsid w:val="000F4AF6"/>
    <w:rsid w:val="000F5BBC"/>
    <w:rsid w:val="00100583"/>
    <w:rsid w:val="0010105D"/>
    <w:rsid w:val="0010753A"/>
    <w:rsid w:val="001075B5"/>
    <w:rsid w:val="001103C7"/>
    <w:rsid w:val="00112334"/>
    <w:rsid w:val="001124AD"/>
    <w:rsid w:val="0011743B"/>
    <w:rsid w:val="001174BE"/>
    <w:rsid w:val="00126E54"/>
    <w:rsid w:val="00135133"/>
    <w:rsid w:val="00141FC1"/>
    <w:rsid w:val="00146C1A"/>
    <w:rsid w:val="00146DD3"/>
    <w:rsid w:val="001507BA"/>
    <w:rsid w:val="0015199A"/>
    <w:rsid w:val="0015250B"/>
    <w:rsid w:val="00153741"/>
    <w:rsid w:val="00157F1A"/>
    <w:rsid w:val="00164AD1"/>
    <w:rsid w:val="001700CF"/>
    <w:rsid w:val="00172E9B"/>
    <w:rsid w:val="00174F58"/>
    <w:rsid w:val="001767F6"/>
    <w:rsid w:val="0018666D"/>
    <w:rsid w:val="001871DF"/>
    <w:rsid w:val="00187873"/>
    <w:rsid w:val="0019479C"/>
    <w:rsid w:val="001A1137"/>
    <w:rsid w:val="001A1AB0"/>
    <w:rsid w:val="001A1B93"/>
    <w:rsid w:val="001A5A80"/>
    <w:rsid w:val="001A5E05"/>
    <w:rsid w:val="001B085B"/>
    <w:rsid w:val="001B1EA5"/>
    <w:rsid w:val="001B35F9"/>
    <w:rsid w:val="001B5A59"/>
    <w:rsid w:val="001B64DB"/>
    <w:rsid w:val="001B77FB"/>
    <w:rsid w:val="001C0624"/>
    <w:rsid w:val="001C398A"/>
    <w:rsid w:val="001C6379"/>
    <w:rsid w:val="001D0C3D"/>
    <w:rsid w:val="001D1943"/>
    <w:rsid w:val="001D651B"/>
    <w:rsid w:val="001D7B88"/>
    <w:rsid w:val="001E1C8C"/>
    <w:rsid w:val="001E2EDD"/>
    <w:rsid w:val="001E403B"/>
    <w:rsid w:val="001E65D0"/>
    <w:rsid w:val="00201424"/>
    <w:rsid w:val="00202200"/>
    <w:rsid w:val="00203A93"/>
    <w:rsid w:val="0020424B"/>
    <w:rsid w:val="00205A42"/>
    <w:rsid w:val="00206448"/>
    <w:rsid w:val="00207C28"/>
    <w:rsid w:val="0021012B"/>
    <w:rsid w:val="0021392B"/>
    <w:rsid w:val="00214A6F"/>
    <w:rsid w:val="00216C44"/>
    <w:rsid w:val="00220DB6"/>
    <w:rsid w:val="0022729A"/>
    <w:rsid w:val="00231964"/>
    <w:rsid w:val="00232341"/>
    <w:rsid w:val="00232447"/>
    <w:rsid w:val="00240980"/>
    <w:rsid w:val="002410F4"/>
    <w:rsid w:val="0024275D"/>
    <w:rsid w:val="00242D6A"/>
    <w:rsid w:val="00243CF8"/>
    <w:rsid w:val="002462A6"/>
    <w:rsid w:val="0024683E"/>
    <w:rsid w:val="0024717B"/>
    <w:rsid w:val="002505F9"/>
    <w:rsid w:val="00251E8F"/>
    <w:rsid w:val="00253D68"/>
    <w:rsid w:val="00256494"/>
    <w:rsid w:val="00263544"/>
    <w:rsid w:val="00263575"/>
    <w:rsid w:val="00271F72"/>
    <w:rsid w:val="00272DB1"/>
    <w:rsid w:val="00273E3E"/>
    <w:rsid w:val="0027672C"/>
    <w:rsid w:val="00277B69"/>
    <w:rsid w:val="002823E5"/>
    <w:rsid w:val="00284740"/>
    <w:rsid w:val="00284E6D"/>
    <w:rsid w:val="002861EA"/>
    <w:rsid w:val="0029029D"/>
    <w:rsid w:val="002913EF"/>
    <w:rsid w:val="0029237C"/>
    <w:rsid w:val="00293D1C"/>
    <w:rsid w:val="002946EE"/>
    <w:rsid w:val="002958F6"/>
    <w:rsid w:val="00296173"/>
    <w:rsid w:val="002968A0"/>
    <w:rsid w:val="00296E84"/>
    <w:rsid w:val="002A1EAE"/>
    <w:rsid w:val="002A2ADD"/>
    <w:rsid w:val="002A3D95"/>
    <w:rsid w:val="002A5A81"/>
    <w:rsid w:val="002B61FF"/>
    <w:rsid w:val="002C0B70"/>
    <w:rsid w:val="002C689E"/>
    <w:rsid w:val="002C7FEE"/>
    <w:rsid w:val="002D06D0"/>
    <w:rsid w:val="002D6714"/>
    <w:rsid w:val="002D75A7"/>
    <w:rsid w:val="002D7809"/>
    <w:rsid w:val="002E4206"/>
    <w:rsid w:val="002E5572"/>
    <w:rsid w:val="002E6CA9"/>
    <w:rsid w:val="002E7079"/>
    <w:rsid w:val="002E7EF0"/>
    <w:rsid w:val="002F0247"/>
    <w:rsid w:val="002F0402"/>
    <w:rsid w:val="002F264B"/>
    <w:rsid w:val="002F280D"/>
    <w:rsid w:val="002F32BA"/>
    <w:rsid w:val="002F5576"/>
    <w:rsid w:val="00300E7E"/>
    <w:rsid w:val="00301444"/>
    <w:rsid w:val="00302B6B"/>
    <w:rsid w:val="0030363E"/>
    <w:rsid w:val="00307D17"/>
    <w:rsid w:val="0031058D"/>
    <w:rsid w:val="00316139"/>
    <w:rsid w:val="00325C43"/>
    <w:rsid w:val="00332B2D"/>
    <w:rsid w:val="00334163"/>
    <w:rsid w:val="00336152"/>
    <w:rsid w:val="00340586"/>
    <w:rsid w:val="00341027"/>
    <w:rsid w:val="00343531"/>
    <w:rsid w:val="003453E1"/>
    <w:rsid w:val="00345B95"/>
    <w:rsid w:val="003477ED"/>
    <w:rsid w:val="003479D9"/>
    <w:rsid w:val="00347B97"/>
    <w:rsid w:val="00352898"/>
    <w:rsid w:val="003565B0"/>
    <w:rsid w:val="003613B2"/>
    <w:rsid w:val="00361DED"/>
    <w:rsid w:val="003645DC"/>
    <w:rsid w:val="00377DF0"/>
    <w:rsid w:val="00382B92"/>
    <w:rsid w:val="00384095"/>
    <w:rsid w:val="00384866"/>
    <w:rsid w:val="00386EA5"/>
    <w:rsid w:val="00391890"/>
    <w:rsid w:val="00395B4B"/>
    <w:rsid w:val="003A17A4"/>
    <w:rsid w:val="003A72B9"/>
    <w:rsid w:val="003A7D38"/>
    <w:rsid w:val="003B0748"/>
    <w:rsid w:val="003B2119"/>
    <w:rsid w:val="003B3A3E"/>
    <w:rsid w:val="003B4516"/>
    <w:rsid w:val="003B4550"/>
    <w:rsid w:val="003B5183"/>
    <w:rsid w:val="003B72FF"/>
    <w:rsid w:val="003C07D1"/>
    <w:rsid w:val="003C1CC7"/>
    <w:rsid w:val="003C75D9"/>
    <w:rsid w:val="003D3DD3"/>
    <w:rsid w:val="003D683A"/>
    <w:rsid w:val="003E1CBA"/>
    <w:rsid w:val="003E3F39"/>
    <w:rsid w:val="003E5926"/>
    <w:rsid w:val="003E75F5"/>
    <w:rsid w:val="003F052C"/>
    <w:rsid w:val="003F06AC"/>
    <w:rsid w:val="003F3260"/>
    <w:rsid w:val="003F377C"/>
    <w:rsid w:val="003F4E56"/>
    <w:rsid w:val="003F5830"/>
    <w:rsid w:val="003F607C"/>
    <w:rsid w:val="003F6325"/>
    <w:rsid w:val="003F6621"/>
    <w:rsid w:val="00401B53"/>
    <w:rsid w:val="00402253"/>
    <w:rsid w:val="004028B9"/>
    <w:rsid w:val="00405AFB"/>
    <w:rsid w:val="00411B73"/>
    <w:rsid w:val="0041731A"/>
    <w:rsid w:val="00422888"/>
    <w:rsid w:val="00423155"/>
    <w:rsid w:val="0042363B"/>
    <w:rsid w:val="00423830"/>
    <w:rsid w:val="0042439F"/>
    <w:rsid w:val="0043153C"/>
    <w:rsid w:val="00431C91"/>
    <w:rsid w:val="00435B39"/>
    <w:rsid w:val="00436366"/>
    <w:rsid w:val="0043639D"/>
    <w:rsid w:val="00443938"/>
    <w:rsid w:val="00445737"/>
    <w:rsid w:val="00445F9C"/>
    <w:rsid w:val="004462B2"/>
    <w:rsid w:val="00446ED6"/>
    <w:rsid w:val="00450DD0"/>
    <w:rsid w:val="00451BC9"/>
    <w:rsid w:val="0045214A"/>
    <w:rsid w:val="0045302C"/>
    <w:rsid w:val="00456DC1"/>
    <w:rsid w:val="00457B83"/>
    <w:rsid w:val="004618D7"/>
    <w:rsid w:val="00462743"/>
    <w:rsid w:val="004674F7"/>
    <w:rsid w:val="00474AD2"/>
    <w:rsid w:val="00476851"/>
    <w:rsid w:val="00477A68"/>
    <w:rsid w:val="00480606"/>
    <w:rsid w:val="004815C9"/>
    <w:rsid w:val="00483503"/>
    <w:rsid w:val="004907D8"/>
    <w:rsid w:val="004A0AD2"/>
    <w:rsid w:val="004A1CD9"/>
    <w:rsid w:val="004A5F85"/>
    <w:rsid w:val="004B2781"/>
    <w:rsid w:val="004B3F13"/>
    <w:rsid w:val="004B42F6"/>
    <w:rsid w:val="004B4A84"/>
    <w:rsid w:val="004B6A15"/>
    <w:rsid w:val="004C4090"/>
    <w:rsid w:val="004C4EDD"/>
    <w:rsid w:val="004C783D"/>
    <w:rsid w:val="004D0CB2"/>
    <w:rsid w:val="004D625B"/>
    <w:rsid w:val="004E0BFB"/>
    <w:rsid w:val="004E2B62"/>
    <w:rsid w:val="004E5A8D"/>
    <w:rsid w:val="004E5F78"/>
    <w:rsid w:val="004E6F67"/>
    <w:rsid w:val="004F25D7"/>
    <w:rsid w:val="004F4158"/>
    <w:rsid w:val="004F6B1F"/>
    <w:rsid w:val="00502B80"/>
    <w:rsid w:val="00505EA5"/>
    <w:rsid w:val="00506425"/>
    <w:rsid w:val="00507003"/>
    <w:rsid w:val="005129B6"/>
    <w:rsid w:val="00512DDD"/>
    <w:rsid w:val="00514F9C"/>
    <w:rsid w:val="00516932"/>
    <w:rsid w:val="00517074"/>
    <w:rsid w:val="0052110A"/>
    <w:rsid w:val="00521DED"/>
    <w:rsid w:val="00522E0A"/>
    <w:rsid w:val="00535427"/>
    <w:rsid w:val="00537803"/>
    <w:rsid w:val="00541213"/>
    <w:rsid w:val="0054665F"/>
    <w:rsid w:val="00546FCA"/>
    <w:rsid w:val="005507E3"/>
    <w:rsid w:val="00553F5E"/>
    <w:rsid w:val="00571B39"/>
    <w:rsid w:val="00573878"/>
    <w:rsid w:val="005763D2"/>
    <w:rsid w:val="00584609"/>
    <w:rsid w:val="00585FC9"/>
    <w:rsid w:val="005917EF"/>
    <w:rsid w:val="00594F04"/>
    <w:rsid w:val="005959D9"/>
    <w:rsid w:val="005A166A"/>
    <w:rsid w:val="005A5D35"/>
    <w:rsid w:val="005A6F97"/>
    <w:rsid w:val="005B4F4B"/>
    <w:rsid w:val="005C0377"/>
    <w:rsid w:val="005C1A03"/>
    <w:rsid w:val="005C2F07"/>
    <w:rsid w:val="005C4DA7"/>
    <w:rsid w:val="005C6A0A"/>
    <w:rsid w:val="005D0FD1"/>
    <w:rsid w:val="005D15B0"/>
    <w:rsid w:val="005D4083"/>
    <w:rsid w:val="005D4F43"/>
    <w:rsid w:val="005E3BE5"/>
    <w:rsid w:val="005E4158"/>
    <w:rsid w:val="005E5198"/>
    <w:rsid w:val="005E6636"/>
    <w:rsid w:val="005E7322"/>
    <w:rsid w:val="005E7636"/>
    <w:rsid w:val="005F0CB1"/>
    <w:rsid w:val="005F4CC9"/>
    <w:rsid w:val="00610316"/>
    <w:rsid w:val="00615543"/>
    <w:rsid w:val="00616BC8"/>
    <w:rsid w:val="00622AB5"/>
    <w:rsid w:val="006259A0"/>
    <w:rsid w:val="00630BAD"/>
    <w:rsid w:val="006312FA"/>
    <w:rsid w:val="00634961"/>
    <w:rsid w:val="006353C8"/>
    <w:rsid w:val="0063749B"/>
    <w:rsid w:val="00641007"/>
    <w:rsid w:val="00644F66"/>
    <w:rsid w:val="00644FAE"/>
    <w:rsid w:val="00647604"/>
    <w:rsid w:val="00650D59"/>
    <w:rsid w:val="00651DBA"/>
    <w:rsid w:val="00657317"/>
    <w:rsid w:val="006636B9"/>
    <w:rsid w:val="00666477"/>
    <w:rsid w:val="00674AA7"/>
    <w:rsid w:val="00681C07"/>
    <w:rsid w:val="0068246D"/>
    <w:rsid w:val="00684E1B"/>
    <w:rsid w:val="00686192"/>
    <w:rsid w:val="006867AB"/>
    <w:rsid w:val="006936B6"/>
    <w:rsid w:val="00693759"/>
    <w:rsid w:val="006A1DD7"/>
    <w:rsid w:val="006A3D77"/>
    <w:rsid w:val="006B0E6A"/>
    <w:rsid w:val="006B174F"/>
    <w:rsid w:val="006B2289"/>
    <w:rsid w:val="006B22D2"/>
    <w:rsid w:val="006B6ADB"/>
    <w:rsid w:val="006C1ECB"/>
    <w:rsid w:val="006C3808"/>
    <w:rsid w:val="006C60B2"/>
    <w:rsid w:val="006D0A2E"/>
    <w:rsid w:val="006D406F"/>
    <w:rsid w:val="006D73B7"/>
    <w:rsid w:val="006D7728"/>
    <w:rsid w:val="006D7D91"/>
    <w:rsid w:val="006E33E1"/>
    <w:rsid w:val="006F2544"/>
    <w:rsid w:val="006F653D"/>
    <w:rsid w:val="006F75C1"/>
    <w:rsid w:val="00702E43"/>
    <w:rsid w:val="00703FBE"/>
    <w:rsid w:val="00706215"/>
    <w:rsid w:val="0071406A"/>
    <w:rsid w:val="00715938"/>
    <w:rsid w:val="00715C8A"/>
    <w:rsid w:val="007211DF"/>
    <w:rsid w:val="00723565"/>
    <w:rsid w:val="00725D2F"/>
    <w:rsid w:val="007374AC"/>
    <w:rsid w:val="007406FB"/>
    <w:rsid w:val="00741D51"/>
    <w:rsid w:val="0074295A"/>
    <w:rsid w:val="00743DE3"/>
    <w:rsid w:val="00744DBD"/>
    <w:rsid w:val="00745F20"/>
    <w:rsid w:val="00746DA8"/>
    <w:rsid w:val="0075499F"/>
    <w:rsid w:val="00765CCE"/>
    <w:rsid w:val="0077745E"/>
    <w:rsid w:val="007827DB"/>
    <w:rsid w:val="007832A0"/>
    <w:rsid w:val="00786350"/>
    <w:rsid w:val="00786512"/>
    <w:rsid w:val="00787BD0"/>
    <w:rsid w:val="00790800"/>
    <w:rsid w:val="007918CB"/>
    <w:rsid w:val="00791F5E"/>
    <w:rsid w:val="007937C1"/>
    <w:rsid w:val="007962EC"/>
    <w:rsid w:val="00796FA0"/>
    <w:rsid w:val="007A0A45"/>
    <w:rsid w:val="007A18BA"/>
    <w:rsid w:val="007A1A23"/>
    <w:rsid w:val="007A221E"/>
    <w:rsid w:val="007A3234"/>
    <w:rsid w:val="007A49A0"/>
    <w:rsid w:val="007A7627"/>
    <w:rsid w:val="007C107E"/>
    <w:rsid w:val="007C3361"/>
    <w:rsid w:val="007C60FE"/>
    <w:rsid w:val="007D1B63"/>
    <w:rsid w:val="007D1B87"/>
    <w:rsid w:val="007D1E78"/>
    <w:rsid w:val="007D2408"/>
    <w:rsid w:val="007D2657"/>
    <w:rsid w:val="007E0881"/>
    <w:rsid w:val="007E246D"/>
    <w:rsid w:val="007E289D"/>
    <w:rsid w:val="007E372A"/>
    <w:rsid w:val="007F30F6"/>
    <w:rsid w:val="007F36AA"/>
    <w:rsid w:val="007F6851"/>
    <w:rsid w:val="0080084D"/>
    <w:rsid w:val="00804A40"/>
    <w:rsid w:val="00805943"/>
    <w:rsid w:val="00805974"/>
    <w:rsid w:val="008062A1"/>
    <w:rsid w:val="00806B9B"/>
    <w:rsid w:val="00812C59"/>
    <w:rsid w:val="008148A6"/>
    <w:rsid w:val="008152B3"/>
    <w:rsid w:val="00820374"/>
    <w:rsid w:val="00820F66"/>
    <w:rsid w:val="00825F10"/>
    <w:rsid w:val="00831916"/>
    <w:rsid w:val="00832F55"/>
    <w:rsid w:val="0084133F"/>
    <w:rsid w:val="00844971"/>
    <w:rsid w:val="0084570A"/>
    <w:rsid w:val="00847A9A"/>
    <w:rsid w:val="00850139"/>
    <w:rsid w:val="00850A02"/>
    <w:rsid w:val="00853439"/>
    <w:rsid w:val="0085390D"/>
    <w:rsid w:val="00853C94"/>
    <w:rsid w:val="00855321"/>
    <w:rsid w:val="00857130"/>
    <w:rsid w:val="00864068"/>
    <w:rsid w:val="00866E4A"/>
    <w:rsid w:val="00871675"/>
    <w:rsid w:val="00872893"/>
    <w:rsid w:val="008774DA"/>
    <w:rsid w:val="00880A4C"/>
    <w:rsid w:val="0088236C"/>
    <w:rsid w:val="00886B48"/>
    <w:rsid w:val="00894DD7"/>
    <w:rsid w:val="008A7AE3"/>
    <w:rsid w:val="008B0202"/>
    <w:rsid w:val="008B18CA"/>
    <w:rsid w:val="008B39C7"/>
    <w:rsid w:val="008B419B"/>
    <w:rsid w:val="008B509C"/>
    <w:rsid w:val="008D1A35"/>
    <w:rsid w:val="008D2483"/>
    <w:rsid w:val="008D2EE7"/>
    <w:rsid w:val="008D482B"/>
    <w:rsid w:val="008D56B0"/>
    <w:rsid w:val="008D795D"/>
    <w:rsid w:val="008E4BC8"/>
    <w:rsid w:val="008E77B5"/>
    <w:rsid w:val="008F0B29"/>
    <w:rsid w:val="009019E2"/>
    <w:rsid w:val="00904296"/>
    <w:rsid w:val="00905A1B"/>
    <w:rsid w:val="00905C33"/>
    <w:rsid w:val="009105AB"/>
    <w:rsid w:val="00910EC3"/>
    <w:rsid w:val="00913432"/>
    <w:rsid w:val="0091439D"/>
    <w:rsid w:val="0091445A"/>
    <w:rsid w:val="00916176"/>
    <w:rsid w:val="009163CD"/>
    <w:rsid w:val="00917EEA"/>
    <w:rsid w:val="0092123D"/>
    <w:rsid w:val="00925270"/>
    <w:rsid w:val="00931083"/>
    <w:rsid w:val="00931390"/>
    <w:rsid w:val="00931E43"/>
    <w:rsid w:val="00934BF7"/>
    <w:rsid w:val="00937D46"/>
    <w:rsid w:val="00940B85"/>
    <w:rsid w:val="00941D7A"/>
    <w:rsid w:val="0094410E"/>
    <w:rsid w:val="009454F3"/>
    <w:rsid w:val="00946B57"/>
    <w:rsid w:val="00951284"/>
    <w:rsid w:val="009530EC"/>
    <w:rsid w:val="0095399C"/>
    <w:rsid w:val="0095623B"/>
    <w:rsid w:val="009571C0"/>
    <w:rsid w:val="00964AFF"/>
    <w:rsid w:val="00974B95"/>
    <w:rsid w:val="00976C11"/>
    <w:rsid w:val="00977A08"/>
    <w:rsid w:val="00977EBB"/>
    <w:rsid w:val="0098106C"/>
    <w:rsid w:val="00983011"/>
    <w:rsid w:val="009830B8"/>
    <w:rsid w:val="009834A9"/>
    <w:rsid w:val="00986F81"/>
    <w:rsid w:val="009935E9"/>
    <w:rsid w:val="00995205"/>
    <w:rsid w:val="00996191"/>
    <w:rsid w:val="009A047E"/>
    <w:rsid w:val="009A593C"/>
    <w:rsid w:val="009A78C0"/>
    <w:rsid w:val="009B5D5D"/>
    <w:rsid w:val="009B5D71"/>
    <w:rsid w:val="009B689C"/>
    <w:rsid w:val="009B7BBB"/>
    <w:rsid w:val="009C10A3"/>
    <w:rsid w:val="009C2630"/>
    <w:rsid w:val="009C29DF"/>
    <w:rsid w:val="009C4F0A"/>
    <w:rsid w:val="009C7A43"/>
    <w:rsid w:val="009D0A60"/>
    <w:rsid w:val="009D2FDE"/>
    <w:rsid w:val="009D44C7"/>
    <w:rsid w:val="009D50F2"/>
    <w:rsid w:val="009E07E9"/>
    <w:rsid w:val="009E36A6"/>
    <w:rsid w:val="009E5E0C"/>
    <w:rsid w:val="009E6FDD"/>
    <w:rsid w:val="009F1693"/>
    <w:rsid w:val="009F21D4"/>
    <w:rsid w:val="009F4E73"/>
    <w:rsid w:val="00A02122"/>
    <w:rsid w:val="00A0364F"/>
    <w:rsid w:val="00A03E48"/>
    <w:rsid w:val="00A04AB8"/>
    <w:rsid w:val="00A05B2F"/>
    <w:rsid w:val="00A073C0"/>
    <w:rsid w:val="00A07646"/>
    <w:rsid w:val="00A10787"/>
    <w:rsid w:val="00A13B78"/>
    <w:rsid w:val="00A16454"/>
    <w:rsid w:val="00A164F1"/>
    <w:rsid w:val="00A1775C"/>
    <w:rsid w:val="00A242C9"/>
    <w:rsid w:val="00A24DAE"/>
    <w:rsid w:val="00A25CF2"/>
    <w:rsid w:val="00A33B2F"/>
    <w:rsid w:val="00A3779F"/>
    <w:rsid w:val="00A41647"/>
    <w:rsid w:val="00A424F6"/>
    <w:rsid w:val="00A442E6"/>
    <w:rsid w:val="00A4511C"/>
    <w:rsid w:val="00A456E1"/>
    <w:rsid w:val="00A4743E"/>
    <w:rsid w:val="00A50FEA"/>
    <w:rsid w:val="00A51A15"/>
    <w:rsid w:val="00A51CAF"/>
    <w:rsid w:val="00A6102B"/>
    <w:rsid w:val="00A649C8"/>
    <w:rsid w:val="00A64B4A"/>
    <w:rsid w:val="00A709AF"/>
    <w:rsid w:val="00A7448C"/>
    <w:rsid w:val="00A761C3"/>
    <w:rsid w:val="00A777B4"/>
    <w:rsid w:val="00A77D17"/>
    <w:rsid w:val="00A82911"/>
    <w:rsid w:val="00A83343"/>
    <w:rsid w:val="00A86971"/>
    <w:rsid w:val="00A9007A"/>
    <w:rsid w:val="00A928BA"/>
    <w:rsid w:val="00A9602E"/>
    <w:rsid w:val="00A96DAE"/>
    <w:rsid w:val="00A97397"/>
    <w:rsid w:val="00AA3F5E"/>
    <w:rsid w:val="00AA471D"/>
    <w:rsid w:val="00AB05E3"/>
    <w:rsid w:val="00AB4747"/>
    <w:rsid w:val="00AB4BBB"/>
    <w:rsid w:val="00AB638F"/>
    <w:rsid w:val="00AB7EF4"/>
    <w:rsid w:val="00AC0176"/>
    <w:rsid w:val="00AC2311"/>
    <w:rsid w:val="00AD1892"/>
    <w:rsid w:val="00AD2DB8"/>
    <w:rsid w:val="00AD489F"/>
    <w:rsid w:val="00AD776F"/>
    <w:rsid w:val="00AD7773"/>
    <w:rsid w:val="00AE051B"/>
    <w:rsid w:val="00AE2886"/>
    <w:rsid w:val="00AE2CD2"/>
    <w:rsid w:val="00AE3868"/>
    <w:rsid w:val="00AE59E4"/>
    <w:rsid w:val="00AF50AD"/>
    <w:rsid w:val="00AF626D"/>
    <w:rsid w:val="00B0014E"/>
    <w:rsid w:val="00B00415"/>
    <w:rsid w:val="00B0183C"/>
    <w:rsid w:val="00B070D7"/>
    <w:rsid w:val="00B136D5"/>
    <w:rsid w:val="00B2326A"/>
    <w:rsid w:val="00B24A62"/>
    <w:rsid w:val="00B27FF5"/>
    <w:rsid w:val="00B32CBD"/>
    <w:rsid w:val="00B3383B"/>
    <w:rsid w:val="00B33AF4"/>
    <w:rsid w:val="00B35558"/>
    <w:rsid w:val="00B36EF4"/>
    <w:rsid w:val="00B37877"/>
    <w:rsid w:val="00B40479"/>
    <w:rsid w:val="00B408EE"/>
    <w:rsid w:val="00B4307E"/>
    <w:rsid w:val="00B44E54"/>
    <w:rsid w:val="00B45DC9"/>
    <w:rsid w:val="00B46A7B"/>
    <w:rsid w:val="00B509AC"/>
    <w:rsid w:val="00B5269A"/>
    <w:rsid w:val="00B55BA7"/>
    <w:rsid w:val="00B55EA7"/>
    <w:rsid w:val="00B56834"/>
    <w:rsid w:val="00B600BD"/>
    <w:rsid w:val="00B611A0"/>
    <w:rsid w:val="00B63D75"/>
    <w:rsid w:val="00B66DC2"/>
    <w:rsid w:val="00B75B78"/>
    <w:rsid w:val="00B75D1D"/>
    <w:rsid w:val="00B75D4C"/>
    <w:rsid w:val="00B766CC"/>
    <w:rsid w:val="00B76A6D"/>
    <w:rsid w:val="00B76EFD"/>
    <w:rsid w:val="00B81AF4"/>
    <w:rsid w:val="00B90950"/>
    <w:rsid w:val="00B94ED4"/>
    <w:rsid w:val="00B9563D"/>
    <w:rsid w:val="00BA3218"/>
    <w:rsid w:val="00BA3CFA"/>
    <w:rsid w:val="00BA6D0E"/>
    <w:rsid w:val="00BA7257"/>
    <w:rsid w:val="00BA75E5"/>
    <w:rsid w:val="00BB0B81"/>
    <w:rsid w:val="00BB3C29"/>
    <w:rsid w:val="00BB419B"/>
    <w:rsid w:val="00BB5D19"/>
    <w:rsid w:val="00BB63B8"/>
    <w:rsid w:val="00BC08E8"/>
    <w:rsid w:val="00BC32BD"/>
    <w:rsid w:val="00BC35FE"/>
    <w:rsid w:val="00BC38CA"/>
    <w:rsid w:val="00BC5D97"/>
    <w:rsid w:val="00BC6B0D"/>
    <w:rsid w:val="00BC733C"/>
    <w:rsid w:val="00BD0EF0"/>
    <w:rsid w:val="00BD356F"/>
    <w:rsid w:val="00BD6F8B"/>
    <w:rsid w:val="00BE38B2"/>
    <w:rsid w:val="00BE5FCE"/>
    <w:rsid w:val="00BE721B"/>
    <w:rsid w:val="00BF1D98"/>
    <w:rsid w:val="00BF32EB"/>
    <w:rsid w:val="00C042D9"/>
    <w:rsid w:val="00C05F35"/>
    <w:rsid w:val="00C066D0"/>
    <w:rsid w:val="00C06CDA"/>
    <w:rsid w:val="00C07D53"/>
    <w:rsid w:val="00C106F3"/>
    <w:rsid w:val="00C1193A"/>
    <w:rsid w:val="00C12624"/>
    <w:rsid w:val="00C12854"/>
    <w:rsid w:val="00C1743B"/>
    <w:rsid w:val="00C227A5"/>
    <w:rsid w:val="00C25497"/>
    <w:rsid w:val="00C256AB"/>
    <w:rsid w:val="00C31E53"/>
    <w:rsid w:val="00C338C8"/>
    <w:rsid w:val="00C34B56"/>
    <w:rsid w:val="00C363BF"/>
    <w:rsid w:val="00C460D2"/>
    <w:rsid w:val="00C467F8"/>
    <w:rsid w:val="00C471D8"/>
    <w:rsid w:val="00C50EC3"/>
    <w:rsid w:val="00C5143A"/>
    <w:rsid w:val="00C569CF"/>
    <w:rsid w:val="00C61F31"/>
    <w:rsid w:val="00C65142"/>
    <w:rsid w:val="00C703FB"/>
    <w:rsid w:val="00C7100E"/>
    <w:rsid w:val="00C7202B"/>
    <w:rsid w:val="00C73FB6"/>
    <w:rsid w:val="00C7464F"/>
    <w:rsid w:val="00C7683D"/>
    <w:rsid w:val="00C81B04"/>
    <w:rsid w:val="00C81E99"/>
    <w:rsid w:val="00C83C2B"/>
    <w:rsid w:val="00C84099"/>
    <w:rsid w:val="00C85664"/>
    <w:rsid w:val="00C943A7"/>
    <w:rsid w:val="00C94E42"/>
    <w:rsid w:val="00C9672D"/>
    <w:rsid w:val="00C96873"/>
    <w:rsid w:val="00CA7D18"/>
    <w:rsid w:val="00CB369A"/>
    <w:rsid w:val="00CB4DEE"/>
    <w:rsid w:val="00CB6748"/>
    <w:rsid w:val="00CC0C3D"/>
    <w:rsid w:val="00CC2592"/>
    <w:rsid w:val="00CC3691"/>
    <w:rsid w:val="00CC373D"/>
    <w:rsid w:val="00CC628C"/>
    <w:rsid w:val="00CC6AE9"/>
    <w:rsid w:val="00CC7561"/>
    <w:rsid w:val="00CD1CEC"/>
    <w:rsid w:val="00CD39CA"/>
    <w:rsid w:val="00CD6859"/>
    <w:rsid w:val="00CE0A80"/>
    <w:rsid w:val="00CE215B"/>
    <w:rsid w:val="00CE44D4"/>
    <w:rsid w:val="00CE4A66"/>
    <w:rsid w:val="00CE4F8D"/>
    <w:rsid w:val="00CE594E"/>
    <w:rsid w:val="00CE6A92"/>
    <w:rsid w:val="00CF009F"/>
    <w:rsid w:val="00CF0183"/>
    <w:rsid w:val="00CF12FD"/>
    <w:rsid w:val="00CF36A5"/>
    <w:rsid w:val="00CF645E"/>
    <w:rsid w:val="00D010CE"/>
    <w:rsid w:val="00D037FB"/>
    <w:rsid w:val="00D076F6"/>
    <w:rsid w:val="00D07FDD"/>
    <w:rsid w:val="00D10CD0"/>
    <w:rsid w:val="00D206C5"/>
    <w:rsid w:val="00D251A5"/>
    <w:rsid w:val="00D30A53"/>
    <w:rsid w:val="00D31B3B"/>
    <w:rsid w:val="00D3376B"/>
    <w:rsid w:val="00D34900"/>
    <w:rsid w:val="00D37AAE"/>
    <w:rsid w:val="00D37D14"/>
    <w:rsid w:val="00D4179F"/>
    <w:rsid w:val="00D446F9"/>
    <w:rsid w:val="00D4784B"/>
    <w:rsid w:val="00D47DCB"/>
    <w:rsid w:val="00D51323"/>
    <w:rsid w:val="00D5481F"/>
    <w:rsid w:val="00D6183A"/>
    <w:rsid w:val="00D641C9"/>
    <w:rsid w:val="00D6799C"/>
    <w:rsid w:val="00D70488"/>
    <w:rsid w:val="00D7294E"/>
    <w:rsid w:val="00D74720"/>
    <w:rsid w:val="00D7621D"/>
    <w:rsid w:val="00D77C1C"/>
    <w:rsid w:val="00D80E72"/>
    <w:rsid w:val="00D8245C"/>
    <w:rsid w:val="00D82E03"/>
    <w:rsid w:val="00D8381C"/>
    <w:rsid w:val="00D8514C"/>
    <w:rsid w:val="00D856B0"/>
    <w:rsid w:val="00D86541"/>
    <w:rsid w:val="00D90DAD"/>
    <w:rsid w:val="00D925E0"/>
    <w:rsid w:val="00D93A6F"/>
    <w:rsid w:val="00D94BA9"/>
    <w:rsid w:val="00D94DD7"/>
    <w:rsid w:val="00D9724F"/>
    <w:rsid w:val="00DA4427"/>
    <w:rsid w:val="00DA5629"/>
    <w:rsid w:val="00DB2B36"/>
    <w:rsid w:val="00DB49EC"/>
    <w:rsid w:val="00DB5808"/>
    <w:rsid w:val="00DB5ADB"/>
    <w:rsid w:val="00DC349E"/>
    <w:rsid w:val="00DC4BCE"/>
    <w:rsid w:val="00DC55F9"/>
    <w:rsid w:val="00DC63CF"/>
    <w:rsid w:val="00DC7F04"/>
    <w:rsid w:val="00DC7FAB"/>
    <w:rsid w:val="00DD0744"/>
    <w:rsid w:val="00DD1362"/>
    <w:rsid w:val="00DD21C7"/>
    <w:rsid w:val="00DD2675"/>
    <w:rsid w:val="00DD4E15"/>
    <w:rsid w:val="00DD512A"/>
    <w:rsid w:val="00DD7463"/>
    <w:rsid w:val="00DE1464"/>
    <w:rsid w:val="00DE1645"/>
    <w:rsid w:val="00DE317B"/>
    <w:rsid w:val="00DE5777"/>
    <w:rsid w:val="00DF1F01"/>
    <w:rsid w:val="00DF2D6C"/>
    <w:rsid w:val="00DF375F"/>
    <w:rsid w:val="00DF39AF"/>
    <w:rsid w:val="00DF7E16"/>
    <w:rsid w:val="00E01C81"/>
    <w:rsid w:val="00E02B6A"/>
    <w:rsid w:val="00E0437F"/>
    <w:rsid w:val="00E05827"/>
    <w:rsid w:val="00E1022E"/>
    <w:rsid w:val="00E11490"/>
    <w:rsid w:val="00E138D5"/>
    <w:rsid w:val="00E13B90"/>
    <w:rsid w:val="00E15380"/>
    <w:rsid w:val="00E16E8B"/>
    <w:rsid w:val="00E1708C"/>
    <w:rsid w:val="00E20112"/>
    <w:rsid w:val="00E20D30"/>
    <w:rsid w:val="00E218A5"/>
    <w:rsid w:val="00E2476C"/>
    <w:rsid w:val="00E24C3F"/>
    <w:rsid w:val="00E271EA"/>
    <w:rsid w:val="00E3179D"/>
    <w:rsid w:val="00E34E8B"/>
    <w:rsid w:val="00E37087"/>
    <w:rsid w:val="00E4015A"/>
    <w:rsid w:val="00E42B38"/>
    <w:rsid w:val="00E43E9A"/>
    <w:rsid w:val="00E44497"/>
    <w:rsid w:val="00E476AE"/>
    <w:rsid w:val="00E51841"/>
    <w:rsid w:val="00E54D6C"/>
    <w:rsid w:val="00E61034"/>
    <w:rsid w:val="00E708AF"/>
    <w:rsid w:val="00E70BB1"/>
    <w:rsid w:val="00E7347C"/>
    <w:rsid w:val="00E73EBA"/>
    <w:rsid w:val="00E8180A"/>
    <w:rsid w:val="00E81B17"/>
    <w:rsid w:val="00E84ECA"/>
    <w:rsid w:val="00E863FF"/>
    <w:rsid w:val="00E877D0"/>
    <w:rsid w:val="00E90059"/>
    <w:rsid w:val="00EA075A"/>
    <w:rsid w:val="00EA1F0B"/>
    <w:rsid w:val="00EA3817"/>
    <w:rsid w:val="00EA4F78"/>
    <w:rsid w:val="00EA60D8"/>
    <w:rsid w:val="00EA6CF7"/>
    <w:rsid w:val="00EB0EE6"/>
    <w:rsid w:val="00EB2AAD"/>
    <w:rsid w:val="00EB325B"/>
    <w:rsid w:val="00EB75DF"/>
    <w:rsid w:val="00EB79D8"/>
    <w:rsid w:val="00EC0B80"/>
    <w:rsid w:val="00EC0E44"/>
    <w:rsid w:val="00EC24DB"/>
    <w:rsid w:val="00EC2A14"/>
    <w:rsid w:val="00EC6863"/>
    <w:rsid w:val="00ED0BA9"/>
    <w:rsid w:val="00ED4502"/>
    <w:rsid w:val="00EE13D5"/>
    <w:rsid w:val="00EE28C5"/>
    <w:rsid w:val="00F068AC"/>
    <w:rsid w:val="00F06961"/>
    <w:rsid w:val="00F076AA"/>
    <w:rsid w:val="00F15EC5"/>
    <w:rsid w:val="00F16973"/>
    <w:rsid w:val="00F22107"/>
    <w:rsid w:val="00F22610"/>
    <w:rsid w:val="00F23282"/>
    <w:rsid w:val="00F2365E"/>
    <w:rsid w:val="00F2560B"/>
    <w:rsid w:val="00F261ED"/>
    <w:rsid w:val="00F266B8"/>
    <w:rsid w:val="00F3192D"/>
    <w:rsid w:val="00F31B99"/>
    <w:rsid w:val="00F36B93"/>
    <w:rsid w:val="00F405B1"/>
    <w:rsid w:val="00F45B09"/>
    <w:rsid w:val="00F47B6C"/>
    <w:rsid w:val="00F503F6"/>
    <w:rsid w:val="00F50B1F"/>
    <w:rsid w:val="00F5639F"/>
    <w:rsid w:val="00F56D2A"/>
    <w:rsid w:val="00F6340D"/>
    <w:rsid w:val="00F636B3"/>
    <w:rsid w:val="00F712CC"/>
    <w:rsid w:val="00F733B8"/>
    <w:rsid w:val="00F77140"/>
    <w:rsid w:val="00F77699"/>
    <w:rsid w:val="00F80CFD"/>
    <w:rsid w:val="00F8323B"/>
    <w:rsid w:val="00F83252"/>
    <w:rsid w:val="00F8430B"/>
    <w:rsid w:val="00F84500"/>
    <w:rsid w:val="00F85739"/>
    <w:rsid w:val="00F87BAA"/>
    <w:rsid w:val="00F908E8"/>
    <w:rsid w:val="00F92588"/>
    <w:rsid w:val="00F9507E"/>
    <w:rsid w:val="00FA0C11"/>
    <w:rsid w:val="00FA222A"/>
    <w:rsid w:val="00FA5AC6"/>
    <w:rsid w:val="00FB12CB"/>
    <w:rsid w:val="00FB5B48"/>
    <w:rsid w:val="00FC1BB1"/>
    <w:rsid w:val="00FC2946"/>
    <w:rsid w:val="00FC42E9"/>
    <w:rsid w:val="00FC4583"/>
    <w:rsid w:val="00FD45B4"/>
    <w:rsid w:val="00FD7A3F"/>
    <w:rsid w:val="00FE0F3D"/>
    <w:rsid w:val="00FE1F11"/>
    <w:rsid w:val="00FE3BF1"/>
    <w:rsid w:val="00FE6E78"/>
    <w:rsid w:val="00FE7B6C"/>
    <w:rsid w:val="00FF6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5040F"/>
  <w15:docId w15:val="{15029BB4-1F5E-4644-91CF-405CFCE7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6C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basedOn w:val="Numatytasispastraiposriftas"/>
    <w:link w:val="Pagrindinistekstas"/>
    <w:uiPriority w:val="99"/>
    <w:locked/>
    <w:rsid w:val="00CE215B"/>
    <w:rPr>
      <w:rFonts w:cs="Times New Roman"/>
      <w:sz w:val="24"/>
      <w:lang w:val="lt-LT"/>
    </w:rPr>
  </w:style>
  <w:style w:type="paragraph" w:styleId="prastasiniatinklio">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lang w:val="en-US" w:eastAsia="en-US"/>
    </w:rPr>
  </w:style>
  <w:style w:type="paragraph" w:styleId="Sraopastraipa">
    <w:name w:val="List Paragraph"/>
    <w:basedOn w:val="prastasis"/>
    <w:uiPriority w:val="99"/>
    <w:qFormat/>
    <w:rsid w:val="00EB2AAD"/>
    <w:pPr>
      <w:ind w:left="720"/>
      <w:contextualSpacing/>
    </w:pPr>
  </w:style>
  <w:style w:type="paragraph" w:styleId="Antrats">
    <w:name w:val="header"/>
    <w:basedOn w:val="prastasis"/>
    <w:link w:val="AntratsDiagrama"/>
    <w:uiPriority w:val="99"/>
    <w:unhideWhenUsed/>
    <w:rsid w:val="00AB638F"/>
    <w:pPr>
      <w:tabs>
        <w:tab w:val="center" w:pos="4819"/>
        <w:tab w:val="right" w:pos="9638"/>
      </w:tabs>
    </w:pPr>
  </w:style>
  <w:style w:type="character" w:customStyle="1" w:styleId="AntratsDiagrama">
    <w:name w:val="Antraštės Diagrama"/>
    <w:basedOn w:val="Numatytasispastraiposriftas"/>
    <w:link w:val="Antrats"/>
    <w:uiPriority w:val="99"/>
    <w:rsid w:val="00AB638F"/>
    <w:rPr>
      <w:sz w:val="24"/>
      <w:szCs w:val="24"/>
    </w:rPr>
  </w:style>
  <w:style w:type="paragraph" w:styleId="Porat">
    <w:name w:val="footer"/>
    <w:basedOn w:val="prastasis"/>
    <w:link w:val="PoratDiagrama"/>
    <w:uiPriority w:val="99"/>
    <w:unhideWhenUsed/>
    <w:rsid w:val="00AB638F"/>
    <w:pPr>
      <w:tabs>
        <w:tab w:val="center" w:pos="4819"/>
        <w:tab w:val="right" w:pos="9638"/>
      </w:tabs>
    </w:pPr>
  </w:style>
  <w:style w:type="character" w:customStyle="1" w:styleId="PoratDiagrama">
    <w:name w:val="Poraštė Diagrama"/>
    <w:basedOn w:val="Numatytasispastraiposriftas"/>
    <w:link w:val="Porat"/>
    <w:uiPriority w:val="99"/>
    <w:rsid w:val="00AB638F"/>
    <w:rPr>
      <w:sz w:val="24"/>
      <w:szCs w:val="24"/>
    </w:rPr>
  </w:style>
  <w:style w:type="paragraph" w:styleId="HTMLiankstoformatuotas">
    <w:name w:val="HTML Preformatted"/>
    <w:basedOn w:val="prastasis"/>
    <w:link w:val="HTMLiankstoformatuotasDiagrama"/>
    <w:unhideWhenUsed/>
    <w:rsid w:val="00BC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eastAsia="en-US"/>
    </w:rPr>
  </w:style>
  <w:style w:type="character" w:customStyle="1" w:styleId="HTMLiankstoformatuotasDiagrama">
    <w:name w:val="HTML iš anksto formatuotas Diagrama"/>
    <w:basedOn w:val="Numatytasispastraiposriftas"/>
    <w:link w:val="HTMLiankstoformatuotas"/>
    <w:rsid w:val="00BC35FE"/>
    <w:rPr>
      <w:rFonts w:ascii="Consolas" w:hAnsi="Consolas" w:cs="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85">
      <w:bodyDiv w:val="1"/>
      <w:marLeft w:val="0"/>
      <w:marRight w:val="0"/>
      <w:marTop w:val="0"/>
      <w:marBottom w:val="0"/>
      <w:divBdr>
        <w:top w:val="none" w:sz="0" w:space="0" w:color="auto"/>
        <w:left w:val="none" w:sz="0" w:space="0" w:color="auto"/>
        <w:bottom w:val="none" w:sz="0" w:space="0" w:color="auto"/>
        <w:right w:val="none" w:sz="0" w:space="0" w:color="auto"/>
      </w:divBdr>
    </w:div>
    <w:div w:id="13313827">
      <w:bodyDiv w:val="1"/>
      <w:marLeft w:val="0"/>
      <w:marRight w:val="0"/>
      <w:marTop w:val="0"/>
      <w:marBottom w:val="0"/>
      <w:divBdr>
        <w:top w:val="none" w:sz="0" w:space="0" w:color="auto"/>
        <w:left w:val="none" w:sz="0" w:space="0" w:color="auto"/>
        <w:bottom w:val="none" w:sz="0" w:space="0" w:color="auto"/>
        <w:right w:val="none" w:sz="0" w:space="0" w:color="auto"/>
      </w:divBdr>
    </w:div>
    <w:div w:id="52583251">
      <w:bodyDiv w:val="1"/>
      <w:marLeft w:val="0"/>
      <w:marRight w:val="0"/>
      <w:marTop w:val="0"/>
      <w:marBottom w:val="0"/>
      <w:divBdr>
        <w:top w:val="none" w:sz="0" w:space="0" w:color="auto"/>
        <w:left w:val="none" w:sz="0" w:space="0" w:color="auto"/>
        <w:bottom w:val="none" w:sz="0" w:space="0" w:color="auto"/>
        <w:right w:val="none" w:sz="0" w:space="0" w:color="auto"/>
      </w:divBdr>
    </w:div>
    <w:div w:id="59863505">
      <w:bodyDiv w:val="1"/>
      <w:marLeft w:val="0"/>
      <w:marRight w:val="0"/>
      <w:marTop w:val="0"/>
      <w:marBottom w:val="0"/>
      <w:divBdr>
        <w:top w:val="none" w:sz="0" w:space="0" w:color="auto"/>
        <w:left w:val="none" w:sz="0" w:space="0" w:color="auto"/>
        <w:bottom w:val="none" w:sz="0" w:space="0" w:color="auto"/>
        <w:right w:val="none" w:sz="0" w:space="0" w:color="auto"/>
      </w:divBdr>
    </w:div>
    <w:div w:id="61294456">
      <w:bodyDiv w:val="1"/>
      <w:marLeft w:val="0"/>
      <w:marRight w:val="0"/>
      <w:marTop w:val="0"/>
      <w:marBottom w:val="0"/>
      <w:divBdr>
        <w:top w:val="none" w:sz="0" w:space="0" w:color="auto"/>
        <w:left w:val="none" w:sz="0" w:space="0" w:color="auto"/>
        <w:bottom w:val="none" w:sz="0" w:space="0" w:color="auto"/>
        <w:right w:val="none" w:sz="0" w:space="0" w:color="auto"/>
      </w:divBdr>
    </w:div>
    <w:div w:id="78337489">
      <w:bodyDiv w:val="1"/>
      <w:marLeft w:val="0"/>
      <w:marRight w:val="0"/>
      <w:marTop w:val="0"/>
      <w:marBottom w:val="0"/>
      <w:divBdr>
        <w:top w:val="none" w:sz="0" w:space="0" w:color="auto"/>
        <w:left w:val="none" w:sz="0" w:space="0" w:color="auto"/>
        <w:bottom w:val="none" w:sz="0" w:space="0" w:color="auto"/>
        <w:right w:val="none" w:sz="0" w:space="0" w:color="auto"/>
      </w:divBdr>
    </w:div>
    <w:div w:id="125708393">
      <w:bodyDiv w:val="1"/>
      <w:marLeft w:val="0"/>
      <w:marRight w:val="0"/>
      <w:marTop w:val="0"/>
      <w:marBottom w:val="0"/>
      <w:divBdr>
        <w:top w:val="none" w:sz="0" w:space="0" w:color="auto"/>
        <w:left w:val="none" w:sz="0" w:space="0" w:color="auto"/>
        <w:bottom w:val="none" w:sz="0" w:space="0" w:color="auto"/>
        <w:right w:val="none" w:sz="0" w:space="0" w:color="auto"/>
      </w:divBdr>
    </w:div>
    <w:div w:id="147405352">
      <w:bodyDiv w:val="1"/>
      <w:marLeft w:val="0"/>
      <w:marRight w:val="0"/>
      <w:marTop w:val="0"/>
      <w:marBottom w:val="0"/>
      <w:divBdr>
        <w:top w:val="none" w:sz="0" w:space="0" w:color="auto"/>
        <w:left w:val="none" w:sz="0" w:space="0" w:color="auto"/>
        <w:bottom w:val="none" w:sz="0" w:space="0" w:color="auto"/>
        <w:right w:val="none" w:sz="0" w:space="0" w:color="auto"/>
      </w:divBdr>
    </w:div>
    <w:div w:id="178198830">
      <w:bodyDiv w:val="1"/>
      <w:marLeft w:val="0"/>
      <w:marRight w:val="0"/>
      <w:marTop w:val="0"/>
      <w:marBottom w:val="0"/>
      <w:divBdr>
        <w:top w:val="none" w:sz="0" w:space="0" w:color="auto"/>
        <w:left w:val="none" w:sz="0" w:space="0" w:color="auto"/>
        <w:bottom w:val="none" w:sz="0" w:space="0" w:color="auto"/>
        <w:right w:val="none" w:sz="0" w:space="0" w:color="auto"/>
      </w:divBdr>
    </w:div>
    <w:div w:id="191580282">
      <w:bodyDiv w:val="1"/>
      <w:marLeft w:val="0"/>
      <w:marRight w:val="0"/>
      <w:marTop w:val="0"/>
      <w:marBottom w:val="0"/>
      <w:divBdr>
        <w:top w:val="none" w:sz="0" w:space="0" w:color="auto"/>
        <w:left w:val="none" w:sz="0" w:space="0" w:color="auto"/>
        <w:bottom w:val="none" w:sz="0" w:space="0" w:color="auto"/>
        <w:right w:val="none" w:sz="0" w:space="0" w:color="auto"/>
      </w:divBdr>
    </w:div>
    <w:div w:id="246771631">
      <w:bodyDiv w:val="1"/>
      <w:marLeft w:val="0"/>
      <w:marRight w:val="0"/>
      <w:marTop w:val="0"/>
      <w:marBottom w:val="0"/>
      <w:divBdr>
        <w:top w:val="none" w:sz="0" w:space="0" w:color="auto"/>
        <w:left w:val="none" w:sz="0" w:space="0" w:color="auto"/>
        <w:bottom w:val="none" w:sz="0" w:space="0" w:color="auto"/>
        <w:right w:val="none" w:sz="0" w:space="0" w:color="auto"/>
      </w:divBdr>
    </w:div>
    <w:div w:id="257569989">
      <w:bodyDiv w:val="1"/>
      <w:marLeft w:val="0"/>
      <w:marRight w:val="0"/>
      <w:marTop w:val="0"/>
      <w:marBottom w:val="0"/>
      <w:divBdr>
        <w:top w:val="none" w:sz="0" w:space="0" w:color="auto"/>
        <w:left w:val="none" w:sz="0" w:space="0" w:color="auto"/>
        <w:bottom w:val="none" w:sz="0" w:space="0" w:color="auto"/>
        <w:right w:val="none" w:sz="0" w:space="0" w:color="auto"/>
      </w:divBdr>
    </w:div>
    <w:div w:id="260113882">
      <w:bodyDiv w:val="1"/>
      <w:marLeft w:val="0"/>
      <w:marRight w:val="0"/>
      <w:marTop w:val="0"/>
      <w:marBottom w:val="0"/>
      <w:divBdr>
        <w:top w:val="none" w:sz="0" w:space="0" w:color="auto"/>
        <w:left w:val="none" w:sz="0" w:space="0" w:color="auto"/>
        <w:bottom w:val="none" w:sz="0" w:space="0" w:color="auto"/>
        <w:right w:val="none" w:sz="0" w:space="0" w:color="auto"/>
      </w:divBdr>
    </w:div>
    <w:div w:id="264926361">
      <w:bodyDiv w:val="1"/>
      <w:marLeft w:val="0"/>
      <w:marRight w:val="0"/>
      <w:marTop w:val="0"/>
      <w:marBottom w:val="0"/>
      <w:divBdr>
        <w:top w:val="none" w:sz="0" w:space="0" w:color="auto"/>
        <w:left w:val="none" w:sz="0" w:space="0" w:color="auto"/>
        <w:bottom w:val="none" w:sz="0" w:space="0" w:color="auto"/>
        <w:right w:val="none" w:sz="0" w:space="0" w:color="auto"/>
      </w:divBdr>
    </w:div>
    <w:div w:id="385110087">
      <w:bodyDiv w:val="1"/>
      <w:marLeft w:val="0"/>
      <w:marRight w:val="0"/>
      <w:marTop w:val="0"/>
      <w:marBottom w:val="0"/>
      <w:divBdr>
        <w:top w:val="none" w:sz="0" w:space="0" w:color="auto"/>
        <w:left w:val="none" w:sz="0" w:space="0" w:color="auto"/>
        <w:bottom w:val="none" w:sz="0" w:space="0" w:color="auto"/>
        <w:right w:val="none" w:sz="0" w:space="0" w:color="auto"/>
      </w:divBdr>
    </w:div>
    <w:div w:id="442266865">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61461045">
      <w:bodyDiv w:val="1"/>
      <w:marLeft w:val="0"/>
      <w:marRight w:val="0"/>
      <w:marTop w:val="0"/>
      <w:marBottom w:val="0"/>
      <w:divBdr>
        <w:top w:val="none" w:sz="0" w:space="0" w:color="auto"/>
        <w:left w:val="none" w:sz="0" w:space="0" w:color="auto"/>
        <w:bottom w:val="none" w:sz="0" w:space="0" w:color="auto"/>
        <w:right w:val="none" w:sz="0" w:space="0" w:color="auto"/>
      </w:divBdr>
    </w:div>
    <w:div w:id="465005254">
      <w:bodyDiv w:val="1"/>
      <w:marLeft w:val="0"/>
      <w:marRight w:val="0"/>
      <w:marTop w:val="0"/>
      <w:marBottom w:val="0"/>
      <w:divBdr>
        <w:top w:val="none" w:sz="0" w:space="0" w:color="auto"/>
        <w:left w:val="none" w:sz="0" w:space="0" w:color="auto"/>
        <w:bottom w:val="none" w:sz="0" w:space="0" w:color="auto"/>
        <w:right w:val="none" w:sz="0" w:space="0" w:color="auto"/>
      </w:divBdr>
    </w:div>
    <w:div w:id="491340596">
      <w:bodyDiv w:val="1"/>
      <w:marLeft w:val="0"/>
      <w:marRight w:val="0"/>
      <w:marTop w:val="0"/>
      <w:marBottom w:val="0"/>
      <w:divBdr>
        <w:top w:val="none" w:sz="0" w:space="0" w:color="auto"/>
        <w:left w:val="none" w:sz="0" w:space="0" w:color="auto"/>
        <w:bottom w:val="none" w:sz="0" w:space="0" w:color="auto"/>
        <w:right w:val="none" w:sz="0" w:space="0" w:color="auto"/>
      </w:divBdr>
    </w:div>
    <w:div w:id="512720396">
      <w:bodyDiv w:val="1"/>
      <w:marLeft w:val="0"/>
      <w:marRight w:val="0"/>
      <w:marTop w:val="0"/>
      <w:marBottom w:val="0"/>
      <w:divBdr>
        <w:top w:val="none" w:sz="0" w:space="0" w:color="auto"/>
        <w:left w:val="none" w:sz="0" w:space="0" w:color="auto"/>
        <w:bottom w:val="none" w:sz="0" w:space="0" w:color="auto"/>
        <w:right w:val="none" w:sz="0" w:space="0" w:color="auto"/>
      </w:divBdr>
    </w:div>
    <w:div w:id="566570624">
      <w:bodyDiv w:val="1"/>
      <w:marLeft w:val="0"/>
      <w:marRight w:val="0"/>
      <w:marTop w:val="0"/>
      <w:marBottom w:val="0"/>
      <w:divBdr>
        <w:top w:val="none" w:sz="0" w:space="0" w:color="auto"/>
        <w:left w:val="none" w:sz="0" w:space="0" w:color="auto"/>
        <w:bottom w:val="none" w:sz="0" w:space="0" w:color="auto"/>
        <w:right w:val="none" w:sz="0" w:space="0" w:color="auto"/>
      </w:divBdr>
    </w:div>
    <w:div w:id="577599617">
      <w:bodyDiv w:val="1"/>
      <w:marLeft w:val="0"/>
      <w:marRight w:val="0"/>
      <w:marTop w:val="0"/>
      <w:marBottom w:val="0"/>
      <w:divBdr>
        <w:top w:val="none" w:sz="0" w:space="0" w:color="auto"/>
        <w:left w:val="none" w:sz="0" w:space="0" w:color="auto"/>
        <w:bottom w:val="none" w:sz="0" w:space="0" w:color="auto"/>
        <w:right w:val="none" w:sz="0" w:space="0" w:color="auto"/>
      </w:divBdr>
    </w:div>
    <w:div w:id="625505430">
      <w:bodyDiv w:val="1"/>
      <w:marLeft w:val="0"/>
      <w:marRight w:val="0"/>
      <w:marTop w:val="0"/>
      <w:marBottom w:val="0"/>
      <w:divBdr>
        <w:top w:val="none" w:sz="0" w:space="0" w:color="auto"/>
        <w:left w:val="none" w:sz="0" w:space="0" w:color="auto"/>
        <w:bottom w:val="none" w:sz="0" w:space="0" w:color="auto"/>
        <w:right w:val="none" w:sz="0" w:space="0" w:color="auto"/>
      </w:divBdr>
    </w:div>
    <w:div w:id="634062457">
      <w:bodyDiv w:val="1"/>
      <w:marLeft w:val="0"/>
      <w:marRight w:val="0"/>
      <w:marTop w:val="0"/>
      <w:marBottom w:val="0"/>
      <w:divBdr>
        <w:top w:val="none" w:sz="0" w:space="0" w:color="auto"/>
        <w:left w:val="none" w:sz="0" w:space="0" w:color="auto"/>
        <w:bottom w:val="none" w:sz="0" w:space="0" w:color="auto"/>
        <w:right w:val="none" w:sz="0" w:space="0" w:color="auto"/>
      </w:divBdr>
    </w:div>
    <w:div w:id="715200602">
      <w:bodyDiv w:val="1"/>
      <w:marLeft w:val="0"/>
      <w:marRight w:val="0"/>
      <w:marTop w:val="0"/>
      <w:marBottom w:val="0"/>
      <w:divBdr>
        <w:top w:val="none" w:sz="0" w:space="0" w:color="auto"/>
        <w:left w:val="none" w:sz="0" w:space="0" w:color="auto"/>
        <w:bottom w:val="none" w:sz="0" w:space="0" w:color="auto"/>
        <w:right w:val="none" w:sz="0" w:space="0" w:color="auto"/>
      </w:divBdr>
    </w:div>
    <w:div w:id="719324501">
      <w:bodyDiv w:val="1"/>
      <w:marLeft w:val="0"/>
      <w:marRight w:val="0"/>
      <w:marTop w:val="0"/>
      <w:marBottom w:val="0"/>
      <w:divBdr>
        <w:top w:val="none" w:sz="0" w:space="0" w:color="auto"/>
        <w:left w:val="none" w:sz="0" w:space="0" w:color="auto"/>
        <w:bottom w:val="none" w:sz="0" w:space="0" w:color="auto"/>
        <w:right w:val="none" w:sz="0" w:space="0" w:color="auto"/>
      </w:divBdr>
    </w:div>
    <w:div w:id="745420380">
      <w:bodyDiv w:val="1"/>
      <w:marLeft w:val="0"/>
      <w:marRight w:val="0"/>
      <w:marTop w:val="0"/>
      <w:marBottom w:val="0"/>
      <w:divBdr>
        <w:top w:val="none" w:sz="0" w:space="0" w:color="auto"/>
        <w:left w:val="none" w:sz="0" w:space="0" w:color="auto"/>
        <w:bottom w:val="none" w:sz="0" w:space="0" w:color="auto"/>
        <w:right w:val="none" w:sz="0" w:space="0" w:color="auto"/>
      </w:divBdr>
    </w:div>
    <w:div w:id="757219068">
      <w:bodyDiv w:val="1"/>
      <w:marLeft w:val="0"/>
      <w:marRight w:val="0"/>
      <w:marTop w:val="0"/>
      <w:marBottom w:val="0"/>
      <w:divBdr>
        <w:top w:val="none" w:sz="0" w:space="0" w:color="auto"/>
        <w:left w:val="none" w:sz="0" w:space="0" w:color="auto"/>
        <w:bottom w:val="none" w:sz="0" w:space="0" w:color="auto"/>
        <w:right w:val="none" w:sz="0" w:space="0" w:color="auto"/>
      </w:divBdr>
    </w:div>
    <w:div w:id="781609174">
      <w:bodyDiv w:val="1"/>
      <w:marLeft w:val="0"/>
      <w:marRight w:val="0"/>
      <w:marTop w:val="0"/>
      <w:marBottom w:val="0"/>
      <w:divBdr>
        <w:top w:val="none" w:sz="0" w:space="0" w:color="auto"/>
        <w:left w:val="none" w:sz="0" w:space="0" w:color="auto"/>
        <w:bottom w:val="none" w:sz="0" w:space="0" w:color="auto"/>
        <w:right w:val="none" w:sz="0" w:space="0" w:color="auto"/>
      </w:divBdr>
    </w:div>
    <w:div w:id="787503089">
      <w:bodyDiv w:val="1"/>
      <w:marLeft w:val="0"/>
      <w:marRight w:val="0"/>
      <w:marTop w:val="0"/>
      <w:marBottom w:val="0"/>
      <w:divBdr>
        <w:top w:val="none" w:sz="0" w:space="0" w:color="auto"/>
        <w:left w:val="none" w:sz="0" w:space="0" w:color="auto"/>
        <w:bottom w:val="none" w:sz="0" w:space="0" w:color="auto"/>
        <w:right w:val="none" w:sz="0" w:space="0" w:color="auto"/>
      </w:divBdr>
    </w:div>
    <w:div w:id="791169361">
      <w:bodyDiv w:val="1"/>
      <w:marLeft w:val="0"/>
      <w:marRight w:val="0"/>
      <w:marTop w:val="0"/>
      <w:marBottom w:val="0"/>
      <w:divBdr>
        <w:top w:val="none" w:sz="0" w:space="0" w:color="auto"/>
        <w:left w:val="none" w:sz="0" w:space="0" w:color="auto"/>
        <w:bottom w:val="none" w:sz="0" w:space="0" w:color="auto"/>
        <w:right w:val="none" w:sz="0" w:space="0" w:color="auto"/>
      </w:divBdr>
    </w:div>
    <w:div w:id="825708661">
      <w:bodyDiv w:val="1"/>
      <w:marLeft w:val="0"/>
      <w:marRight w:val="0"/>
      <w:marTop w:val="0"/>
      <w:marBottom w:val="0"/>
      <w:divBdr>
        <w:top w:val="none" w:sz="0" w:space="0" w:color="auto"/>
        <w:left w:val="none" w:sz="0" w:space="0" w:color="auto"/>
        <w:bottom w:val="none" w:sz="0" w:space="0" w:color="auto"/>
        <w:right w:val="none" w:sz="0" w:space="0" w:color="auto"/>
      </w:divBdr>
    </w:div>
    <w:div w:id="910195291">
      <w:bodyDiv w:val="1"/>
      <w:marLeft w:val="0"/>
      <w:marRight w:val="0"/>
      <w:marTop w:val="0"/>
      <w:marBottom w:val="0"/>
      <w:divBdr>
        <w:top w:val="none" w:sz="0" w:space="0" w:color="auto"/>
        <w:left w:val="none" w:sz="0" w:space="0" w:color="auto"/>
        <w:bottom w:val="none" w:sz="0" w:space="0" w:color="auto"/>
        <w:right w:val="none" w:sz="0" w:space="0" w:color="auto"/>
      </w:divBdr>
    </w:div>
    <w:div w:id="1090203473">
      <w:bodyDiv w:val="1"/>
      <w:marLeft w:val="0"/>
      <w:marRight w:val="0"/>
      <w:marTop w:val="0"/>
      <w:marBottom w:val="0"/>
      <w:divBdr>
        <w:top w:val="none" w:sz="0" w:space="0" w:color="auto"/>
        <w:left w:val="none" w:sz="0" w:space="0" w:color="auto"/>
        <w:bottom w:val="none" w:sz="0" w:space="0" w:color="auto"/>
        <w:right w:val="none" w:sz="0" w:space="0" w:color="auto"/>
      </w:divBdr>
    </w:div>
    <w:div w:id="1125347487">
      <w:bodyDiv w:val="1"/>
      <w:marLeft w:val="0"/>
      <w:marRight w:val="0"/>
      <w:marTop w:val="0"/>
      <w:marBottom w:val="0"/>
      <w:divBdr>
        <w:top w:val="none" w:sz="0" w:space="0" w:color="auto"/>
        <w:left w:val="none" w:sz="0" w:space="0" w:color="auto"/>
        <w:bottom w:val="none" w:sz="0" w:space="0" w:color="auto"/>
        <w:right w:val="none" w:sz="0" w:space="0" w:color="auto"/>
      </w:divBdr>
    </w:div>
    <w:div w:id="1180698247">
      <w:bodyDiv w:val="1"/>
      <w:marLeft w:val="0"/>
      <w:marRight w:val="0"/>
      <w:marTop w:val="0"/>
      <w:marBottom w:val="0"/>
      <w:divBdr>
        <w:top w:val="none" w:sz="0" w:space="0" w:color="auto"/>
        <w:left w:val="none" w:sz="0" w:space="0" w:color="auto"/>
        <w:bottom w:val="none" w:sz="0" w:space="0" w:color="auto"/>
        <w:right w:val="none" w:sz="0" w:space="0" w:color="auto"/>
      </w:divBdr>
    </w:div>
    <w:div w:id="1200047239">
      <w:bodyDiv w:val="1"/>
      <w:marLeft w:val="0"/>
      <w:marRight w:val="0"/>
      <w:marTop w:val="0"/>
      <w:marBottom w:val="0"/>
      <w:divBdr>
        <w:top w:val="none" w:sz="0" w:space="0" w:color="auto"/>
        <w:left w:val="none" w:sz="0" w:space="0" w:color="auto"/>
        <w:bottom w:val="none" w:sz="0" w:space="0" w:color="auto"/>
        <w:right w:val="none" w:sz="0" w:space="0" w:color="auto"/>
      </w:divBdr>
    </w:div>
    <w:div w:id="1254167962">
      <w:bodyDiv w:val="1"/>
      <w:marLeft w:val="0"/>
      <w:marRight w:val="0"/>
      <w:marTop w:val="0"/>
      <w:marBottom w:val="0"/>
      <w:divBdr>
        <w:top w:val="none" w:sz="0" w:space="0" w:color="auto"/>
        <w:left w:val="none" w:sz="0" w:space="0" w:color="auto"/>
        <w:bottom w:val="none" w:sz="0" w:space="0" w:color="auto"/>
        <w:right w:val="none" w:sz="0" w:space="0" w:color="auto"/>
      </w:divBdr>
    </w:div>
    <w:div w:id="1325277752">
      <w:bodyDiv w:val="1"/>
      <w:marLeft w:val="0"/>
      <w:marRight w:val="0"/>
      <w:marTop w:val="0"/>
      <w:marBottom w:val="0"/>
      <w:divBdr>
        <w:top w:val="none" w:sz="0" w:space="0" w:color="auto"/>
        <w:left w:val="none" w:sz="0" w:space="0" w:color="auto"/>
        <w:bottom w:val="none" w:sz="0" w:space="0" w:color="auto"/>
        <w:right w:val="none" w:sz="0" w:space="0" w:color="auto"/>
      </w:divBdr>
    </w:div>
    <w:div w:id="1330250615">
      <w:bodyDiv w:val="1"/>
      <w:marLeft w:val="0"/>
      <w:marRight w:val="0"/>
      <w:marTop w:val="0"/>
      <w:marBottom w:val="0"/>
      <w:divBdr>
        <w:top w:val="none" w:sz="0" w:space="0" w:color="auto"/>
        <w:left w:val="none" w:sz="0" w:space="0" w:color="auto"/>
        <w:bottom w:val="none" w:sz="0" w:space="0" w:color="auto"/>
        <w:right w:val="none" w:sz="0" w:space="0" w:color="auto"/>
      </w:divBdr>
    </w:div>
    <w:div w:id="1368680756">
      <w:bodyDiv w:val="1"/>
      <w:marLeft w:val="0"/>
      <w:marRight w:val="0"/>
      <w:marTop w:val="0"/>
      <w:marBottom w:val="0"/>
      <w:divBdr>
        <w:top w:val="none" w:sz="0" w:space="0" w:color="auto"/>
        <w:left w:val="none" w:sz="0" w:space="0" w:color="auto"/>
        <w:bottom w:val="none" w:sz="0" w:space="0" w:color="auto"/>
        <w:right w:val="none" w:sz="0" w:space="0" w:color="auto"/>
      </w:divBdr>
    </w:div>
    <w:div w:id="1427309335">
      <w:bodyDiv w:val="1"/>
      <w:marLeft w:val="0"/>
      <w:marRight w:val="0"/>
      <w:marTop w:val="0"/>
      <w:marBottom w:val="0"/>
      <w:divBdr>
        <w:top w:val="none" w:sz="0" w:space="0" w:color="auto"/>
        <w:left w:val="none" w:sz="0" w:space="0" w:color="auto"/>
        <w:bottom w:val="none" w:sz="0" w:space="0" w:color="auto"/>
        <w:right w:val="none" w:sz="0" w:space="0" w:color="auto"/>
      </w:divBdr>
    </w:div>
    <w:div w:id="1446971072">
      <w:marLeft w:val="0"/>
      <w:marRight w:val="0"/>
      <w:marTop w:val="0"/>
      <w:marBottom w:val="0"/>
      <w:divBdr>
        <w:top w:val="none" w:sz="0" w:space="0" w:color="auto"/>
        <w:left w:val="none" w:sz="0" w:space="0" w:color="auto"/>
        <w:bottom w:val="none" w:sz="0" w:space="0" w:color="auto"/>
        <w:right w:val="none" w:sz="0" w:space="0" w:color="auto"/>
      </w:divBdr>
    </w:div>
    <w:div w:id="1446971073">
      <w:marLeft w:val="0"/>
      <w:marRight w:val="0"/>
      <w:marTop w:val="0"/>
      <w:marBottom w:val="0"/>
      <w:divBdr>
        <w:top w:val="none" w:sz="0" w:space="0" w:color="auto"/>
        <w:left w:val="none" w:sz="0" w:space="0" w:color="auto"/>
        <w:bottom w:val="none" w:sz="0" w:space="0" w:color="auto"/>
        <w:right w:val="none" w:sz="0" w:space="0" w:color="auto"/>
      </w:divBdr>
    </w:div>
    <w:div w:id="1446971074">
      <w:marLeft w:val="0"/>
      <w:marRight w:val="0"/>
      <w:marTop w:val="0"/>
      <w:marBottom w:val="0"/>
      <w:divBdr>
        <w:top w:val="none" w:sz="0" w:space="0" w:color="auto"/>
        <w:left w:val="none" w:sz="0" w:space="0" w:color="auto"/>
        <w:bottom w:val="none" w:sz="0" w:space="0" w:color="auto"/>
        <w:right w:val="none" w:sz="0" w:space="0" w:color="auto"/>
      </w:divBdr>
    </w:div>
    <w:div w:id="1446971075">
      <w:marLeft w:val="0"/>
      <w:marRight w:val="0"/>
      <w:marTop w:val="0"/>
      <w:marBottom w:val="0"/>
      <w:divBdr>
        <w:top w:val="none" w:sz="0" w:space="0" w:color="auto"/>
        <w:left w:val="none" w:sz="0" w:space="0" w:color="auto"/>
        <w:bottom w:val="none" w:sz="0" w:space="0" w:color="auto"/>
        <w:right w:val="none" w:sz="0" w:space="0" w:color="auto"/>
      </w:divBdr>
    </w:div>
    <w:div w:id="1446971076">
      <w:marLeft w:val="0"/>
      <w:marRight w:val="0"/>
      <w:marTop w:val="0"/>
      <w:marBottom w:val="0"/>
      <w:divBdr>
        <w:top w:val="none" w:sz="0" w:space="0" w:color="auto"/>
        <w:left w:val="none" w:sz="0" w:space="0" w:color="auto"/>
        <w:bottom w:val="none" w:sz="0" w:space="0" w:color="auto"/>
        <w:right w:val="none" w:sz="0" w:space="0" w:color="auto"/>
      </w:divBdr>
    </w:div>
    <w:div w:id="1446971077">
      <w:marLeft w:val="0"/>
      <w:marRight w:val="0"/>
      <w:marTop w:val="0"/>
      <w:marBottom w:val="0"/>
      <w:divBdr>
        <w:top w:val="none" w:sz="0" w:space="0" w:color="auto"/>
        <w:left w:val="none" w:sz="0" w:space="0" w:color="auto"/>
        <w:bottom w:val="none" w:sz="0" w:space="0" w:color="auto"/>
        <w:right w:val="none" w:sz="0" w:space="0" w:color="auto"/>
      </w:divBdr>
    </w:div>
    <w:div w:id="1446971078">
      <w:marLeft w:val="0"/>
      <w:marRight w:val="0"/>
      <w:marTop w:val="0"/>
      <w:marBottom w:val="0"/>
      <w:divBdr>
        <w:top w:val="none" w:sz="0" w:space="0" w:color="auto"/>
        <w:left w:val="none" w:sz="0" w:space="0" w:color="auto"/>
        <w:bottom w:val="none" w:sz="0" w:space="0" w:color="auto"/>
        <w:right w:val="none" w:sz="0" w:space="0" w:color="auto"/>
      </w:divBdr>
    </w:div>
    <w:div w:id="1446971079">
      <w:marLeft w:val="0"/>
      <w:marRight w:val="0"/>
      <w:marTop w:val="0"/>
      <w:marBottom w:val="0"/>
      <w:divBdr>
        <w:top w:val="none" w:sz="0" w:space="0" w:color="auto"/>
        <w:left w:val="none" w:sz="0" w:space="0" w:color="auto"/>
        <w:bottom w:val="none" w:sz="0" w:space="0" w:color="auto"/>
        <w:right w:val="none" w:sz="0" w:space="0" w:color="auto"/>
      </w:divBdr>
    </w:div>
    <w:div w:id="1446971080">
      <w:marLeft w:val="0"/>
      <w:marRight w:val="0"/>
      <w:marTop w:val="0"/>
      <w:marBottom w:val="0"/>
      <w:divBdr>
        <w:top w:val="none" w:sz="0" w:space="0" w:color="auto"/>
        <w:left w:val="none" w:sz="0" w:space="0" w:color="auto"/>
        <w:bottom w:val="none" w:sz="0" w:space="0" w:color="auto"/>
        <w:right w:val="none" w:sz="0" w:space="0" w:color="auto"/>
      </w:divBdr>
    </w:div>
    <w:div w:id="1446971081">
      <w:marLeft w:val="0"/>
      <w:marRight w:val="0"/>
      <w:marTop w:val="0"/>
      <w:marBottom w:val="0"/>
      <w:divBdr>
        <w:top w:val="none" w:sz="0" w:space="0" w:color="auto"/>
        <w:left w:val="none" w:sz="0" w:space="0" w:color="auto"/>
        <w:bottom w:val="none" w:sz="0" w:space="0" w:color="auto"/>
        <w:right w:val="none" w:sz="0" w:space="0" w:color="auto"/>
      </w:divBdr>
    </w:div>
    <w:div w:id="1446971082">
      <w:marLeft w:val="0"/>
      <w:marRight w:val="0"/>
      <w:marTop w:val="0"/>
      <w:marBottom w:val="0"/>
      <w:divBdr>
        <w:top w:val="none" w:sz="0" w:space="0" w:color="auto"/>
        <w:left w:val="none" w:sz="0" w:space="0" w:color="auto"/>
        <w:bottom w:val="none" w:sz="0" w:space="0" w:color="auto"/>
        <w:right w:val="none" w:sz="0" w:space="0" w:color="auto"/>
      </w:divBdr>
    </w:div>
    <w:div w:id="1446971083">
      <w:marLeft w:val="0"/>
      <w:marRight w:val="0"/>
      <w:marTop w:val="0"/>
      <w:marBottom w:val="0"/>
      <w:divBdr>
        <w:top w:val="none" w:sz="0" w:space="0" w:color="auto"/>
        <w:left w:val="none" w:sz="0" w:space="0" w:color="auto"/>
        <w:bottom w:val="none" w:sz="0" w:space="0" w:color="auto"/>
        <w:right w:val="none" w:sz="0" w:space="0" w:color="auto"/>
      </w:divBdr>
    </w:div>
    <w:div w:id="1446971084">
      <w:marLeft w:val="0"/>
      <w:marRight w:val="0"/>
      <w:marTop w:val="0"/>
      <w:marBottom w:val="0"/>
      <w:divBdr>
        <w:top w:val="none" w:sz="0" w:space="0" w:color="auto"/>
        <w:left w:val="none" w:sz="0" w:space="0" w:color="auto"/>
        <w:bottom w:val="none" w:sz="0" w:space="0" w:color="auto"/>
        <w:right w:val="none" w:sz="0" w:space="0" w:color="auto"/>
      </w:divBdr>
    </w:div>
    <w:div w:id="1446971085">
      <w:marLeft w:val="0"/>
      <w:marRight w:val="0"/>
      <w:marTop w:val="0"/>
      <w:marBottom w:val="0"/>
      <w:divBdr>
        <w:top w:val="none" w:sz="0" w:space="0" w:color="auto"/>
        <w:left w:val="none" w:sz="0" w:space="0" w:color="auto"/>
        <w:bottom w:val="none" w:sz="0" w:space="0" w:color="auto"/>
        <w:right w:val="none" w:sz="0" w:space="0" w:color="auto"/>
      </w:divBdr>
    </w:div>
    <w:div w:id="1446971086">
      <w:marLeft w:val="0"/>
      <w:marRight w:val="0"/>
      <w:marTop w:val="0"/>
      <w:marBottom w:val="0"/>
      <w:divBdr>
        <w:top w:val="none" w:sz="0" w:space="0" w:color="auto"/>
        <w:left w:val="none" w:sz="0" w:space="0" w:color="auto"/>
        <w:bottom w:val="none" w:sz="0" w:space="0" w:color="auto"/>
        <w:right w:val="none" w:sz="0" w:space="0" w:color="auto"/>
      </w:divBdr>
    </w:div>
    <w:div w:id="1446971087">
      <w:marLeft w:val="0"/>
      <w:marRight w:val="0"/>
      <w:marTop w:val="0"/>
      <w:marBottom w:val="0"/>
      <w:divBdr>
        <w:top w:val="none" w:sz="0" w:space="0" w:color="auto"/>
        <w:left w:val="none" w:sz="0" w:space="0" w:color="auto"/>
        <w:bottom w:val="none" w:sz="0" w:space="0" w:color="auto"/>
        <w:right w:val="none" w:sz="0" w:space="0" w:color="auto"/>
      </w:divBdr>
    </w:div>
    <w:div w:id="1446971088">
      <w:marLeft w:val="0"/>
      <w:marRight w:val="0"/>
      <w:marTop w:val="0"/>
      <w:marBottom w:val="0"/>
      <w:divBdr>
        <w:top w:val="none" w:sz="0" w:space="0" w:color="auto"/>
        <w:left w:val="none" w:sz="0" w:space="0" w:color="auto"/>
        <w:bottom w:val="none" w:sz="0" w:space="0" w:color="auto"/>
        <w:right w:val="none" w:sz="0" w:space="0" w:color="auto"/>
      </w:divBdr>
    </w:div>
    <w:div w:id="1446971089">
      <w:marLeft w:val="0"/>
      <w:marRight w:val="0"/>
      <w:marTop w:val="0"/>
      <w:marBottom w:val="0"/>
      <w:divBdr>
        <w:top w:val="none" w:sz="0" w:space="0" w:color="auto"/>
        <w:left w:val="none" w:sz="0" w:space="0" w:color="auto"/>
        <w:bottom w:val="none" w:sz="0" w:space="0" w:color="auto"/>
        <w:right w:val="none" w:sz="0" w:space="0" w:color="auto"/>
      </w:divBdr>
    </w:div>
    <w:div w:id="1446971090">
      <w:marLeft w:val="0"/>
      <w:marRight w:val="0"/>
      <w:marTop w:val="0"/>
      <w:marBottom w:val="0"/>
      <w:divBdr>
        <w:top w:val="none" w:sz="0" w:space="0" w:color="auto"/>
        <w:left w:val="none" w:sz="0" w:space="0" w:color="auto"/>
        <w:bottom w:val="none" w:sz="0" w:space="0" w:color="auto"/>
        <w:right w:val="none" w:sz="0" w:space="0" w:color="auto"/>
      </w:divBdr>
    </w:div>
    <w:div w:id="1446971091">
      <w:marLeft w:val="0"/>
      <w:marRight w:val="0"/>
      <w:marTop w:val="0"/>
      <w:marBottom w:val="0"/>
      <w:divBdr>
        <w:top w:val="none" w:sz="0" w:space="0" w:color="auto"/>
        <w:left w:val="none" w:sz="0" w:space="0" w:color="auto"/>
        <w:bottom w:val="none" w:sz="0" w:space="0" w:color="auto"/>
        <w:right w:val="none" w:sz="0" w:space="0" w:color="auto"/>
      </w:divBdr>
    </w:div>
    <w:div w:id="1446971092">
      <w:marLeft w:val="0"/>
      <w:marRight w:val="0"/>
      <w:marTop w:val="0"/>
      <w:marBottom w:val="0"/>
      <w:divBdr>
        <w:top w:val="none" w:sz="0" w:space="0" w:color="auto"/>
        <w:left w:val="none" w:sz="0" w:space="0" w:color="auto"/>
        <w:bottom w:val="none" w:sz="0" w:space="0" w:color="auto"/>
        <w:right w:val="none" w:sz="0" w:space="0" w:color="auto"/>
      </w:divBdr>
    </w:div>
    <w:div w:id="1446971093">
      <w:marLeft w:val="0"/>
      <w:marRight w:val="0"/>
      <w:marTop w:val="0"/>
      <w:marBottom w:val="0"/>
      <w:divBdr>
        <w:top w:val="none" w:sz="0" w:space="0" w:color="auto"/>
        <w:left w:val="none" w:sz="0" w:space="0" w:color="auto"/>
        <w:bottom w:val="none" w:sz="0" w:space="0" w:color="auto"/>
        <w:right w:val="none" w:sz="0" w:space="0" w:color="auto"/>
      </w:divBdr>
    </w:div>
    <w:div w:id="1446971094">
      <w:marLeft w:val="0"/>
      <w:marRight w:val="0"/>
      <w:marTop w:val="0"/>
      <w:marBottom w:val="0"/>
      <w:divBdr>
        <w:top w:val="none" w:sz="0" w:space="0" w:color="auto"/>
        <w:left w:val="none" w:sz="0" w:space="0" w:color="auto"/>
        <w:bottom w:val="none" w:sz="0" w:space="0" w:color="auto"/>
        <w:right w:val="none" w:sz="0" w:space="0" w:color="auto"/>
      </w:divBdr>
    </w:div>
    <w:div w:id="1446971095">
      <w:marLeft w:val="0"/>
      <w:marRight w:val="0"/>
      <w:marTop w:val="0"/>
      <w:marBottom w:val="0"/>
      <w:divBdr>
        <w:top w:val="none" w:sz="0" w:space="0" w:color="auto"/>
        <w:left w:val="none" w:sz="0" w:space="0" w:color="auto"/>
        <w:bottom w:val="none" w:sz="0" w:space="0" w:color="auto"/>
        <w:right w:val="none" w:sz="0" w:space="0" w:color="auto"/>
      </w:divBdr>
    </w:div>
    <w:div w:id="1446971096">
      <w:marLeft w:val="0"/>
      <w:marRight w:val="0"/>
      <w:marTop w:val="0"/>
      <w:marBottom w:val="0"/>
      <w:divBdr>
        <w:top w:val="none" w:sz="0" w:space="0" w:color="auto"/>
        <w:left w:val="none" w:sz="0" w:space="0" w:color="auto"/>
        <w:bottom w:val="none" w:sz="0" w:space="0" w:color="auto"/>
        <w:right w:val="none" w:sz="0" w:space="0" w:color="auto"/>
      </w:divBdr>
    </w:div>
    <w:div w:id="1446971097">
      <w:marLeft w:val="0"/>
      <w:marRight w:val="0"/>
      <w:marTop w:val="0"/>
      <w:marBottom w:val="0"/>
      <w:divBdr>
        <w:top w:val="none" w:sz="0" w:space="0" w:color="auto"/>
        <w:left w:val="none" w:sz="0" w:space="0" w:color="auto"/>
        <w:bottom w:val="none" w:sz="0" w:space="0" w:color="auto"/>
        <w:right w:val="none" w:sz="0" w:space="0" w:color="auto"/>
      </w:divBdr>
    </w:div>
    <w:div w:id="1446971098">
      <w:marLeft w:val="0"/>
      <w:marRight w:val="0"/>
      <w:marTop w:val="0"/>
      <w:marBottom w:val="0"/>
      <w:divBdr>
        <w:top w:val="none" w:sz="0" w:space="0" w:color="auto"/>
        <w:left w:val="none" w:sz="0" w:space="0" w:color="auto"/>
        <w:bottom w:val="none" w:sz="0" w:space="0" w:color="auto"/>
        <w:right w:val="none" w:sz="0" w:space="0" w:color="auto"/>
      </w:divBdr>
    </w:div>
    <w:div w:id="1469474899">
      <w:bodyDiv w:val="1"/>
      <w:marLeft w:val="0"/>
      <w:marRight w:val="0"/>
      <w:marTop w:val="0"/>
      <w:marBottom w:val="0"/>
      <w:divBdr>
        <w:top w:val="none" w:sz="0" w:space="0" w:color="auto"/>
        <w:left w:val="none" w:sz="0" w:space="0" w:color="auto"/>
        <w:bottom w:val="none" w:sz="0" w:space="0" w:color="auto"/>
        <w:right w:val="none" w:sz="0" w:space="0" w:color="auto"/>
      </w:divBdr>
    </w:div>
    <w:div w:id="1473936281">
      <w:bodyDiv w:val="1"/>
      <w:marLeft w:val="0"/>
      <w:marRight w:val="0"/>
      <w:marTop w:val="0"/>
      <w:marBottom w:val="0"/>
      <w:divBdr>
        <w:top w:val="none" w:sz="0" w:space="0" w:color="auto"/>
        <w:left w:val="none" w:sz="0" w:space="0" w:color="auto"/>
        <w:bottom w:val="none" w:sz="0" w:space="0" w:color="auto"/>
        <w:right w:val="none" w:sz="0" w:space="0" w:color="auto"/>
      </w:divBdr>
    </w:div>
    <w:div w:id="1498810419">
      <w:bodyDiv w:val="1"/>
      <w:marLeft w:val="0"/>
      <w:marRight w:val="0"/>
      <w:marTop w:val="0"/>
      <w:marBottom w:val="0"/>
      <w:divBdr>
        <w:top w:val="none" w:sz="0" w:space="0" w:color="auto"/>
        <w:left w:val="none" w:sz="0" w:space="0" w:color="auto"/>
        <w:bottom w:val="none" w:sz="0" w:space="0" w:color="auto"/>
        <w:right w:val="none" w:sz="0" w:space="0" w:color="auto"/>
      </w:divBdr>
    </w:div>
    <w:div w:id="1518231631">
      <w:bodyDiv w:val="1"/>
      <w:marLeft w:val="0"/>
      <w:marRight w:val="0"/>
      <w:marTop w:val="0"/>
      <w:marBottom w:val="0"/>
      <w:divBdr>
        <w:top w:val="none" w:sz="0" w:space="0" w:color="auto"/>
        <w:left w:val="none" w:sz="0" w:space="0" w:color="auto"/>
        <w:bottom w:val="none" w:sz="0" w:space="0" w:color="auto"/>
        <w:right w:val="none" w:sz="0" w:space="0" w:color="auto"/>
      </w:divBdr>
    </w:div>
    <w:div w:id="1551064861">
      <w:bodyDiv w:val="1"/>
      <w:marLeft w:val="0"/>
      <w:marRight w:val="0"/>
      <w:marTop w:val="0"/>
      <w:marBottom w:val="0"/>
      <w:divBdr>
        <w:top w:val="none" w:sz="0" w:space="0" w:color="auto"/>
        <w:left w:val="none" w:sz="0" w:space="0" w:color="auto"/>
        <w:bottom w:val="none" w:sz="0" w:space="0" w:color="auto"/>
        <w:right w:val="none" w:sz="0" w:space="0" w:color="auto"/>
      </w:divBdr>
    </w:div>
    <w:div w:id="1565985607">
      <w:bodyDiv w:val="1"/>
      <w:marLeft w:val="0"/>
      <w:marRight w:val="0"/>
      <w:marTop w:val="0"/>
      <w:marBottom w:val="0"/>
      <w:divBdr>
        <w:top w:val="none" w:sz="0" w:space="0" w:color="auto"/>
        <w:left w:val="none" w:sz="0" w:space="0" w:color="auto"/>
        <w:bottom w:val="none" w:sz="0" w:space="0" w:color="auto"/>
        <w:right w:val="none" w:sz="0" w:space="0" w:color="auto"/>
      </w:divBdr>
    </w:div>
    <w:div w:id="1618633634">
      <w:bodyDiv w:val="1"/>
      <w:marLeft w:val="0"/>
      <w:marRight w:val="0"/>
      <w:marTop w:val="0"/>
      <w:marBottom w:val="0"/>
      <w:divBdr>
        <w:top w:val="none" w:sz="0" w:space="0" w:color="auto"/>
        <w:left w:val="none" w:sz="0" w:space="0" w:color="auto"/>
        <w:bottom w:val="none" w:sz="0" w:space="0" w:color="auto"/>
        <w:right w:val="none" w:sz="0" w:space="0" w:color="auto"/>
      </w:divBdr>
    </w:div>
    <w:div w:id="1717970664">
      <w:bodyDiv w:val="1"/>
      <w:marLeft w:val="0"/>
      <w:marRight w:val="0"/>
      <w:marTop w:val="0"/>
      <w:marBottom w:val="0"/>
      <w:divBdr>
        <w:top w:val="none" w:sz="0" w:space="0" w:color="auto"/>
        <w:left w:val="none" w:sz="0" w:space="0" w:color="auto"/>
        <w:bottom w:val="none" w:sz="0" w:space="0" w:color="auto"/>
        <w:right w:val="none" w:sz="0" w:space="0" w:color="auto"/>
      </w:divBdr>
    </w:div>
    <w:div w:id="1731415979">
      <w:bodyDiv w:val="1"/>
      <w:marLeft w:val="0"/>
      <w:marRight w:val="0"/>
      <w:marTop w:val="0"/>
      <w:marBottom w:val="0"/>
      <w:divBdr>
        <w:top w:val="none" w:sz="0" w:space="0" w:color="auto"/>
        <w:left w:val="none" w:sz="0" w:space="0" w:color="auto"/>
        <w:bottom w:val="none" w:sz="0" w:space="0" w:color="auto"/>
        <w:right w:val="none" w:sz="0" w:space="0" w:color="auto"/>
      </w:divBdr>
    </w:div>
    <w:div w:id="1732995663">
      <w:bodyDiv w:val="1"/>
      <w:marLeft w:val="0"/>
      <w:marRight w:val="0"/>
      <w:marTop w:val="0"/>
      <w:marBottom w:val="0"/>
      <w:divBdr>
        <w:top w:val="none" w:sz="0" w:space="0" w:color="auto"/>
        <w:left w:val="none" w:sz="0" w:space="0" w:color="auto"/>
        <w:bottom w:val="none" w:sz="0" w:space="0" w:color="auto"/>
        <w:right w:val="none" w:sz="0" w:space="0" w:color="auto"/>
      </w:divBdr>
    </w:div>
    <w:div w:id="1773165475">
      <w:bodyDiv w:val="1"/>
      <w:marLeft w:val="0"/>
      <w:marRight w:val="0"/>
      <w:marTop w:val="0"/>
      <w:marBottom w:val="0"/>
      <w:divBdr>
        <w:top w:val="none" w:sz="0" w:space="0" w:color="auto"/>
        <w:left w:val="none" w:sz="0" w:space="0" w:color="auto"/>
        <w:bottom w:val="none" w:sz="0" w:space="0" w:color="auto"/>
        <w:right w:val="none" w:sz="0" w:space="0" w:color="auto"/>
      </w:divBdr>
    </w:div>
    <w:div w:id="1816797494">
      <w:bodyDiv w:val="1"/>
      <w:marLeft w:val="0"/>
      <w:marRight w:val="0"/>
      <w:marTop w:val="0"/>
      <w:marBottom w:val="0"/>
      <w:divBdr>
        <w:top w:val="none" w:sz="0" w:space="0" w:color="auto"/>
        <w:left w:val="none" w:sz="0" w:space="0" w:color="auto"/>
        <w:bottom w:val="none" w:sz="0" w:space="0" w:color="auto"/>
        <w:right w:val="none" w:sz="0" w:space="0" w:color="auto"/>
      </w:divBdr>
    </w:div>
    <w:div w:id="1873689500">
      <w:bodyDiv w:val="1"/>
      <w:marLeft w:val="0"/>
      <w:marRight w:val="0"/>
      <w:marTop w:val="0"/>
      <w:marBottom w:val="0"/>
      <w:divBdr>
        <w:top w:val="none" w:sz="0" w:space="0" w:color="auto"/>
        <w:left w:val="none" w:sz="0" w:space="0" w:color="auto"/>
        <w:bottom w:val="none" w:sz="0" w:space="0" w:color="auto"/>
        <w:right w:val="none" w:sz="0" w:space="0" w:color="auto"/>
      </w:divBdr>
    </w:div>
    <w:div w:id="1885487545">
      <w:bodyDiv w:val="1"/>
      <w:marLeft w:val="0"/>
      <w:marRight w:val="0"/>
      <w:marTop w:val="0"/>
      <w:marBottom w:val="0"/>
      <w:divBdr>
        <w:top w:val="none" w:sz="0" w:space="0" w:color="auto"/>
        <w:left w:val="none" w:sz="0" w:space="0" w:color="auto"/>
        <w:bottom w:val="none" w:sz="0" w:space="0" w:color="auto"/>
        <w:right w:val="none" w:sz="0" w:space="0" w:color="auto"/>
      </w:divBdr>
    </w:div>
    <w:div w:id="1916818214">
      <w:bodyDiv w:val="1"/>
      <w:marLeft w:val="0"/>
      <w:marRight w:val="0"/>
      <w:marTop w:val="0"/>
      <w:marBottom w:val="0"/>
      <w:divBdr>
        <w:top w:val="none" w:sz="0" w:space="0" w:color="auto"/>
        <w:left w:val="none" w:sz="0" w:space="0" w:color="auto"/>
        <w:bottom w:val="none" w:sz="0" w:space="0" w:color="auto"/>
        <w:right w:val="none" w:sz="0" w:space="0" w:color="auto"/>
      </w:divBdr>
    </w:div>
    <w:div w:id="1928658981">
      <w:bodyDiv w:val="1"/>
      <w:marLeft w:val="0"/>
      <w:marRight w:val="0"/>
      <w:marTop w:val="0"/>
      <w:marBottom w:val="0"/>
      <w:divBdr>
        <w:top w:val="none" w:sz="0" w:space="0" w:color="auto"/>
        <w:left w:val="none" w:sz="0" w:space="0" w:color="auto"/>
        <w:bottom w:val="none" w:sz="0" w:space="0" w:color="auto"/>
        <w:right w:val="none" w:sz="0" w:space="0" w:color="auto"/>
      </w:divBdr>
    </w:div>
    <w:div w:id="1991707216">
      <w:bodyDiv w:val="1"/>
      <w:marLeft w:val="0"/>
      <w:marRight w:val="0"/>
      <w:marTop w:val="0"/>
      <w:marBottom w:val="0"/>
      <w:divBdr>
        <w:top w:val="none" w:sz="0" w:space="0" w:color="auto"/>
        <w:left w:val="none" w:sz="0" w:space="0" w:color="auto"/>
        <w:bottom w:val="none" w:sz="0" w:space="0" w:color="auto"/>
        <w:right w:val="none" w:sz="0" w:space="0" w:color="auto"/>
      </w:divBdr>
    </w:div>
    <w:div w:id="2001351320">
      <w:bodyDiv w:val="1"/>
      <w:marLeft w:val="0"/>
      <w:marRight w:val="0"/>
      <w:marTop w:val="0"/>
      <w:marBottom w:val="0"/>
      <w:divBdr>
        <w:top w:val="none" w:sz="0" w:space="0" w:color="auto"/>
        <w:left w:val="none" w:sz="0" w:space="0" w:color="auto"/>
        <w:bottom w:val="none" w:sz="0" w:space="0" w:color="auto"/>
        <w:right w:val="none" w:sz="0" w:space="0" w:color="auto"/>
      </w:divBdr>
    </w:div>
    <w:div w:id="2039771004">
      <w:bodyDiv w:val="1"/>
      <w:marLeft w:val="0"/>
      <w:marRight w:val="0"/>
      <w:marTop w:val="0"/>
      <w:marBottom w:val="0"/>
      <w:divBdr>
        <w:top w:val="none" w:sz="0" w:space="0" w:color="auto"/>
        <w:left w:val="none" w:sz="0" w:space="0" w:color="auto"/>
        <w:bottom w:val="none" w:sz="0" w:space="0" w:color="auto"/>
        <w:right w:val="none" w:sz="0" w:space="0" w:color="auto"/>
      </w:divBdr>
    </w:div>
    <w:div w:id="2093164735">
      <w:bodyDiv w:val="1"/>
      <w:marLeft w:val="0"/>
      <w:marRight w:val="0"/>
      <w:marTop w:val="0"/>
      <w:marBottom w:val="0"/>
      <w:divBdr>
        <w:top w:val="none" w:sz="0" w:space="0" w:color="auto"/>
        <w:left w:val="none" w:sz="0" w:space="0" w:color="auto"/>
        <w:bottom w:val="none" w:sz="0" w:space="0" w:color="auto"/>
        <w:right w:val="none" w:sz="0" w:space="0" w:color="auto"/>
      </w:divBdr>
    </w:div>
    <w:div w:id="2093889966">
      <w:bodyDiv w:val="1"/>
      <w:marLeft w:val="0"/>
      <w:marRight w:val="0"/>
      <w:marTop w:val="0"/>
      <w:marBottom w:val="0"/>
      <w:divBdr>
        <w:top w:val="none" w:sz="0" w:space="0" w:color="auto"/>
        <w:left w:val="none" w:sz="0" w:space="0" w:color="auto"/>
        <w:bottom w:val="none" w:sz="0" w:space="0" w:color="auto"/>
        <w:right w:val="none" w:sz="0" w:space="0" w:color="auto"/>
      </w:divBdr>
    </w:div>
    <w:div w:id="21020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Maigiene\SPRENDIMAI\BIUD&#381;ETO%20PAKEITIMAI\2020%20m.%20biud&#382;eto%20pakeitimai%200212\skaid%20ai&#353;kinamajam%20ra&#353;tui%202019%20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Maigiene\SPRENDIMAI\BIUD&#381;ETO%20PAKEITIMAI\2020%20m.%20biud&#382;eto%20pakeitimai%200212\skaidri&#371;%20paruo&#353;imas%202020%20m.%20ai&#353;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RIAI\finansai\Maigiene\SPRENDIMAI\BIUD&#381;ETO%20PAKEITIMAI\2020%20m.%20biud&#382;eto%20pakeitimai%200212\skaidri&#371;%20paruo&#353;imas%202020%20m.%20ai&#353;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3B8-49DC-BEFC-1FB14FDA0AE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3B8-49DC-BEFC-1FB14FDA0AE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3B8-49DC-BEFC-1FB14FDA0AE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3B8-49DC-BEFC-1FB14FDA0AE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3B8-49DC-BEFC-1FB14FDA0AE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3B8-49DC-BEFC-1FB14FDA0AE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3B8-49DC-BEFC-1FB14FDA0AE6}"/>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3B8-49DC-BEFC-1FB14FDA0AE6}"/>
              </c:ext>
            </c:extLst>
          </c:dPt>
          <c:dLbls>
            <c:dLbl>
              <c:idx val="0"/>
              <c:layout>
                <c:manualLayout>
                  <c:x val="-1.3153968951640069E-2"/>
                  <c:y val="-0.11596152436252735"/>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4263803192441554"/>
                      <c:h val="0.18059931343210683"/>
                    </c:manualLayout>
                  </c15:layout>
                </c:ext>
                <c:ext xmlns:c16="http://schemas.microsoft.com/office/drawing/2014/chart" uri="{C3380CC4-5D6E-409C-BE32-E72D297353CC}">
                  <c16:uniqueId val="{00000001-23B8-49DC-BEFC-1FB14FDA0AE6}"/>
                </c:ext>
              </c:extLst>
            </c:dLbl>
            <c:dLbl>
              <c:idx val="1"/>
              <c:layout>
                <c:manualLayout>
                  <c:x val="6.8288509812978217E-3"/>
                  <c:y val="6.3492051735745694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3B8-49DC-BEFC-1FB14FDA0AE6}"/>
                </c:ext>
              </c:extLst>
            </c:dLbl>
            <c:dLbl>
              <c:idx val="2"/>
              <c:layout>
                <c:manualLayout>
                  <c:x val="1.9331242108344155E-2"/>
                  <c:y val="7.1078838521783733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3283422084171414"/>
                      <c:h val="0.18032326964716003"/>
                    </c:manualLayout>
                  </c15:layout>
                </c:ext>
                <c:ext xmlns:c16="http://schemas.microsoft.com/office/drawing/2014/chart" uri="{C3380CC4-5D6E-409C-BE32-E72D297353CC}">
                  <c16:uniqueId val="{00000005-23B8-49DC-BEFC-1FB14FDA0AE6}"/>
                </c:ext>
              </c:extLst>
            </c:dLbl>
            <c:dLbl>
              <c:idx val="3"/>
              <c:layout>
                <c:manualLayout>
                  <c:x val="0"/>
                  <c:y val="6.819516667913407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23B8-49DC-BEFC-1FB14FDA0AE6}"/>
                </c:ext>
              </c:extLst>
            </c:dLbl>
            <c:dLbl>
              <c:idx val="4"/>
              <c:layout>
                <c:manualLayout>
                  <c:x val="5.1216382359733671E-3"/>
                  <c:y val="-9.6413856339465656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3B8-49DC-BEFC-1FB14FDA0AE6}"/>
                </c:ext>
              </c:extLst>
            </c:dLbl>
            <c:dLbl>
              <c:idx val="5"/>
              <c:layout>
                <c:manualLayout>
                  <c:x val="-3.5719175899858353E-2"/>
                  <c:y val="-0.12151908385753457"/>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23B8-49DC-BEFC-1FB14FDA0AE6}"/>
                </c:ext>
              </c:extLst>
            </c:dLbl>
            <c:dLbl>
              <c:idx val="6"/>
              <c:layout>
                <c:manualLayout>
                  <c:x val="9.107273865097637E-2"/>
                  <c:y val="-5.0344042190256941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23B8-49DC-BEFC-1FB14FDA0AE6}"/>
                </c:ext>
              </c:extLst>
            </c:dLbl>
            <c:dLbl>
              <c:idx val="7"/>
              <c:layout>
                <c:manualLayout>
                  <c:x val="0.21893636246288886"/>
                  <c:y val="-6.6637927242334929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23B8-49DC-BEFC-1FB14FDA0AE6}"/>
                </c:ext>
              </c:extLst>
            </c:dLbl>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'pajamos smulk.'!$E$6:$E$13</c:f>
              <c:strCache>
                <c:ptCount val="8"/>
                <c:pt idx="0">
                  <c:v> Gyventojų pajamų mokestis </c:v>
                </c:pt>
                <c:pt idx="1">
                  <c:v> Turto, prekių ir paslaugų mokesčiai</c:v>
                </c:pt>
                <c:pt idx="2">
                  <c:v>Tikslinė dotacija valstybinėms ( perduotos savivaldybei) funkcijoms atlikti</c:v>
                </c:pt>
                <c:pt idx="3">
                  <c:v>Tikslinė dotacija- mokymo lėšos</c:v>
                </c:pt>
                <c:pt idx="4">
                  <c:v> Kita tikslinė dotacija ir Europos Sąjungos finansinės paramos lėšos</c:v>
                </c:pt>
                <c:pt idx="5">
                  <c:v> Kitos pajamos</c:v>
                </c:pt>
                <c:pt idx="6">
                  <c:v>2019 metų nepanaudotos
 biudžeto lėšos</c:v>
                </c:pt>
                <c:pt idx="7">
                  <c:v>Finansinių įsipareigojimų 
(skolintos) lėšos</c:v>
                </c:pt>
              </c:strCache>
            </c:strRef>
          </c:cat>
          <c:val>
            <c:numRef>
              <c:f>'pajamos smulk.'!$F$6:$F$13</c:f>
              <c:numCache>
                <c:formatCode>General</c:formatCode>
                <c:ptCount val="8"/>
                <c:pt idx="0">
                  <c:v>10917</c:v>
                </c:pt>
                <c:pt idx="1">
                  <c:v>352</c:v>
                </c:pt>
                <c:pt idx="2">
                  <c:v>2040.2</c:v>
                </c:pt>
                <c:pt idx="3">
                  <c:v>4064.5</c:v>
                </c:pt>
                <c:pt idx="4">
                  <c:v>4283.7</c:v>
                </c:pt>
                <c:pt idx="5">
                  <c:v>844.1</c:v>
                </c:pt>
                <c:pt idx="6">
                  <c:v>818.5</c:v>
                </c:pt>
                <c:pt idx="7">
                  <c:v>550</c:v>
                </c:pt>
              </c:numCache>
            </c:numRef>
          </c:val>
          <c:extLst>
            <c:ext xmlns:c16="http://schemas.microsoft.com/office/drawing/2014/chart" uri="{C3380CC4-5D6E-409C-BE32-E72D297353CC}">
              <c16:uniqueId val="{00000010-23B8-49DC-BEFC-1FB14FDA0AE6}"/>
            </c:ext>
          </c:extLst>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80598574467292"/>
          <c:y val="0.16068622470578273"/>
          <c:w val="0.54046414814261967"/>
          <c:h val="0.6897455761578190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F8-4F3D-B30E-F174D006ED2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F8-4F3D-B30E-F174D006ED2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F8-4F3D-B30E-F174D006ED2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F8-4F3D-B30E-F174D006ED2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F8-4F3D-B30E-F174D006ED2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0F8-4F3D-B30E-F174D006ED2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0F8-4F3D-B30E-F174D006ED2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0F8-4F3D-B30E-F174D006ED2F}"/>
              </c:ext>
            </c:extLst>
          </c:dPt>
          <c:dLbls>
            <c:dLbl>
              <c:idx val="0"/>
              <c:layout>
                <c:manualLayout>
                  <c:x val="0.15481832543443907"/>
                  <c:y val="-0.1769451031221227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26465516454992888"/>
                      <c:h val="0.16405667412378822"/>
                    </c:manualLayout>
                  </c15:layout>
                </c:ext>
                <c:ext xmlns:c16="http://schemas.microsoft.com/office/drawing/2014/chart" uri="{C3380CC4-5D6E-409C-BE32-E72D297353CC}">
                  <c16:uniqueId val="{00000001-D0F8-4F3D-B30E-F174D006ED2F}"/>
                </c:ext>
              </c:extLst>
            </c:dLbl>
            <c:dLbl>
              <c:idx val="1"/>
              <c:layout>
                <c:manualLayout>
                  <c:x val="0.19167983149025802"/>
                  <c:y val="-2.9268292682926838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0F8-4F3D-B30E-F174D006ED2F}"/>
                </c:ext>
              </c:extLst>
            </c:dLbl>
            <c:dLbl>
              <c:idx val="2"/>
              <c:layout>
                <c:manualLayout>
                  <c:x val="0.17693522906793049"/>
                  <c:y val="-1.4106760144914882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0F8-4F3D-B30E-F174D006ED2F}"/>
                </c:ext>
              </c:extLst>
            </c:dLbl>
            <c:dLbl>
              <c:idx val="3"/>
              <c:layout>
                <c:manualLayout>
                  <c:x val="0.16008425487098465"/>
                  <c:y val="0.11951757708138831"/>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0F8-4F3D-B30E-F174D006ED2F}"/>
                </c:ext>
              </c:extLst>
            </c:dLbl>
            <c:dLbl>
              <c:idx val="4"/>
              <c:layout>
                <c:manualLayout>
                  <c:x val="-0.17166929963138491"/>
                  <c:y val="0.1378153569729957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59746190493960771"/>
                      <c:h val="0.10917225950782998"/>
                    </c:manualLayout>
                  </c15:layout>
                </c:ext>
                <c:ext xmlns:c16="http://schemas.microsoft.com/office/drawing/2014/chart" uri="{C3380CC4-5D6E-409C-BE32-E72D297353CC}">
                  <c16:uniqueId val="{00000009-D0F8-4F3D-B30E-F174D006ED2F}"/>
                </c:ext>
              </c:extLst>
            </c:dLbl>
            <c:dLbl>
              <c:idx val="5"/>
              <c:layout>
                <c:manualLayout>
                  <c:x val="-0.19589257503949448"/>
                  <c:y val="-0.16594103589400325"/>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D0F8-4F3D-B30E-F174D006ED2F}"/>
                </c:ext>
              </c:extLst>
            </c:dLbl>
            <c:dLbl>
              <c:idx val="6"/>
              <c:layout>
                <c:manualLayout>
                  <c:x val="-0.22011585044760401"/>
                  <c:y val="-2.5477989747925804E-2"/>
                </c:manualLayout>
              </c:layout>
              <c:showLegendKey val="0"/>
              <c:showVal val="1"/>
              <c:showCatName val="1"/>
              <c:showSerName val="0"/>
              <c:showPercent val="1"/>
              <c:showBubbleSize val="0"/>
              <c:extLst>
                <c:ext xmlns:c15="http://schemas.microsoft.com/office/drawing/2012/chart" uri="{CE6537A1-D6FC-4f65-9D91-7224C49458BB}">
                  <c15:layout>
                    <c:manualLayout>
                      <c:w val="0.29625074116920219"/>
                      <c:h val="0.21476510067114093"/>
                    </c:manualLayout>
                  </c15:layout>
                </c:ext>
                <c:ext xmlns:c16="http://schemas.microsoft.com/office/drawing/2014/chart" uri="{C3380CC4-5D6E-409C-BE32-E72D297353CC}">
                  <c16:uniqueId val="{0000000D-D0F8-4F3D-B30E-F174D006ED2F}"/>
                </c:ext>
              </c:extLst>
            </c:dLbl>
            <c:dLbl>
              <c:idx val="7"/>
              <c:layout>
                <c:manualLayout>
                  <c:x val="-0.16429699842022122"/>
                  <c:y val="-0.1277877010340150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23727233147989202"/>
                      <c:h val="0.11394481730052197"/>
                    </c:manualLayout>
                  </c15:layout>
                </c:ext>
                <c:ext xmlns:c16="http://schemas.microsoft.com/office/drawing/2014/chart" uri="{C3380CC4-5D6E-409C-BE32-E72D297353CC}">
                  <c16:uniqueId val="{0000000F-D0F8-4F3D-B30E-F174D006ED2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'pagal programas'!$A$2:$A$9</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programas'!$B$2:$B$9</c:f>
              <c:numCache>
                <c:formatCode>General</c:formatCode>
                <c:ptCount val="8"/>
                <c:pt idx="0">
                  <c:v>406.8</c:v>
                </c:pt>
                <c:pt idx="1">
                  <c:v>4401.3</c:v>
                </c:pt>
                <c:pt idx="2">
                  <c:v>5438.1</c:v>
                </c:pt>
                <c:pt idx="3">
                  <c:v>193.1</c:v>
                </c:pt>
                <c:pt idx="4">
                  <c:v>1394.1</c:v>
                </c:pt>
                <c:pt idx="5">
                  <c:v>8079.9</c:v>
                </c:pt>
                <c:pt idx="6">
                  <c:v>3595</c:v>
                </c:pt>
                <c:pt idx="7">
                  <c:v>361.7</c:v>
                </c:pt>
              </c:numCache>
            </c:numRef>
          </c:val>
          <c:extLst>
            <c:ext xmlns:c16="http://schemas.microsoft.com/office/drawing/2014/chart" uri="{C3380CC4-5D6E-409C-BE32-E72D297353CC}">
              <c16:uniqueId val="{00000010-D0F8-4F3D-B30E-F174D006ED2F}"/>
            </c:ext>
          </c:extLst>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4777063909956041E-2"/>
          <c:w val="0.99959183873545165"/>
          <c:h val="0.64120566850047722"/>
        </c:manualLayout>
      </c:layout>
      <c:barChart>
        <c:barDir val="col"/>
        <c:grouping val="clustered"/>
        <c:varyColors val="0"/>
        <c:ser>
          <c:idx val="0"/>
          <c:order val="0"/>
          <c:tx>
            <c:strRef>
              <c:f>'pagal programas'!$B$20</c:f>
              <c:strCache>
                <c:ptCount val="1"/>
                <c:pt idx="0">
                  <c:v>2020</c:v>
                </c:pt>
              </c:strCache>
            </c:strRef>
          </c:tx>
          <c:spPr>
            <a:solidFill>
              <a:schemeClr val="accent1"/>
            </a:solidFill>
            <a:ln>
              <a:noFill/>
            </a:ln>
            <a:effectLst/>
          </c:spPr>
          <c:invertIfNegative val="0"/>
          <c:dLbls>
            <c:dLbl>
              <c:idx val="0"/>
              <c:layout>
                <c:manualLayout>
                  <c:x val="-6.2253579580825898E-3"/>
                  <c:y val="-4.08997955010224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FEA-47DF-8B5E-F3692A68BDFB}"/>
                </c:ext>
              </c:extLst>
            </c:dLbl>
            <c:dLbl>
              <c:idx val="1"/>
              <c:layout>
                <c:manualLayout>
                  <c:x val="-1.7801513128616264E-3"/>
                  <c:y val="-3.013182674199623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FEA-47DF-8B5E-F3692A68BDFB}"/>
                </c:ext>
              </c:extLst>
            </c:dLbl>
            <c:dLbl>
              <c:idx val="2"/>
              <c:layout>
                <c:manualLayout>
                  <c:x val="-1.0375596596804317E-2"/>
                  <c:y val="-5.138052893503785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FEA-47DF-8B5E-F3692A68BDFB}"/>
                </c:ext>
              </c:extLst>
            </c:dLbl>
            <c:dLbl>
              <c:idx val="3"/>
              <c:layout>
                <c:manualLayout>
                  <c:x val="-4.1502386387217262E-3"/>
                  <c:y val="-5.258545135845749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FEA-47DF-8B5E-F3692A68BDFB}"/>
                </c:ext>
              </c:extLst>
            </c:dLbl>
            <c:dLbl>
              <c:idx val="4"/>
              <c:layout>
                <c:manualLayout>
                  <c:x val="-3.5603026257231868E-3"/>
                  <c:y val="-3.264281230382935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FEA-47DF-8B5E-F3692A68BDFB}"/>
                </c:ext>
              </c:extLst>
            </c:dLbl>
            <c:dLbl>
              <c:idx val="7"/>
              <c:layout>
                <c:manualLayout>
                  <c:x val="-1.7801513128615936E-3"/>
                  <c:y val="-3.264281230382926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FEA-47DF-8B5E-F3692A68BDF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'pagal programas'!$A$21:$A$28</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programas'!$B$21:$B$28</c:f>
              <c:numCache>
                <c:formatCode>General</c:formatCode>
                <c:ptCount val="8"/>
                <c:pt idx="0">
                  <c:v>406.8</c:v>
                </c:pt>
                <c:pt idx="1">
                  <c:v>4401.3</c:v>
                </c:pt>
                <c:pt idx="2">
                  <c:v>5438.1</c:v>
                </c:pt>
                <c:pt idx="3">
                  <c:v>193.1</c:v>
                </c:pt>
                <c:pt idx="4">
                  <c:v>1394.1</c:v>
                </c:pt>
                <c:pt idx="5">
                  <c:v>8079.9</c:v>
                </c:pt>
                <c:pt idx="6">
                  <c:v>3595</c:v>
                </c:pt>
                <c:pt idx="7">
                  <c:v>361.7</c:v>
                </c:pt>
              </c:numCache>
            </c:numRef>
          </c:val>
          <c:extLst>
            <c:ext xmlns:c16="http://schemas.microsoft.com/office/drawing/2014/chart" uri="{C3380CC4-5D6E-409C-BE32-E72D297353CC}">
              <c16:uniqueId val="{00000003-BFEA-47DF-8B5E-F3692A68BDFB}"/>
            </c:ext>
          </c:extLst>
        </c:ser>
        <c:ser>
          <c:idx val="1"/>
          <c:order val="1"/>
          <c:tx>
            <c:strRef>
              <c:f>'pagal programas'!$C$20</c:f>
              <c:strCache>
                <c:ptCount val="1"/>
                <c:pt idx="0">
                  <c:v>2019</c:v>
                </c:pt>
              </c:strCache>
            </c:strRef>
          </c:tx>
          <c:spPr>
            <a:solidFill>
              <a:schemeClr val="accent2"/>
            </a:solidFill>
            <a:ln>
              <a:noFill/>
            </a:ln>
            <a:effectLst/>
          </c:spPr>
          <c:invertIfNegative val="0"/>
          <c:dLbls>
            <c:dLbl>
              <c:idx val="1"/>
              <c:layout>
                <c:manualLayout>
                  <c:x val="2.2826312512969456E-2"/>
                  <c:y val="-2.5690430314707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FEA-47DF-8B5E-F3692A68BDFB}"/>
                </c:ext>
              </c:extLst>
            </c:dLbl>
            <c:dLbl>
              <c:idx val="2"/>
              <c:layout>
                <c:manualLayout>
                  <c:x val="1.867607387424776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FEA-47DF-8B5E-F3692A68BDFB}"/>
                </c:ext>
              </c:extLst>
            </c:dLbl>
            <c:dLbl>
              <c:idx val="4"/>
              <c:layout>
                <c:manualLayout>
                  <c:x val="1.4525835235525966E-2"/>
                  <c:y val="-2.5690430314707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FEA-47DF-8B5E-F3692A68BDFB}"/>
                </c:ext>
              </c:extLst>
            </c:dLbl>
            <c:dLbl>
              <c:idx val="5"/>
              <c:layout>
                <c:manualLayout>
                  <c:x val="1.24507159161651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FEA-47DF-8B5E-F3692A68BDFB}"/>
                </c:ext>
              </c:extLst>
            </c:dLbl>
            <c:dLbl>
              <c:idx val="6"/>
              <c:layout>
                <c:manualLayout>
                  <c:x val="2.4901431832330359E-2"/>
                  <c:y val="-7.707129094412378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FEA-47DF-8B5E-F3692A68BDF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'pagal programas'!$A$21:$A$28</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programas'!$C$21:$C$28</c:f>
              <c:numCache>
                <c:formatCode>General</c:formatCode>
                <c:ptCount val="8"/>
                <c:pt idx="0">
                  <c:v>249.3</c:v>
                </c:pt>
                <c:pt idx="1">
                  <c:v>3698.5</c:v>
                </c:pt>
                <c:pt idx="2">
                  <c:v>5920</c:v>
                </c:pt>
                <c:pt idx="3">
                  <c:v>61.9</c:v>
                </c:pt>
                <c:pt idx="4">
                  <c:v>1263.5</c:v>
                </c:pt>
                <c:pt idx="5">
                  <c:v>7323.3</c:v>
                </c:pt>
                <c:pt idx="6">
                  <c:v>3157.1</c:v>
                </c:pt>
                <c:pt idx="7">
                  <c:v>362.5</c:v>
                </c:pt>
              </c:numCache>
            </c:numRef>
          </c:val>
          <c:extLst>
            <c:ext xmlns:c16="http://schemas.microsoft.com/office/drawing/2014/chart" uri="{C3380CC4-5D6E-409C-BE32-E72D297353CC}">
              <c16:uniqueId val="{00000004-BFEA-47DF-8B5E-F3692A68BDFB}"/>
            </c:ext>
          </c:extLst>
        </c:ser>
        <c:dLbls>
          <c:showLegendKey val="0"/>
          <c:showVal val="0"/>
          <c:showCatName val="0"/>
          <c:showSerName val="0"/>
          <c:showPercent val="0"/>
          <c:showBubbleSize val="0"/>
        </c:dLbls>
        <c:gapWidth val="220"/>
        <c:overlap val="-59"/>
        <c:axId val="76736384"/>
        <c:axId val="76737920"/>
      </c:barChart>
      <c:catAx>
        <c:axId val="767363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0"/>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6737920"/>
        <c:crosses val="autoZero"/>
        <c:auto val="1"/>
        <c:lblAlgn val="ctr"/>
        <c:lblOffset val="100"/>
        <c:noMultiLvlLbl val="0"/>
      </c:catAx>
      <c:valAx>
        <c:axId val="76737920"/>
        <c:scaling>
          <c:orientation val="minMax"/>
        </c:scaling>
        <c:delete val="1"/>
        <c:axPos val="l"/>
        <c:numFmt formatCode="General" sourceLinked="1"/>
        <c:majorTickMark val="out"/>
        <c:minorTickMark val="none"/>
        <c:tickLblPos val="none"/>
        <c:crossAx val="76736384"/>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t-LT"/>
          </a:p>
        </c:txPr>
      </c:legendEntry>
      <c:legendEntry>
        <c:idx val="1"/>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t-LT"/>
          </a:p>
        </c:txPr>
      </c:legendEntry>
      <c:layout>
        <c:manualLayout>
          <c:xMode val="edge"/>
          <c:yMode val="edge"/>
          <c:x val="1.8468561942311636E-2"/>
          <c:y val="2.3384917531959773E-2"/>
          <c:w val="0.2137372898941689"/>
          <c:h val="0.12781255103848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A78C-BCB1-4957-BAA3-71274ACF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17</Pages>
  <Words>3801</Words>
  <Characters>25270</Characters>
  <Application>Microsoft Office Word</Application>
  <DocSecurity>0</DocSecurity>
  <Lines>210</Lines>
  <Paragraphs>58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Maigienė Rūta</cp:lastModifiedBy>
  <cp:revision>28</cp:revision>
  <cp:lastPrinted>2020-02-04T11:52:00Z</cp:lastPrinted>
  <dcterms:created xsi:type="dcterms:W3CDTF">2020-02-03T12:35:00Z</dcterms:created>
  <dcterms:modified xsi:type="dcterms:W3CDTF">2020-02-14T10:52:00Z</dcterms:modified>
</cp:coreProperties>
</file>