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E8" w:rsidRDefault="0080666A" w:rsidP="0080666A">
      <w:pPr>
        <w:spacing w:after="0" w:line="276" w:lineRule="auto"/>
        <w:jc w:val="both"/>
        <w:rPr>
          <w:rFonts w:cs="Times New Roman"/>
          <w:b/>
          <w:szCs w:val="24"/>
        </w:rPr>
      </w:pPr>
      <w:r w:rsidRPr="0080666A">
        <w:rPr>
          <w:rFonts w:cs="Times New Roman"/>
          <w:b/>
          <w:szCs w:val="24"/>
        </w:rPr>
        <w:tab/>
      </w:r>
      <w:r w:rsidRPr="0080666A">
        <w:rPr>
          <w:rFonts w:cs="Times New Roman"/>
          <w:b/>
          <w:szCs w:val="24"/>
        </w:rPr>
        <w:tab/>
      </w:r>
      <w:r w:rsidRPr="0080666A">
        <w:rPr>
          <w:rFonts w:cs="Times New Roman"/>
          <w:b/>
          <w:szCs w:val="24"/>
        </w:rPr>
        <w:tab/>
      </w:r>
      <w:r w:rsidRPr="0080666A">
        <w:rPr>
          <w:rFonts w:cs="Times New Roman"/>
          <w:b/>
          <w:szCs w:val="24"/>
        </w:rPr>
        <w:tab/>
      </w:r>
      <w:r w:rsidRPr="0080666A">
        <w:rPr>
          <w:rFonts w:cs="Times New Roman"/>
          <w:b/>
          <w:szCs w:val="24"/>
        </w:rPr>
        <w:tab/>
      </w:r>
      <w:r w:rsidR="007947E8">
        <w:rPr>
          <w:rFonts w:cs="Times New Roman"/>
          <w:b/>
          <w:szCs w:val="24"/>
        </w:rPr>
        <w:t>Projektas</w:t>
      </w:r>
    </w:p>
    <w:p w:rsidR="007947E8" w:rsidRDefault="007947E8" w:rsidP="0080666A">
      <w:pPr>
        <w:spacing w:after="0" w:line="276" w:lineRule="auto"/>
        <w:jc w:val="both"/>
        <w:rPr>
          <w:rFonts w:cs="Times New Roman"/>
          <w:b/>
          <w:szCs w:val="24"/>
        </w:rPr>
      </w:pPr>
    </w:p>
    <w:p w:rsidR="00943487" w:rsidRPr="0080666A" w:rsidRDefault="007947E8" w:rsidP="0080666A">
      <w:pPr>
        <w:spacing w:after="0" w:line="276" w:lineRule="auto"/>
        <w:jc w:val="both"/>
        <w:rPr>
          <w:rFonts w:cs="Times New Roman"/>
          <w:szCs w:val="24"/>
        </w:rPr>
      </w:pP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sidR="0080666A" w:rsidRPr="0080666A">
        <w:rPr>
          <w:rFonts w:cs="Times New Roman"/>
          <w:szCs w:val="24"/>
        </w:rPr>
        <w:t xml:space="preserve">PATVIRTINTA </w:t>
      </w:r>
    </w:p>
    <w:p w:rsidR="0080666A" w:rsidRPr="0080666A" w:rsidRDefault="0080666A" w:rsidP="0080666A">
      <w:pPr>
        <w:spacing w:after="0" w:line="276" w:lineRule="auto"/>
        <w:jc w:val="both"/>
        <w:rPr>
          <w:rFonts w:cs="Times New Roman"/>
          <w:szCs w:val="24"/>
        </w:rPr>
      </w:pPr>
      <w:r w:rsidRPr="0080666A">
        <w:rPr>
          <w:rFonts w:cs="Times New Roman"/>
          <w:szCs w:val="24"/>
        </w:rPr>
        <w:tab/>
      </w:r>
      <w:r w:rsidRPr="0080666A">
        <w:rPr>
          <w:rFonts w:cs="Times New Roman"/>
          <w:szCs w:val="24"/>
        </w:rPr>
        <w:tab/>
      </w:r>
      <w:r w:rsidRPr="0080666A">
        <w:rPr>
          <w:rFonts w:cs="Times New Roman"/>
          <w:szCs w:val="24"/>
        </w:rPr>
        <w:tab/>
      </w:r>
      <w:r w:rsidRPr="0080666A">
        <w:rPr>
          <w:rFonts w:cs="Times New Roman"/>
          <w:szCs w:val="24"/>
        </w:rPr>
        <w:tab/>
      </w:r>
      <w:r w:rsidRPr="0080666A">
        <w:rPr>
          <w:rFonts w:cs="Times New Roman"/>
          <w:szCs w:val="24"/>
        </w:rPr>
        <w:tab/>
        <w:t>Molėtų rajono savivaldybės tarybos</w:t>
      </w:r>
    </w:p>
    <w:p w:rsidR="0080666A" w:rsidRPr="0080666A" w:rsidRDefault="0080666A" w:rsidP="0080666A">
      <w:pPr>
        <w:spacing w:line="276" w:lineRule="auto"/>
        <w:jc w:val="both"/>
        <w:rPr>
          <w:rFonts w:cs="Times New Roman"/>
          <w:szCs w:val="24"/>
        </w:rPr>
      </w:pPr>
      <w:r w:rsidRPr="0080666A">
        <w:rPr>
          <w:rFonts w:cs="Times New Roman"/>
          <w:szCs w:val="24"/>
        </w:rPr>
        <w:tab/>
      </w:r>
      <w:r w:rsidRPr="0080666A">
        <w:rPr>
          <w:rFonts w:cs="Times New Roman"/>
          <w:szCs w:val="24"/>
        </w:rPr>
        <w:tab/>
      </w:r>
      <w:r w:rsidRPr="0080666A">
        <w:rPr>
          <w:rFonts w:cs="Times New Roman"/>
          <w:szCs w:val="24"/>
        </w:rPr>
        <w:tab/>
      </w:r>
      <w:r w:rsidRPr="0080666A">
        <w:rPr>
          <w:rFonts w:cs="Times New Roman"/>
          <w:szCs w:val="24"/>
        </w:rPr>
        <w:tab/>
      </w:r>
      <w:r w:rsidRPr="0080666A">
        <w:rPr>
          <w:rFonts w:cs="Times New Roman"/>
          <w:szCs w:val="24"/>
        </w:rPr>
        <w:tab/>
        <w:t>2020 m. vasario    d</w:t>
      </w:r>
      <w:r>
        <w:rPr>
          <w:rFonts w:cs="Times New Roman"/>
          <w:szCs w:val="24"/>
        </w:rPr>
        <w:t>.</w:t>
      </w:r>
      <w:r w:rsidRPr="0080666A">
        <w:rPr>
          <w:rFonts w:cs="Times New Roman"/>
          <w:szCs w:val="24"/>
        </w:rPr>
        <w:t xml:space="preserve"> sprendimu Nr. </w:t>
      </w:r>
      <w:r w:rsidR="007947E8">
        <w:rPr>
          <w:rFonts w:cs="Times New Roman"/>
          <w:szCs w:val="24"/>
        </w:rPr>
        <w:t>B1-</w:t>
      </w:r>
    </w:p>
    <w:p w:rsidR="00943487" w:rsidRPr="0080666A" w:rsidRDefault="00943487" w:rsidP="00943487">
      <w:pPr>
        <w:jc w:val="center"/>
        <w:rPr>
          <w:rFonts w:cs="Times New Roman"/>
          <w:szCs w:val="24"/>
        </w:rPr>
      </w:pPr>
    </w:p>
    <w:p w:rsidR="00943487" w:rsidRPr="0080666A" w:rsidRDefault="00943487" w:rsidP="00943487">
      <w:pPr>
        <w:jc w:val="center"/>
        <w:rPr>
          <w:rFonts w:cs="Times New Roman"/>
          <w:szCs w:val="24"/>
        </w:rPr>
      </w:pPr>
    </w:p>
    <w:p w:rsidR="00943487" w:rsidRDefault="00943487" w:rsidP="00943487">
      <w:pPr>
        <w:jc w:val="center"/>
        <w:rPr>
          <w:rFonts w:cs="Times New Roman"/>
          <w:b/>
          <w:szCs w:val="24"/>
        </w:rPr>
      </w:pPr>
    </w:p>
    <w:p w:rsidR="00943487" w:rsidRDefault="00943487" w:rsidP="00943487">
      <w:pPr>
        <w:rPr>
          <w:rFonts w:cs="Times New Roman"/>
          <w:b/>
          <w:szCs w:val="24"/>
        </w:rPr>
      </w:pPr>
    </w:p>
    <w:p w:rsidR="00943487" w:rsidRDefault="00943487" w:rsidP="00943487">
      <w:pPr>
        <w:jc w:val="center"/>
        <w:rPr>
          <w:rFonts w:cs="Times New Roman"/>
          <w:b/>
          <w:szCs w:val="24"/>
        </w:rPr>
      </w:pPr>
    </w:p>
    <w:p w:rsidR="00943487" w:rsidRDefault="00943487" w:rsidP="00943487">
      <w:pPr>
        <w:jc w:val="center"/>
        <w:rPr>
          <w:rFonts w:cs="Times New Roman"/>
          <w:b/>
          <w:szCs w:val="24"/>
        </w:rPr>
      </w:pPr>
      <w:r>
        <w:rPr>
          <w:rFonts w:cs="Times New Roman"/>
          <w:b/>
          <w:szCs w:val="24"/>
        </w:rPr>
        <w:t>MOLĖTŲ RAJONO SAVIVALDYBĖS VISUOMENĖS SVEIKATOS STEBĖSENOS</w:t>
      </w:r>
    </w:p>
    <w:p w:rsidR="00943487" w:rsidRDefault="00943487" w:rsidP="00943487">
      <w:pPr>
        <w:jc w:val="center"/>
        <w:rPr>
          <w:rFonts w:cs="Times New Roman"/>
          <w:b/>
          <w:szCs w:val="24"/>
        </w:rPr>
      </w:pPr>
      <w:r>
        <w:rPr>
          <w:rFonts w:cs="Times New Roman"/>
          <w:b/>
          <w:szCs w:val="24"/>
        </w:rPr>
        <w:t>2018 METŲ ATASKAITA</w:t>
      </w:r>
    </w:p>
    <w:p w:rsidR="00943487" w:rsidRDefault="00943487" w:rsidP="00943487">
      <w:pPr>
        <w:rPr>
          <w:b/>
        </w:rPr>
      </w:pPr>
    </w:p>
    <w:p w:rsidR="00943487" w:rsidRPr="00D114D6" w:rsidRDefault="00943487" w:rsidP="00943487"/>
    <w:p w:rsidR="00943487" w:rsidRPr="00D114D6" w:rsidRDefault="00943487" w:rsidP="00943487"/>
    <w:p w:rsidR="00943487" w:rsidRPr="00D114D6" w:rsidRDefault="00943487" w:rsidP="00943487"/>
    <w:p w:rsidR="00943487" w:rsidRPr="00D114D6" w:rsidRDefault="00943487" w:rsidP="00943487"/>
    <w:p w:rsidR="00943487" w:rsidRPr="00D114D6" w:rsidRDefault="00943487" w:rsidP="00943487"/>
    <w:p w:rsidR="00943487" w:rsidRDefault="00943487" w:rsidP="00943487"/>
    <w:p w:rsidR="00943487" w:rsidRDefault="00943487" w:rsidP="00943487"/>
    <w:p w:rsidR="00943487" w:rsidRDefault="00943487" w:rsidP="00943487"/>
    <w:p w:rsidR="00943487" w:rsidRDefault="00943487" w:rsidP="00943487"/>
    <w:p w:rsidR="00943487" w:rsidRDefault="00943487" w:rsidP="00943487"/>
    <w:p w:rsidR="00943487" w:rsidRDefault="00943487" w:rsidP="00943487"/>
    <w:p w:rsidR="00943487" w:rsidRDefault="00943487" w:rsidP="00943487"/>
    <w:p w:rsidR="00943487" w:rsidRDefault="00943487" w:rsidP="00943487">
      <w:bookmarkStart w:id="0" w:name="_GoBack"/>
      <w:bookmarkEnd w:id="0"/>
    </w:p>
    <w:p w:rsidR="00943487" w:rsidRDefault="00943487" w:rsidP="00943487">
      <w:pPr>
        <w:tabs>
          <w:tab w:val="left" w:pos="5505"/>
        </w:tabs>
        <w:jc w:val="center"/>
      </w:pPr>
      <w:r>
        <w:rPr>
          <w:noProof/>
          <w:lang w:eastAsia="lt-LT"/>
        </w:rPr>
        <w:drawing>
          <wp:inline distT="0" distB="0" distL="0" distR="0" wp14:anchorId="4DC336D7" wp14:editId="551BBD48">
            <wp:extent cx="2313940" cy="1190625"/>
            <wp:effectExtent l="19050" t="0" r="0" b="0"/>
            <wp:docPr id="4" name="Paveikslėlis 4" descr="C:\Users\P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C:\Users\PC\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20458" cy="1193886"/>
                    </a:xfrm>
                    <a:prstGeom prst="rect">
                      <a:avLst/>
                    </a:prstGeom>
                    <a:noFill/>
                    <a:ln>
                      <a:noFill/>
                    </a:ln>
                  </pic:spPr>
                </pic:pic>
              </a:graphicData>
            </a:graphic>
          </wp:inline>
        </w:drawing>
      </w:r>
    </w:p>
    <w:p w:rsidR="00943487" w:rsidRPr="00943487" w:rsidRDefault="00943487" w:rsidP="00943487">
      <w:pPr>
        <w:tabs>
          <w:tab w:val="left" w:pos="5505"/>
        </w:tabs>
        <w:jc w:val="center"/>
      </w:pPr>
      <w:r>
        <w:t>2019</w:t>
      </w:r>
      <w:r w:rsidRPr="00D114D6">
        <w:br w:type="page"/>
      </w:r>
      <w:r>
        <w:rPr>
          <w:rFonts w:cs="Times New Roman"/>
          <w:b/>
          <w:szCs w:val="24"/>
        </w:rPr>
        <w:lastRenderedPageBreak/>
        <w:t>TURINYS</w:t>
      </w:r>
    </w:p>
    <w:sdt>
      <w:sdtPr>
        <w:rPr>
          <w:rFonts w:ascii="Times New Roman" w:eastAsiaTheme="minorHAnsi" w:hAnsi="Times New Roman" w:cstheme="minorBidi"/>
          <w:color w:val="auto"/>
          <w:sz w:val="24"/>
          <w:szCs w:val="22"/>
          <w:lang w:eastAsia="en-US"/>
        </w:rPr>
        <w:id w:val="-127865588"/>
        <w:docPartObj>
          <w:docPartGallery w:val="Table of Contents"/>
          <w:docPartUnique/>
        </w:docPartObj>
      </w:sdtPr>
      <w:sdtEndPr>
        <w:rPr>
          <w:b/>
          <w:bCs/>
        </w:rPr>
      </w:sdtEndPr>
      <w:sdtContent>
        <w:p w:rsidR="00943487" w:rsidRDefault="00943487" w:rsidP="00943487">
          <w:pPr>
            <w:pStyle w:val="Turinioantrat"/>
          </w:pPr>
        </w:p>
        <w:p w:rsidR="006C129D" w:rsidRDefault="00943487">
          <w:pPr>
            <w:pStyle w:val="Turinys1"/>
            <w:tabs>
              <w:tab w:val="right" w:leader="dot" w:pos="10336"/>
            </w:tabs>
            <w:rPr>
              <w:rFonts w:asciiTheme="minorHAnsi" w:eastAsiaTheme="minorEastAsia" w:hAnsiTheme="minorHAnsi"/>
              <w:noProof/>
              <w:sz w:val="22"/>
              <w:lang w:eastAsia="lt-LT"/>
            </w:rPr>
          </w:pPr>
          <w:r>
            <w:fldChar w:fldCharType="begin"/>
          </w:r>
          <w:r>
            <w:instrText xml:space="preserve"> TOC \o "1-3" \h \z \u </w:instrText>
          </w:r>
          <w:r>
            <w:fldChar w:fldCharType="separate"/>
          </w:r>
          <w:hyperlink w:anchor="_Toc30164256" w:history="1">
            <w:r w:rsidR="006C129D" w:rsidRPr="00662FC9">
              <w:rPr>
                <w:rStyle w:val="Hipersaitas"/>
                <w:noProof/>
              </w:rPr>
              <w:t>ĮVADAS</w:t>
            </w:r>
            <w:r w:rsidR="006C129D">
              <w:rPr>
                <w:noProof/>
                <w:webHidden/>
              </w:rPr>
              <w:tab/>
            </w:r>
            <w:r w:rsidR="006C129D">
              <w:rPr>
                <w:noProof/>
                <w:webHidden/>
              </w:rPr>
              <w:fldChar w:fldCharType="begin"/>
            </w:r>
            <w:r w:rsidR="006C129D">
              <w:rPr>
                <w:noProof/>
                <w:webHidden/>
              </w:rPr>
              <w:instrText xml:space="preserve"> PAGEREF _Toc30164256 \h </w:instrText>
            </w:r>
            <w:r w:rsidR="006C129D">
              <w:rPr>
                <w:noProof/>
                <w:webHidden/>
              </w:rPr>
            </w:r>
            <w:r w:rsidR="006C129D">
              <w:rPr>
                <w:noProof/>
                <w:webHidden/>
              </w:rPr>
              <w:fldChar w:fldCharType="separate"/>
            </w:r>
            <w:r w:rsidR="006C129D">
              <w:rPr>
                <w:noProof/>
                <w:webHidden/>
              </w:rPr>
              <w:t>3</w:t>
            </w:r>
            <w:r w:rsidR="006C129D">
              <w:rPr>
                <w:noProof/>
                <w:webHidden/>
              </w:rPr>
              <w:fldChar w:fldCharType="end"/>
            </w:r>
          </w:hyperlink>
        </w:p>
        <w:p w:rsidR="006C129D" w:rsidRDefault="007947E8">
          <w:pPr>
            <w:pStyle w:val="Turinys1"/>
            <w:tabs>
              <w:tab w:val="right" w:leader="dot" w:pos="10336"/>
            </w:tabs>
            <w:rPr>
              <w:rFonts w:asciiTheme="minorHAnsi" w:eastAsiaTheme="minorEastAsia" w:hAnsiTheme="minorHAnsi"/>
              <w:noProof/>
              <w:sz w:val="22"/>
              <w:lang w:eastAsia="lt-LT"/>
            </w:rPr>
          </w:pPr>
          <w:hyperlink w:anchor="_Toc30164257" w:history="1">
            <w:r w:rsidR="006C129D" w:rsidRPr="00662FC9">
              <w:rPr>
                <w:rStyle w:val="Hipersaitas"/>
                <w:noProof/>
              </w:rPr>
              <w:t>1. BENDROJI DALIS</w:t>
            </w:r>
            <w:r w:rsidR="006C129D">
              <w:rPr>
                <w:noProof/>
                <w:webHidden/>
              </w:rPr>
              <w:tab/>
            </w:r>
            <w:r w:rsidR="006C129D">
              <w:rPr>
                <w:noProof/>
                <w:webHidden/>
              </w:rPr>
              <w:fldChar w:fldCharType="begin"/>
            </w:r>
            <w:r w:rsidR="006C129D">
              <w:rPr>
                <w:noProof/>
                <w:webHidden/>
              </w:rPr>
              <w:instrText xml:space="preserve"> PAGEREF _Toc30164257 \h </w:instrText>
            </w:r>
            <w:r w:rsidR="006C129D">
              <w:rPr>
                <w:noProof/>
                <w:webHidden/>
              </w:rPr>
            </w:r>
            <w:r w:rsidR="006C129D">
              <w:rPr>
                <w:noProof/>
                <w:webHidden/>
              </w:rPr>
              <w:fldChar w:fldCharType="separate"/>
            </w:r>
            <w:r w:rsidR="006C129D">
              <w:rPr>
                <w:noProof/>
                <w:webHidden/>
              </w:rPr>
              <w:t>4</w:t>
            </w:r>
            <w:r w:rsidR="006C129D">
              <w:rPr>
                <w:noProof/>
                <w:webHidden/>
              </w:rPr>
              <w:fldChar w:fldCharType="end"/>
            </w:r>
          </w:hyperlink>
        </w:p>
        <w:p w:rsidR="006C129D" w:rsidRDefault="007947E8">
          <w:pPr>
            <w:pStyle w:val="Turinys2"/>
            <w:tabs>
              <w:tab w:val="right" w:leader="dot" w:pos="10336"/>
            </w:tabs>
            <w:rPr>
              <w:rFonts w:asciiTheme="minorHAnsi" w:eastAsiaTheme="minorEastAsia" w:hAnsiTheme="minorHAnsi"/>
              <w:noProof/>
              <w:sz w:val="22"/>
              <w:lang w:eastAsia="lt-LT"/>
            </w:rPr>
          </w:pPr>
          <w:hyperlink w:anchor="_Toc30164258" w:history="1">
            <w:r w:rsidR="006C129D" w:rsidRPr="00662FC9">
              <w:rPr>
                <w:rStyle w:val="Hipersaitas"/>
                <w:noProof/>
              </w:rPr>
              <w:t>PAGRINDINIŲ STEBĖSENOS RODIKLIŲ MOLĖTŲ RAJONO SAVIVALDYBĖJE ANALIZĖ IR INTERPRETAVIMAS „ŠVIESOFORAS“</w:t>
            </w:r>
            <w:r w:rsidR="006C129D">
              <w:rPr>
                <w:noProof/>
                <w:webHidden/>
              </w:rPr>
              <w:tab/>
            </w:r>
            <w:r w:rsidR="006C129D">
              <w:rPr>
                <w:noProof/>
                <w:webHidden/>
              </w:rPr>
              <w:fldChar w:fldCharType="begin"/>
            </w:r>
            <w:r w:rsidR="006C129D">
              <w:rPr>
                <w:noProof/>
                <w:webHidden/>
              </w:rPr>
              <w:instrText xml:space="preserve"> PAGEREF _Toc30164258 \h </w:instrText>
            </w:r>
            <w:r w:rsidR="006C129D">
              <w:rPr>
                <w:noProof/>
                <w:webHidden/>
              </w:rPr>
            </w:r>
            <w:r w:rsidR="006C129D">
              <w:rPr>
                <w:noProof/>
                <w:webHidden/>
              </w:rPr>
              <w:fldChar w:fldCharType="separate"/>
            </w:r>
            <w:r w:rsidR="006C129D">
              <w:rPr>
                <w:noProof/>
                <w:webHidden/>
              </w:rPr>
              <w:t>4</w:t>
            </w:r>
            <w:r w:rsidR="006C129D">
              <w:rPr>
                <w:noProof/>
                <w:webHidden/>
              </w:rPr>
              <w:fldChar w:fldCharType="end"/>
            </w:r>
          </w:hyperlink>
        </w:p>
        <w:p w:rsidR="006C129D" w:rsidRDefault="007947E8">
          <w:pPr>
            <w:pStyle w:val="Turinys1"/>
            <w:tabs>
              <w:tab w:val="right" w:leader="dot" w:pos="10336"/>
            </w:tabs>
            <w:rPr>
              <w:rFonts w:asciiTheme="minorHAnsi" w:eastAsiaTheme="minorEastAsia" w:hAnsiTheme="minorHAnsi"/>
              <w:noProof/>
              <w:sz w:val="22"/>
              <w:lang w:eastAsia="lt-LT"/>
            </w:rPr>
          </w:pPr>
          <w:hyperlink w:anchor="_Toc30164259" w:history="1">
            <w:r w:rsidR="006C129D" w:rsidRPr="00662FC9">
              <w:rPr>
                <w:rStyle w:val="Hipersaitas"/>
                <w:noProof/>
              </w:rPr>
              <w:t>2. SPECIALIOJI DALIS</w:t>
            </w:r>
            <w:r w:rsidR="006C129D">
              <w:rPr>
                <w:noProof/>
                <w:webHidden/>
              </w:rPr>
              <w:tab/>
            </w:r>
            <w:r w:rsidR="006C129D">
              <w:rPr>
                <w:noProof/>
                <w:webHidden/>
              </w:rPr>
              <w:fldChar w:fldCharType="begin"/>
            </w:r>
            <w:r w:rsidR="006C129D">
              <w:rPr>
                <w:noProof/>
                <w:webHidden/>
              </w:rPr>
              <w:instrText xml:space="preserve"> PAGEREF _Toc30164259 \h </w:instrText>
            </w:r>
            <w:r w:rsidR="006C129D">
              <w:rPr>
                <w:noProof/>
                <w:webHidden/>
              </w:rPr>
            </w:r>
            <w:r w:rsidR="006C129D">
              <w:rPr>
                <w:noProof/>
                <w:webHidden/>
              </w:rPr>
              <w:fldChar w:fldCharType="separate"/>
            </w:r>
            <w:r w:rsidR="006C129D">
              <w:rPr>
                <w:noProof/>
                <w:webHidden/>
              </w:rPr>
              <w:t>11</w:t>
            </w:r>
            <w:r w:rsidR="006C129D">
              <w:rPr>
                <w:noProof/>
                <w:webHidden/>
              </w:rPr>
              <w:fldChar w:fldCharType="end"/>
            </w:r>
          </w:hyperlink>
        </w:p>
        <w:p w:rsidR="006C129D" w:rsidRDefault="007947E8">
          <w:pPr>
            <w:pStyle w:val="Turinys2"/>
            <w:tabs>
              <w:tab w:val="right" w:leader="dot" w:pos="10336"/>
            </w:tabs>
            <w:rPr>
              <w:rFonts w:asciiTheme="minorHAnsi" w:eastAsiaTheme="minorEastAsia" w:hAnsiTheme="minorHAnsi"/>
              <w:noProof/>
              <w:sz w:val="22"/>
              <w:lang w:eastAsia="lt-LT"/>
            </w:rPr>
          </w:pPr>
          <w:hyperlink w:anchor="_Toc30164260" w:history="1">
            <w:r w:rsidR="006C129D" w:rsidRPr="00662FC9">
              <w:rPr>
                <w:rStyle w:val="Hipersaitas"/>
                <w:noProof/>
              </w:rPr>
              <w:t>ATRINKTŲ RODIKLIŲ DETALI ANALIZĖ IR INTERPRETAVIMAS</w:t>
            </w:r>
            <w:r w:rsidR="006C129D">
              <w:rPr>
                <w:noProof/>
                <w:webHidden/>
              </w:rPr>
              <w:tab/>
            </w:r>
            <w:r w:rsidR="006C129D">
              <w:rPr>
                <w:noProof/>
                <w:webHidden/>
              </w:rPr>
              <w:fldChar w:fldCharType="begin"/>
            </w:r>
            <w:r w:rsidR="006C129D">
              <w:rPr>
                <w:noProof/>
                <w:webHidden/>
              </w:rPr>
              <w:instrText xml:space="preserve"> PAGEREF _Toc30164260 \h </w:instrText>
            </w:r>
            <w:r w:rsidR="006C129D">
              <w:rPr>
                <w:noProof/>
                <w:webHidden/>
              </w:rPr>
            </w:r>
            <w:r w:rsidR="006C129D">
              <w:rPr>
                <w:noProof/>
                <w:webHidden/>
              </w:rPr>
              <w:fldChar w:fldCharType="separate"/>
            </w:r>
            <w:r w:rsidR="006C129D">
              <w:rPr>
                <w:noProof/>
                <w:webHidden/>
              </w:rPr>
              <w:t>11</w:t>
            </w:r>
            <w:r w:rsidR="006C129D">
              <w:rPr>
                <w:noProof/>
                <w:webHidden/>
              </w:rPr>
              <w:fldChar w:fldCharType="end"/>
            </w:r>
          </w:hyperlink>
        </w:p>
        <w:p w:rsidR="006C129D" w:rsidRDefault="007947E8">
          <w:pPr>
            <w:pStyle w:val="Turinys1"/>
            <w:tabs>
              <w:tab w:val="right" w:leader="dot" w:pos="10336"/>
            </w:tabs>
            <w:rPr>
              <w:rFonts w:asciiTheme="minorHAnsi" w:eastAsiaTheme="minorEastAsia" w:hAnsiTheme="minorHAnsi"/>
              <w:noProof/>
              <w:sz w:val="22"/>
              <w:lang w:eastAsia="lt-LT"/>
            </w:rPr>
          </w:pPr>
          <w:hyperlink w:anchor="_Toc30164261" w:history="1">
            <w:r w:rsidR="006C129D" w:rsidRPr="00662FC9">
              <w:rPr>
                <w:rStyle w:val="Hipersaitas"/>
                <w:noProof/>
              </w:rPr>
              <w:t>2.1. MIRTINGUMAS DĖL ATSITIKTINIO PASKENDIMO (W65-W74) 100 000 gyv.</w:t>
            </w:r>
            <w:r w:rsidR="006C129D">
              <w:rPr>
                <w:noProof/>
                <w:webHidden/>
              </w:rPr>
              <w:tab/>
            </w:r>
            <w:r w:rsidR="006C129D">
              <w:rPr>
                <w:noProof/>
                <w:webHidden/>
              </w:rPr>
              <w:fldChar w:fldCharType="begin"/>
            </w:r>
            <w:r w:rsidR="006C129D">
              <w:rPr>
                <w:noProof/>
                <w:webHidden/>
              </w:rPr>
              <w:instrText xml:space="preserve"> PAGEREF _Toc30164261 \h </w:instrText>
            </w:r>
            <w:r w:rsidR="006C129D">
              <w:rPr>
                <w:noProof/>
                <w:webHidden/>
              </w:rPr>
            </w:r>
            <w:r w:rsidR="006C129D">
              <w:rPr>
                <w:noProof/>
                <w:webHidden/>
              </w:rPr>
              <w:fldChar w:fldCharType="separate"/>
            </w:r>
            <w:r w:rsidR="006C129D">
              <w:rPr>
                <w:noProof/>
                <w:webHidden/>
              </w:rPr>
              <w:t>11</w:t>
            </w:r>
            <w:r w:rsidR="006C129D">
              <w:rPr>
                <w:noProof/>
                <w:webHidden/>
              </w:rPr>
              <w:fldChar w:fldCharType="end"/>
            </w:r>
          </w:hyperlink>
        </w:p>
        <w:p w:rsidR="006C129D" w:rsidRDefault="007947E8">
          <w:pPr>
            <w:pStyle w:val="Turinys1"/>
            <w:tabs>
              <w:tab w:val="right" w:leader="dot" w:pos="10336"/>
            </w:tabs>
            <w:rPr>
              <w:rFonts w:asciiTheme="minorHAnsi" w:eastAsiaTheme="minorEastAsia" w:hAnsiTheme="minorHAnsi"/>
              <w:noProof/>
              <w:sz w:val="22"/>
              <w:lang w:eastAsia="lt-LT"/>
            </w:rPr>
          </w:pPr>
          <w:hyperlink w:anchor="_Toc30164262" w:history="1">
            <w:r w:rsidR="006C129D" w:rsidRPr="00662FC9">
              <w:rPr>
                <w:rStyle w:val="Hipersaitas"/>
                <w:noProof/>
              </w:rPr>
              <w:t>2.2. MIRTINGUMAS NUO KRAUJOTAKOS SISTEMOS LIGŲ (I00-I99) 100 000 gyv.</w:t>
            </w:r>
            <w:r w:rsidR="006C129D">
              <w:rPr>
                <w:noProof/>
                <w:webHidden/>
              </w:rPr>
              <w:tab/>
            </w:r>
            <w:r w:rsidR="006C129D">
              <w:rPr>
                <w:noProof/>
                <w:webHidden/>
              </w:rPr>
              <w:fldChar w:fldCharType="begin"/>
            </w:r>
            <w:r w:rsidR="006C129D">
              <w:rPr>
                <w:noProof/>
                <w:webHidden/>
              </w:rPr>
              <w:instrText xml:space="preserve"> PAGEREF _Toc30164262 \h </w:instrText>
            </w:r>
            <w:r w:rsidR="006C129D">
              <w:rPr>
                <w:noProof/>
                <w:webHidden/>
              </w:rPr>
            </w:r>
            <w:r w:rsidR="006C129D">
              <w:rPr>
                <w:noProof/>
                <w:webHidden/>
              </w:rPr>
              <w:fldChar w:fldCharType="separate"/>
            </w:r>
            <w:r w:rsidR="006C129D">
              <w:rPr>
                <w:noProof/>
                <w:webHidden/>
              </w:rPr>
              <w:t>12</w:t>
            </w:r>
            <w:r w:rsidR="006C129D">
              <w:rPr>
                <w:noProof/>
                <w:webHidden/>
              </w:rPr>
              <w:fldChar w:fldCharType="end"/>
            </w:r>
          </w:hyperlink>
        </w:p>
        <w:p w:rsidR="006C129D" w:rsidRDefault="007947E8">
          <w:pPr>
            <w:pStyle w:val="Turinys1"/>
            <w:tabs>
              <w:tab w:val="right" w:leader="dot" w:pos="10336"/>
            </w:tabs>
            <w:rPr>
              <w:rFonts w:asciiTheme="minorHAnsi" w:eastAsiaTheme="minorEastAsia" w:hAnsiTheme="minorHAnsi"/>
              <w:noProof/>
              <w:sz w:val="22"/>
              <w:lang w:eastAsia="lt-LT"/>
            </w:rPr>
          </w:pPr>
          <w:hyperlink w:anchor="_Toc30164263" w:history="1">
            <w:r w:rsidR="006C129D" w:rsidRPr="00662FC9">
              <w:rPr>
                <w:rStyle w:val="Hipersaitas"/>
                <w:noProof/>
              </w:rPr>
              <w:t>2.3. MIRTINGUMAS NUO PIKTYBINIŲ NAVIKŲ (C00-C96) 100 000 gyv.</w:t>
            </w:r>
            <w:r w:rsidR="006C129D">
              <w:rPr>
                <w:noProof/>
                <w:webHidden/>
              </w:rPr>
              <w:tab/>
            </w:r>
            <w:r w:rsidR="006C129D">
              <w:rPr>
                <w:noProof/>
                <w:webHidden/>
              </w:rPr>
              <w:fldChar w:fldCharType="begin"/>
            </w:r>
            <w:r w:rsidR="006C129D">
              <w:rPr>
                <w:noProof/>
                <w:webHidden/>
              </w:rPr>
              <w:instrText xml:space="preserve"> PAGEREF _Toc30164263 \h </w:instrText>
            </w:r>
            <w:r w:rsidR="006C129D">
              <w:rPr>
                <w:noProof/>
                <w:webHidden/>
              </w:rPr>
            </w:r>
            <w:r w:rsidR="006C129D">
              <w:rPr>
                <w:noProof/>
                <w:webHidden/>
              </w:rPr>
              <w:fldChar w:fldCharType="separate"/>
            </w:r>
            <w:r w:rsidR="006C129D">
              <w:rPr>
                <w:noProof/>
                <w:webHidden/>
              </w:rPr>
              <w:t>14</w:t>
            </w:r>
            <w:r w:rsidR="006C129D">
              <w:rPr>
                <w:noProof/>
                <w:webHidden/>
              </w:rPr>
              <w:fldChar w:fldCharType="end"/>
            </w:r>
          </w:hyperlink>
        </w:p>
        <w:p w:rsidR="006C129D" w:rsidRDefault="007947E8">
          <w:pPr>
            <w:pStyle w:val="Turinys1"/>
            <w:tabs>
              <w:tab w:val="right" w:leader="dot" w:pos="10336"/>
            </w:tabs>
            <w:rPr>
              <w:rFonts w:asciiTheme="minorHAnsi" w:eastAsiaTheme="minorEastAsia" w:hAnsiTheme="minorHAnsi"/>
              <w:noProof/>
              <w:sz w:val="22"/>
              <w:lang w:eastAsia="lt-LT"/>
            </w:rPr>
          </w:pPr>
          <w:hyperlink w:anchor="_Toc30164264" w:history="1">
            <w:r w:rsidR="006C129D" w:rsidRPr="00662FC9">
              <w:rPr>
                <w:rStyle w:val="Hipersaitas"/>
                <w:noProof/>
              </w:rPr>
              <w:t>3. SUAUGUSIŲJŲ GYVENSENOS TYRIMO DUOMENYS</w:t>
            </w:r>
            <w:r w:rsidR="006C129D">
              <w:rPr>
                <w:noProof/>
                <w:webHidden/>
              </w:rPr>
              <w:tab/>
            </w:r>
            <w:r w:rsidR="006C129D">
              <w:rPr>
                <w:noProof/>
                <w:webHidden/>
              </w:rPr>
              <w:fldChar w:fldCharType="begin"/>
            </w:r>
            <w:r w:rsidR="006C129D">
              <w:rPr>
                <w:noProof/>
                <w:webHidden/>
              </w:rPr>
              <w:instrText xml:space="preserve"> PAGEREF _Toc30164264 \h </w:instrText>
            </w:r>
            <w:r w:rsidR="006C129D">
              <w:rPr>
                <w:noProof/>
                <w:webHidden/>
              </w:rPr>
            </w:r>
            <w:r w:rsidR="006C129D">
              <w:rPr>
                <w:noProof/>
                <w:webHidden/>
              </w:rPr>
              <w:fldChar w:fldCharType="separate"/>
            </w:r>
            <w:r w:rsidR="006C129D">
              <w:rPr>
                <w:noProof/>
                <w:webHidden/>
              </w:rPr>
              <w:t>15</w:t>
            </w:r>
            <w:r w:rsidR="006C129D">
              <w:rPr>
                <w:noProof/>
                <w:webHidden/>
              </w:rPr>
              <w:fldChar w:fldCharType="end"/>
            </w:r>
          </w:hyperlink>
        </w:p>
        <w:p w:rsidR="006C129D" w:rsidRDefault="007947E8">
          <w:pPr>
            <w:pStyle w:val="Turinys1"/>
            <w:tabs>
              <w:tab w:val="right" w:leader="dot" w:pos="10336"/>
            </w:tabs>
            <w:rPr>
              <w:rFonts w:asciiTheme="minorHAnsi" w:eastAsiaTheme="minorEastAsia" w:hAnsiTheme="minorHAnsi"/>
              <w:noProof/>
              <w:sz w:val="22"/>
              <w:lang w:eastAsia="lt-LT"/>
            </w:rPr>
          </w:pPr>
          <w:hyperlink w:anchor="_Toc30164265" w:history="1">
            <w:r w:rsidR="006C129D" w:rsidRPr="00662FC9">
              <w:rPr>
                <w:rStyle w:val="Hipersaitas"/>
                <w:noProof/>
              </w:rPr>
              <w:t>IŠVADOS</w:t>
            </w:r>
            <w:r w:rsidR="006C129D">
              <w:rPr>
                <w:noProof/>
                <w:webHidden/>
              </w:rPr>
              <w:tab/>
            </w:r>
            <w:r w:rsidR="006C129D">
              <w:rPr>
                <w:noProof/>
                <w:webHidden/>
              </w:rPr>
              <w:fldChar w:fldCharType="begin"/>
            </w:r>
            <w:r w:rsidR="006C129D">
              <w:rPr>
                <w:noProof/>
                <w:webHidden/>
              </w:rPr>
              <w:instrText xml:space="preserve"> PAGEREF _Toc30164265 \h </w:instrText>
            </w:r>
            <w:r w:rsidR="006C129D">
              <w:rPr>
                <w:noProof/>
                <w:webHidden/>
              </w:rPr>
            </w:r>
            <w:r w:rsidR="006C129D">
              <w:rPr>
                <w:noProof/>
                <w:webHidden/>
              </w:rPr>
              <w:fldChar w:fldCharType="separate"/>
            </w:r>
            <w:r w:rsidR="006C129D">
              <w:rPr>
                <w:noProof/>
                <w:webHidden/>
              </w:rPr>
              <w:t>18</w:t>
            </w:r>
            <w:r w:rsidR="006C129D">
              <w:rPr>
                <w:noProof/>
                <w:webHidden/>
              </w:rPr>
              <w:fldChar w:fldCharType="end"/>
            </w:r>
          </w:hyperlink>
        </w:p>
        <w:p w:rsidR="006C129D" w:rsidRDefault="007947E8">
          <w:pPr>
            <w:pStyle w:val="Turinys1"/>
            <w:tabs>
              <w:tab w:val="right" w:leader="dot" w:pos="10336"/>
            </w:tabs>
            <w:rPr>
              <w:rFonts w:asciiTheme="minorHAnsi" w:eastAsiaTheme="minorEastAsia" w:hAnsiTheme="minorHAnsi"/>
              <w:noProof/>
              <w:sz w:val="22"/>
              <w:lang w:eastAsia="lt-LT"/>
            </w:rPr>
          </w:pPr>
          <w:hyperlink w:anchor="_Toc30164266" w:history="1">
            <w:r w:rsidR="006C129D" w:rsidRPr="00662FC9">
              <w:rPr>
                <w:rStyle w:val="Hipersaitas"/>
                <w:noProof/>
              </w:rPr>
              <w:t>REKOMENDACIJOS</w:t>
            </w:r>
            <w:r w:rsidR="006C129D">
              <w:rPr>
                <w:noProof/>
                <w:webHidden/>
              </w:rPr>
              <w:tab/>
            </w:r>
            <w:r w:rsidR="006C129D">
              <w:rPr>
                <w:noProof/>
                <w:webHidden/>
              </w:rPr>
              <w:fldChar w:fldCharType="begin"/>
            </w:r>
            <w:r w:rsidR="006C129D">
              <w:rPr>
                <w:noProof/>
                <w:webHidden/>
              </w:rPr>
              <w:instrText xml:space="preserve"> PAGEREF _Toc30164266 \h </w:instrText>
            </w:r>
            <w:r w:rsidR="006C129D">
              <w:rPr>
                <w:noProof/>
                <w:webHidden/>
              </w:rPr>
            </w:r>
            <w:r w:rsidR="006C129D">
              <w:rPr>
                <w:noProof/>
                <w:webHidden/>
              </w:rPr>
              <w:fldChar w:fldCharType="separate"/>
            </w:r>
            <w:r w:rsidR="006C129D">
              <w:rPr>
                <w:noProof/>
                <w:webHidden/>
              </w:rPr>
              <w:t>18</w:t>
            </w:r>
            <w:r w:rsidR="006C129D">
              <w:rPr>
                <w:noProof/>
                <w:webHidden/>
              </w:rPr>
              <w:fldChar w:fldCharType="end"/>
            </w:r>
          </w:hyperlink>
        </w:p>
        <w:p w:rsidR="00943487" w:rsidRDefault="00943487" w:rsidP="00943487">
          <w:r>
            <w:rPr>
              <w:b/>
              <w:bCs/>
            </w:rPr>
            <w:fldChar w:fldCharType="end"/>
          </w:r>
        </w:p>
      </w:sdtContent>
    </w:sdt>
    <w:p w:rsidR="00943487" w:rsidRDefault="00943487" w:rsidP="00943487">
      <w:pPr>
        <w:jc w:val="center"/>
        <w:rPr>
          <w:b/>
        </w:rPr>
      </w:pPr>
      <w:r>
        <w:rPr>
          <w:b/>
        </w:rPr>
        <w:br w:type="page"/>
      </w:r>
    </w:p>
    <w:p w:rsidR="00943487" w:rsidRDefault="00943487" w:rsidP="00943487">
      <w:pPr>
        <w:pStyle w:val="Antrat1"/>
      </w:pPr>
      <w:bookmarkStart w:id="1" w:name="_Toc30164256"/>
      <w:r w:rsidRPr="00E6160D">
        <w:lastRenderedPageBreak/>
        <w:t>ĮVADAS</w:t>
      </w:r>
      <w:bookmarkEnd w:id="1"/>
    </w:p>
    <w:p w:rsidR="00943487" w:rsidRDefault="00943487" w:rsidP="00943487"/>
    <w:p w:rsidR="00943487" w:rsidRDefault="00943487" w:rsidP="00943487">
      <w:pPr>
        <w:tabs>
          <w:tab w:val="left" w:pos="567"/>
        </w:tabs>
        <w:spacing w:after="0" w:line="360" w:lineRule="auto"/>
        <w:jc w:val="both"/>
        <w:rPr>
          <w:rFonts w:cs="Times New Roman"/>
          <w:szCs w:val="24"/>
        </w:rPr>
      </w:pPr>
      <w:r>
        <w:rPr>
          <w:rFonts w:cs="Times New Roman"/>
          <w:szCs w:val="24"/>
        </w:rPr>
        <w:tab/>
        <w:t>Visuomenės sveikatos stebėsenos savivaldybėje tikslas – nuolat rinkti, tvarkyti, analizuoti ir interpretuoti visuomenės sveikatą charakterizuojančius rodiklius, kad remiantis išsamia informacija apie savivaldybės bendruomenės sveikatos būklę, sveikatos rizikos veiksnius, būtų galima planuoti ir įgyvendinti savivaldybės visuomenės sveikatos gerinimo priemones. Vykdyti visuomenės sveikatos stebėsenos duomenų sklaidą bei tinkamai informuoti savivaldybės politikus ir tokiu būdu  efektyviai įgyvendinti valstybines (valstybės perduotas savivaldybėms) bei savarankiškąsias visuomenės sveikatos priežiūros funkcijas savivaldybės teritorijoje.</w:t>
      </w:r>
    </w:p>
    <w:p w:rsidR="00943487" w:rsidRDefault="00943487" w:rsidP="00943487">
      <w:pPr>
        <w:tabs>
          <w:tab w:val="left" w:pos="851"/>
        </w:tabs>
        <w:spacing w:after="0" w:line="360" w:lineRule="auto"/>
        <w:jc w:val="both"/>
        <w:rPr>
          <w:rFonts w:cs="Times New Roman"/>
          <w:szCs w:val="24"/>
        </w:rPr>
      </w:pPr>
      <w:r>
        <w:rPr>
          <w:rFonts w:cs="Times New Roman"/>
          <w:szCs w:val="24"/>
        </w:rPr>
        <w:tab/>
        <w:t>Ataskaitoje pateikiami ir aprašomi 2018 m. visuomenės sveikatos būklę atspindintys duomenys Molėtų rajono savivaldybėje. Pateikiami rodikliai (iš Valstybės deleguotų savivaldybėms visuomenės sveikatos stebėsenos pagrindinių rodiklių sąrašo projekto) atspindi, kaip įgyvendinami Lietuvos sveikatos 2014–2025 metų strategijos, patvirtintos Lietuvos Respublikos Seimo 2014 m. birželio 26 d. nutarimu Nr. XII-964 „Dėl Lietuvos sveikatos 2014–2025 metų strategijos patvirtinimo“ (toliau – Lietuvos sveikatos strategija), tikslai bei jų uždaviniai. Lietuvos sveikatos strategijos iškeltų tikslų ir uždavinių įgyvendinimo savivaldybėse stebėsenai parengtas baigtinis pagrindinių rodiklių sąrašas (toliau – PRS), kurį sudaro 51 unifikuotas rodiklis, geriausiai apibūdinantis šios strategijos siekinius.</w:t>
      </w:r>
    </w:p>
    <w:p w:rsidR="00943487" w:rsidRDefault="00943487" w:rsidP="00943487">
      <w:pPr>
        <w:spacing w:after="0" w:line="360" w:lineRule="auto"/>
        <w:ind w:firstLine="851"/>
        <w:jc w:val="both"/>
        <w:rPr>
          <w:rFonts w:cs="Times New Roman"/>
          <w:szCs w:val="24"/>
        </w:rPr>
      </w:pPr>
      <w:r>
        <w:rPr>
          <w:rFonts w:cs="Times New Roman"/>
          <w:szCs w:val="24"/>
        </w:rPr>
        <w:t>Nuo  2018 m. sausio 1 d. įsigaliojo Bendrųjų savivaldybių visuomenės sveikatos stebėsenos nuostatų, patvirtintų Lietuvos Respublikos sveikatos apsaugos ministro 2003 m. rugpjūčio 11 d. įsakymu Nr. V-488 „Dėl Bendrųjų savivaldybių visuomenės sveikatos stebėsenos nuostatų patvirtinimo“, pakeitimai rodiklių sąraše – pridėtas naujas rodiklis „Bandymų žudytis skaičius 100 000 gyventojų“, iš rodiklių sąrašo išbrauktas rodiklis „Savivaldybei pavaldžių stacionarines asmens sveikatos priežiūros paslaugas teikiančių asmens sveikatos priežiūros įstaigų pacientų pasitenkinimo lygis“,  rodiklis „Vaikų, kuriems nustatytas dantų ėduonis, skaičius 10 000 gyventojų“ pakeistas į rodiklį „Vaikų, neturinčių ėduonies pažeistų, plombuotų ir išrautų dantų, dalis (proc.)“. Taip pat keitėsi kelių rodiklių (sergamumas tuberkulioze bei sergamumas vaistams atsparia tuberkulioze) skaičiavimo metodika. Ataskaita parengta naudojant oficialius statistikos šaltinius ir Higienos instituto Sveikatos informacijos centro (toliau – HI SIC) parengtą leidinį „Visuomenės sveikatos būklė savivaldybėse 2018 m.“</w:t>
      </w:r>
    </w:p>
    <w:p w:rsidR="00943487" w:rsidRPr="00C84542" w:rsidRDefault="00943487" w:rsidP="00943487">
      <w:pPr>
        <w:spacing w:after="0" w:line="360" w:lineRule="auto"/>
        <w:ind w:firstLine="851"/>
        <w:jc w:val="both"/>
        <w:rPr>
          <w:rFonts w:cs="Times New Roman"/>
          <w:szCs w:val="24"/>
        </w:rPr>
      </w:pPr>
    </w:p>
    <w:p w:rsidR="00943487" w:rsidRDefault="00943487" w:rsidP="00943487"/>
    <w:p w:rsidR="00943487" w:rsidRPr="00E6160D" w:rsidRDefault="00943487" w:rsidP="00943487"/>
    <w:p w:rsidR="00943487" w:rsidRDefault="00943487" w:rsidP="00943487">
      <w:pPr>
        <w:pStyle w:val="Antrat1"/>
      </w:pPr>
      <w:bookmarkStart w:id="2" w:name="_Toc30164257"/>
      <w:r>
        <w:lastRenderedPageBreak/>
        <w:t>1. BENDROJI DALIS</w:t>
      </w:r>
      <w:bookmarkEnd w:id="2"/>
    </w:p>
    <w:p w:rsidR="00943487" w:rsidRDefault="00943487" w:rsidP="00943487">
      <w:pPr>
        <w:pStyle w:val="Antrat2"/>
      </w:pPr>
      <w:bookmarkStart w:id="3" w:name="_Toc30164258"/>
      <w:r>
        <w:t>PAGRINDINIŲ STEBĖSENOS RODIKLIŲ MOLĖTŲ RAJONO SAVIVALDYBĖJE ANALIZĖ IR INTERPRETAVIMAS „ŠVIESOFORAS“</w:t>
      </w:r>
      <w:bookmarkEnd w:id="3"/>
    </w:p>
    <w:p w:rsidR="00943487" w:rsidRDefault="00943487" w:rsidP="00943487"/>
    <w:p w:rsidR="00943487" w:rsidRDefault="00943487" w:rsidP="00943487">
      <w:pPr>
        <w:tabs>
          <w:tab w:val="left" w:pos="567"/>
        </w:tabs>
        <w:spacing w:after="0" w:line="360" w:lineRule="auto"/>
        <w:jc w:val="both"/>
        <w:rPr>
          <w:rFonts w:cs="Times New Roman"/>
          <w:color w:val="000000" w:themeColor="text1"/>
          <w:szCs w:val="24"/>
        </w:rPr>
      </w:pPr>
      <w:r>
        <w:rPr>
          <w:rFonts w:cs="Times New Roman"/>
          <w:szCs w:val="24"/>
        </w:rPr>
        <w:tab/>
        <w:t xml:space="preserve">Pagrindinio rodiklių sąrašo analizė ir interpretavimas („šviesoforo“ kūrimas) atliekamas siekiant palyginti 2018 m. </w:t>
      </w:r>
      <w:r w:rsidRPr="009140A9">
        <w:rPr>
          <w:rFonts w:cs="Times New Roman"/>
          <w:szCs w:val="24"/>
        </w:rPr>
        <w:t xml:space="preserve">Molėtų </w:t>
      </w:r>
      <w:r>
        <w:rPr>
          <w:rFonts w:cs="Times New Roman"/>
          <w:szCs w:val="24"/>
        </w:rPr>
        <w:t xml:space="preserve"> rajono savivaldybės rodiklius su Lietuvos vidurkiu. Vadovaujantis „šviesoforo“ principu, visos 60 Lietuvos savivaldybių suskirstytos į 3 grupes</w:t>
      </w:r>
      <w:r w:rsidRPr="006C0C1E">
        <w:rPr>
          <w:rFonts w:cs="Times New Roman"/>
          <w:color w:val="000000" w:themeColor="text1"/>
          <w:szCs w:val="24"/>
        </w:rPr>
        <w:t>, įskaitant ir savivaldybes turinčias mažiausi</w:t>
      </w:r>
      <w:r>
        <w:rPr>
          <w:rFonts w:cs="Times New Roman"/>
          <w:color w:val="000000" w:themeColor="text1"/>
          <w:szCs w:val="24"/>
        </w:rPr>
        <w:t xml:space="preserve">ai gyventojų (mažiau negu 20 tūkst.), 2018 m. </w:t>
      </w:r>
      <w:r w:rsidRPr="006C0C1E">
        <w:rPr>
          <w:rFonts w:cs="Times New Roman"/>
          <w:color w:val="000000" w:themeColor="text1"/>
          <w:szCs w:val="24"/>
        </w:rPr>
        <w:t>tokių savivaldybių, buvo 18: Neringos, Birštono, Rietavo, Pagėgių, Kalvarijos, Kazlų Rūdos, Palangos, Širvintų r., Ignalinos r., Zarasų r., Skuodo r., Kupiškio r., Molėtų r., Visagino, Lazdijų r., Druskininkų, Akmenės r. ir Pakruojo r. Kadangi jose rodikliai labai ,,jautrūs“, kiekvienu atveju dėl mažo gyventojų skaičiaus, jų rodikliams skaičiuojamas 3 metų vidurkis. Mažų savivaldybių rodiklių vidurkiai vėl</w:t>
      </w:r>
      <w:r w:rsidR="00344B59">
        <w:rPr>
          <w:rFonts w:cs="Times New Roman"/>
          <w:color w:val="000000" w:themeColor="text1"/>
          <w:szCs w:val="24"/>
        </w:rPr>
        <w:t xml:space="preserve">iau lyginami su </w:t>
      </w:r>
      <w:r w:rsidRPr="006C0C1E">
        <w:rPr>
          <w:rFonts w:cs="Times New Roman"/>
          <w:color w:val="000000" w:themeColor="text1"/>
          <w:szCs w:val="24"/>
        </w:rPr>
        <w:t>kitų savivaldybių bei Lietuvos naujausiais duomenimis.</w:t>
      </w:r>
    </w:p>
    <w:p w:rsidR="00943487" w:rsidRDefault="00943487" w:rsidP="00943487">
      <w:pPr>
        <w:pStyle w:val="Sraopastraipa"/>
        <w:numPr>
          <w:ilvl w:val="0"/>
          <w:numId w:val="4"/>
        </w:numPr>
        <w:tabs>
          <w:tab w:val="left" w:pos="426"/>
        </w:tabs>
        <w:spacing w:after="0" w:line="360" w:lineRule="auto"/>
        <w:ind w:left="709" w:hanging="283"/>
        <w:jc w:val="both"/>
        <w:rPr>
          <w:rFonts w:cs="Times New Roman"/>
          <w:szCs w:val="24"/>
        </w:rPr>
      </w:pPr>
      <w:r>
        <w:rPr>
          <w:rFonts w:cs="Times New Roman"/>
          <w:szCs w:val="24"/>
        </w:rPr>
        <w:t>12 savivaldybių, kuriose stebimas rodiklis atspindi geriausią situaciją, priskiriamos savivaldybių su</w:t>
      </w:r>
    </w:p>
    <w:p w:rsidR="00943487" w:rsidRDefault="00943487" w:rsidP="00943487">
      <w:pPr>
        <w:tabs>
          <w:tab w:val="left" w:pos="709"/>
        </w:tabs>
        <w:spacing w:after="0" w:line="360" w:lineRule="auto"/>
        <w:ind w:left="426"/>
        <w:jc w:val="both"/>
        <w:rPr>
          <w:rFonts w:cs="Times New Roman"/>
          <w:szCs w:val="24"/>
        </w:rPr>
      </w:pPr>
      <w:r>
        <w:rPr>
          <w:rFonts w:cs="Times New Roman"/>
          <w:szCs w:val="24"/>
        </w:rPr>
        <w:t xml:space="preserve">geriausiais rodikliais grupei ir žymimos </w:t>
      </w:r>
      <w:r w:rsidRPr="00C47FD9">
        <w:rPr>
          <w:rFonts w:cs="Times New Roman"/>
          <w:color w:val="000000" w:themeColor="text1"/>
          <w:szCs w:val="24"/>
          <w:shd w:val="clear" w:color="auto" w:fill="92D050"/>
        </w:rPr>
        <w:t>žalia spalva</w:t>
      </w:r>
      <w:r>
        <w:rPr>
          <w:rFonts w:cs="Times New Roman"/>
          <w:szCs w:val="24"/>
        </w:rPr>
        <w:t>;</w:t>
      </w:r>
    </w:p>
    <w:p w:rsidR="00943487" w:rsidRDefault="00943487" w:rsidP="00943487">
      <w:pPr>
        <w:pStyle w:val="Sraopastraipa"/>
        <w:numPr>
          <w:ilvl w:val="0"/>
          <w:numId w:val="5"/>
        </w:numPr>
        <w:tabs>
          <w:tab w:val="left" w:pos="1560"/>
        </w:tabs>
        <w:spacing w:after="0" w:line="360" w:lineRule="auto"/>
        <w:jc w:val="both"/>
        <w:rPr>
          <w:rFonts w:cs="Times New Roman"/>
          <w:szCs w:val="24"/>
        </w:rPr>
      </w:pPr>
      <w:r>
        <w:rPr>
          <w:rFonts w:cs="Times New Roman"/>
          <w:szCs w:val="24"/>
        </w:rPr>
        <w:t>12 savivaldybių, kuriose stebimas rodiklis rodo prasčiausią situaciją, priskiriamos savivaldybių su</w:t>
      </w:r>
    </w:p>
    <w:p w:rsidR="00943487" w:rsidRDefault="00943487" w:rsidP="00943487">
      <w:pPr>
        <w:tabs>
          <w:tab w:val="left" w:pos="1560"/>
        </w:tabs>
        <w:spacing w:after="0" w:line="360" w:lineRule="auto"/>
        <w:ind w:left="360"/>
        <w:jc w:val="both"/>
        <w:rPr>
          <w:rFonts w:cs="Times New Roman"/>
          <w:szCs w:val="24"/>
        </w:rPr>
      </w:pPr>
      <w:r>
        <w:rPr>
          <w:rFonts w:cs="Times New Roman"/>
          <w:szCs w:val="24"/>
        </w:rPr>
        <w:t xml:space="preserve">prasčiausiais rodikliais grupei ir žymimos </w:t>
      </w:r>
      <w:r w:rsidRPr="00C47FD9">
        <w:rPr>
          <w:rFonts w:cs="Times New Roman"/>
          <w:szCs w:val="24"/>
          <w:shd w:val="clear" w:color="auto" w:fill="FF0000"/>
        </w:rPr>
        <w:t>raudona spalva</w:t>
      </w:r>
      <w:r>
        <w:rPr>
          <w:rFonts w:cs="Times New Roman"/>
          <w:szCs w:val="24"/>
        </w:rPr>
        <w:t>;</w:t>
      </w:r>
    </w:p>
    <w:p w:rsidR="00943487" w:rsidRDefault="00943487" w:rsidP="00943487">
      <w:pPr>
        <w:pStyle w:val="Sraopastraipa"/>
        <w:numPr>
          <w:ilvl w:val="0"/>
          <w:numId w:val="5"/>
        </w:numPr>
        <w:tabs>
          <w:tab w:val="left" w:pos="1560"/>
        </w:tabs>
        <w:spacing w:after="0" w:line="360" w:lineRule="auto"/>
        <w:jc w:val="both"/>
        <w:rPr>
          <w:rFonts w:cs="Times New Roman"/>
          <w:szCs w:val="24"/>
        </w:rPr>
      </w:pPr>
      <w:r>
        <w:rPr>
          <w:rFonts w:cs="Times New Roman"/>
          <w:szCs w:val="24"/>
        </w:rPr>
        <w:t xml:space="preserve">likusių 36 savivaldybių rodiklio reikšmės žymimos </w:t>
      </w:r>
      <w:r w:rsidRPr="00C47FD9">
        <w:rPr>
          <w:rFonts w:cs="Times New Roman"/>
          <w:szCs w:val="24"/>
          <w:shd w:val="clear" w:color="auto" w:fill="FFFF00"/>
        </w:rPr>
        <w:t>geltona spalva</w:t>
      </w:r>
      <w:r>
        <w:rPr>
          <w:rFonts w:cs="Times New Roman"/>
          <w:szCs w:val="24"/>
        </w:rPr>
        <w:t>. Šių savivaldybių rodikliai</w:t>
      </w:r>
    </w:p>
    <w:p w:rsidR="00943487" w:rsidRDefault="00943487" w:rsidP="00943487">
      <w:pPr>
        <w:tabs>
          <w:tab w:val="left" w:pos="1560"/>
        </w:tabs>
        <w:spacing w:after="0" w:line="360" w:lineRule="auto"/>
        <w:ind w:left="360"/>
        <w:jc w:val="both"/>
        <w:rPr>
          <w:rFonts w:cs="Times New Roman"/>
          <w:szCs w:val="24"/>
        </w:rPr>
      </w:pPr>
      <w:r>
        <w:rPr>
          <w:rFonts w:cs="Times New Roman"/>
          <w:szCs w:val="24"/>
        </w:rPr>
        <w:t>interpretuojami kaip atitinkantys Lietuvos vidurkį, bet rodo patenkinamą situaciją savivaldybėje.</w:t>
      </w:r>
    </w:p>
    <w:p w:rsidR="00943487" w:rsidRDefault="00943487" w:rsidP="00943487">
      <w:pPr>
        <w:tabs>
          <w:tab w:val="left" w:pos="567"/>
        </w:tabs>
        <w:spacing w:after="0" w:line="360" w:lineRule="auto"/>
        <w:jc w:val="both"/>
        <w:rPr>
          <w:rFonts w:cs="Times New Roman"/>
          <w:szCs w:val="24"/>
        </w:rPr>
      </w:pPr>
      <w:r>
        <w:rPr>
          <w:rFonts w:cs="Times New Roman"/>
          <w:szCs w:val="24"/>
        </w:rPr>
        <w:tab/>
        <w:t>PRS analizės ir interpretavimo tikslas – įvertinti, kokia esama gyventojų sveikatos ir sveikatą lemiančių veiksnių situacija savivaldybėje, įvertinant Lietuvos sveikatos strategijos tikslų ir uždavinių įgyvendinimo kontekste, ir kokių intervencijų/priemonių reikia imtis, siekiant stiprinti savivaldybės gyventojų sveikatą ir mažinti sveikatos netolygumus.</w:t>
      </w:r>
    </w:p>
    <w:p w:rsidR="00943487" w:rsidRDefault="00943487" w:rsidP="00943487">
      <w:pPr>
        <w:spacing w:after="0" w:line="360" w:lineRule="auto"/>
        <w:ind w:firstLine="851"/>
        <w:jc w:val="both"/>
        <w:rPr>
          <w:rFonts w:cs="Times New Roman"/>
          <w:szCs w:val="24"/>
        </w:rPr>
      </w:pPr>
      <w:r>
        <w:rPr>
          <w:rFonts w:cs="Times New Roman"/>
          <w:szCs w:val="24"/>
        </w:rPr>
        <w:t>Molėtų rajono savivaldybės gyventojų visuomenės sveikatos stebėsenos ataskaitoje analizuojamų rodiklių duomenys ir jų interpretavimas pateikiami 1 lentelėje „Molėtų rajono savivaldybės visuomenės sveikatos stebėsenos rodiklių profilis“.</w:t>
      </w:r>
    </w:p>
    <w:p w:rsidR="00943487" w:rsidRDefault="00943487" w:rsidP="00943487">
      <w:pPr>
        <w:tabs>
          <w:tab w:val="left" w:pos="3360"/>
        </w:tabs>
        <w:spacing w:after="0" w:line="360" w:lineRule="auto"/>
        <w:ind w:firstLine="851"/>
        <w:jc w:val="both"/>
        <w:rPr>
          <w:rFonts w:cs="Times New Roman"/>
          <w:szCs w:val="24"/>
        </w:rPr>
      </w:pPr>
      <w:r>
        <w:rPr>
          <w:rFonts w:cs="Times New Roman"/>
          <w:szCs w:val="24"/>
        </w:rPr>
        <w:t>Remiantis profilio rodikliais ir jų interpretavimo rezultatais („šviesofo</w:t>
      </w:r>
      <w:r w:rsidR="00344B59">
        <w:rPr>
          <w:rFonts w:cs="Times New Roman"/>
          <w:szCs w:val="24"/>
        </w:rPr>
        <w:t>ras“ ir santykis), pasirinkome 3</w:t>
      </w:r>
      <w:r>
        <w:rPr>
          <w:rFonts w:cs="Times New Roman"/>
          <w:szCs w:val="24"/>
        </w:rPr>
        <w:t xml:space="preserve"> pagrindinių rodiklių sąrašo reikšmes, kurių rodikliai pokyčio kryptis prasčiausia palyginti su kitomis savivaldybės profilio reikšmėmis (raudonos spalvos pagrindinių rodiklių sąrašo reikšmės). Sudarėme Molėtų rajono savivaldybės probleminių visuomenės sveikatos sričių (temų) sąrašą ir atlikome atrinktų rodiklių detalesnę analizę ir vertinimą. Parengėme pasiūlymus.</w:t>
      </w:r>
    </w:p>
    <w:p w:rsidR="00943487" w:rsidRDefault="00943487" w:rsidP="00943487">
      <w:pPr>
        <w:rPr>
          <w:rFonts w:cs="Times New Roman"/>
          <w:szCs w:val="24"/>
        </w:rPr>
      </w:pPr>
      <w:r>
        <w:rPr>
          <w:rFonts w:cs="Times New Roman"/>
          <w:szCs w:val="24"/>
        </w:rPr>
        <w:br w:type="page"/>
      </w:r>
    </w:p>
    <w:p w:rsidR="00943487" w:rsidRDefault="00943487" w:rsidP="00943487">
      <w:pPr>
        <w:rPr>
          <w:rFonts w:cs="Times New Roman"/>
          <w:szCs w:val="24"/>
        </w:rPr>
        <w:sectPr w:rsidR="00943487">
          <w:headerReference w:type="default" r:id="rId9"/>
          <w:pgSz w:w="11906" w:h="16838"/>
          <w:pgMar w:top="1701" w:right="567" w:bottom="1134" w:left="993" w:header="567" w:footer="567" w:gutter="0"/>
          <w:cols w:space="1296"/>
          <w:titlePg/>
          <w:docGrid w:linePitch="360"/>
        </w:sectPr>
      </w:pPr>
    </w:p>
    <w:p w:rsidR="00943487" w:rsidRDefault="00943487" w:rsidP="00943487">
      <w:pPr>
        <w:rPr>
          <w:rFonts w:cs="Times New Roman"/>
          <w:szCs w:val="24"/>
        </w:rPr>
      </w:pPr>
    </w:p>
    <w:p w:rsidR="00943487" w:rsidRDefault="00943487" w:rsidP="00943487">
      <w:pPr>
        <w:tabs>
          <w:tab w:val="left" w:pos="3360"/>
        </w:tabs>
        <w:spacing w:after="0" w:line="360" w:lineRule="auto"/>
        <w:ind w:firstLine="567"/>
        <w:jc w:val="both"/>
        <w:rPr>
          <w:rFonts w:cs="Times New Roman"/>
          <w:szCs w:val="24"/>
        </w:rPr>
      </w:pPr>
      <w:r>
        <w:rPr>
          <w:rFonts w:cs="Times New Roman"/>
          <w:i/>
          <w:szCs w:val="24"/>
        </w:rPr>
        <w:t>Pirmame</w:t>
      </w:r>
      <w:r>
        <w:rPr>
          <w:rFonts w:cs="Times New Roman"/>
          <w:szCs w:val="24"/>
        </w:rPr>
        <w:t xml:space="preserve"> lentelės stulpelyje pateikiami PRS rodikliai, suskirstyti pagal Lietuvos sveikatos strategijoje numatomus įgyvendinti tikslus ir uždavinius. </w:t>
      </w:r>
      <w:r>
        <w:rPr>
          <w:rFonts w:cs="Times New Roman"/>
          <w:i/>
          <w:szCs w:val="24"/>
        </w:rPr>
        <w:t xml:space="preserve">Antrajame </w:t>
      </w:r>
      <w:r>
        <w:rPr>
          <w:rFonts w:cs="Times New Roman"/>
          <w:szCs w:val="24"/>
        </w:rPr>
        <w:t>– Molėtų rajono savivaldybės rodiklio reikšmė 2018 metais (</w:t>
      </w:r>
      <w:r w:rsidRPr="00BD2657">
        <w:rPr>
          <w:rFonts w:cs="Times New Roman"/>
          <w:szCs w:val="24"/>
        </w:rPr>
        <w:t>3 metų vidurkis</w:t>
      </w:r>
      <w:r>
        <w:rPr>
          <w:rFonts w:cs="Times New Roman"/>
          <w:szCs w:val="24"/>
        </w:rPr>
        <w:t xml:space="preserve">), </w:t>
      </w:r>
      <w:r>
        <w:rPr>
          <w:rFonts w:cs="Times New Roman"/>
          <w:i/>
          <w:szCs w:val="24"/>
        </w:rPr>
        <w:t xml:space="preserve">trečiajame </w:t>
      </w:r>
      <w:r>
        <w:rPr>
          <w:rFonts w:cs="Times New Roman"/>
          <w:szCs w:val="24"/>
        </w:rPr>
        <w:t xml:space="preserve">– atitinkamo rodiklio Lietuvos vidurkio reikšmė, </w:t>
      </w:r>
      <w:r>
        <w:rPr>
          <w:rFonts w:cs="Times New Roman"/>
          <w:i/>
          <w:szCs w:val="24"/>
        </w:rPr>
        <w:t xml:space="preserve">ketvirtajame </w:t>
      </w:r>
      <w:r>
        <w:rPr>
          <w:rFonts w:cs="Times New Roman"/>
          <w:szCs w:val="24"/>
        </w:rPr>
        <w:t xml:space="preserve">– mažiausia reikšmė tarp visų savivaldybių, </w:t>
      </w:r>
      <w:r>
        <w:rPr>
          <w:rFonts w:cs="Times New Roman"/>
          <w:i/>
          <w:szCs w:val="24"/>
        </w:rPr>
        <w:t xml:space="preserve">penktajame </w:t>
      </w:r>
      <w:r>
        <w:rPr>
          <w:rFonts w:cs="Times New Roman"/>
          <w:szCs w:val="24"/>
        </w:rPr>
        <w:t xml:space="preserve">– didžiausia reikšmė tarp visų savivaldybių, </w:t>
      </w:r>
      <w:r>
        <w:rPr>
          <w:rFonts w:cs="Times New Roman"/>
          <w:i/>
          <w:szCs w:val="24"/>
        </w:rPr>
        <w:t xml:space="preserve">šeštajame </w:t>
      </w:r>
      <w:r>
        <w:rPr>
          <w:rFonts w:cs="Times New Roman"/>
          <w:szCs w:val="24"/>
        </w:rPr>
        <w:t>– savivaldybės rodiklio interpretavimas (reikšmės savivaldybėje santykis su Lietuvos vidurkio reik</w:t>
      </w:r>
      <w:r w:rsidR="003D20CA">
        <w:rPr>
          <w:rFonts w:cs="Times New Roman"/>
          <w:szCs w:val="24"/>
        </w:rPr>
        <w:t>šme ir savivaldybės vieta tarp</w:t>
      </w:r>
      <w:r>
        <w:rPr>
          <w:rFonts w:cs="Times New Roman"/>
          <w:szCs w:val="24"/>
        </w:rPr>
        <w:t xml:space="preserve"> visų sav</w:t>
      </w:r>
      <w:r w:rsidR="003D20CA">
        <w:rPr>
          <w:rFonts w:cs="Times New Roman"/>
          <w:szCs w:val="24"/>
        </w:rPr>
        <w:t>ivaldybių pagal „</w:t>
      </w:r>
      <w:r>
        <w:rPr>
          <w:rFonts w:cs="Times New Roman"/>
          <w:szCs w:val="24"/>
        </w:rPr>
        <w:t>šviesoforo“ principą).</w:t>
      </w:r>
    </w:p>
    <w:p w:rsidR="00943487" w:rsidRDefault="00943487" w:rsidP="00943487">
      <w:pPr>
        <w:spacing w:after="0" w:line="360" w:lineRule="auto"/>
        <w:ind w:right="141" w:firstLine="851"/>
        <w:jc w:val="right"/>
        <w:rPr>
          <w:rFonts w:cs="Times New Roman"/>
          <w:szCs w:val="24"/>
        </w:rPr>
      </w:pPr>
      <w:r>
        <w:rPr>
          <w:rFonts w:cs="Times New Roman"/>
          <w:szCs w:val="24"/>
        </w:rPr>
        <w:t>1 lentelė</w:t>
      </w:r>
    </w:p>
    <w:p w:rsidR="00943487" w:rsidRDefault="00943487" w:rsidP="00943487">
      <w:pPr>
        <w:spacing w:after="0"/>
        <w:jc w:val="center"/>
        <w:rPr>
          <w:rFonts w:cs="Times New Roman"/>
          <w:szCs w:val="24"/>
        </w:rPr>
      </w:pPr>
      <w:r>
        <w:rPr>
          <w:rFonts w:cs="Times New Roman"/>
          <w:b/>
          <w:szCs w:val="24"/>
        </w:rPr>
        <w:t>Molėtų rajono savivaldybės visuomenės sveikatos stebėsenos rodiklių profilis</w:t>
      </w:r>
    </w:p>
    <w:p w:rsidR="00943487" w:rsidRDefault="00943487" w:rsidP="00943487">
      <w:pPr>
        <w:tabs>
          <w:tab w:val="left" w:pos="3360"/>
        </w:tabs>
        <w:spacing w:after="0" w:line="360" w:lineRule="auto"/>
        <w:ind w:firstLine="567"/>
        <w:jc w:val="both"/>
        <w:rPr>
          <w:rFonts w:cs="Times New Roman"/>
          <w:szCs w:val="24"/>
        </w:rPr>
      </w:pPr>
    </w:p>
    <w:tbl>
      <w:tblPr>
        <w:tblStyle w:val="Lentelstinklelis"/>
        <w:tblW w:w="14719" w:type="dxa"/>
        <w:jc w:val="center"/>
        <w:tblLayout w:type="fixed"/>
        <w:tblCellMar>
          <w:left w:w="0" w:type="dxa"/>
          <w:right w:w="0" w:type="dxa"/>
        </w:tblCellMar>
        <w:tblLook w:val="04A0" w:firstRow="1" w:lastRow="0" w:firstColumn="1" w:lastColumn="0" w:noHBand="0" w:noVBand="1"/>
      </w:tblPr>
      <w:tblGrid>
        <w:gridCol w:w="8580"/>
        <w:gridCol w:w="1461"/>
        <w:gridCol w:w="1090"/>
        <w:gridCol w:w="1134"/>
        <w:gridCol w:w="1178"/>
        <w:gridCol w:w="1276"/>
      </w:tblGrid>
      <w:tr w:rsidR="00943487" w:rsidRPr="00943487" w:rsidTr="00C47FD9">
        <w:trPr>
          <w:jc w:val="center"/>
        </w:trPr>
        <w:tc>
          <w:tcPr>
            <w:tcW w:w="8580" w:type="dxa"/>
            <w:shd w:val="clear" w:color="auto" w:fill="9BBB59" w:themeFill="accent3"/>
          </w:tcPr>
          <w:p w:rsidR="00943487" w:rsidRPr="00943487" w:rsidRDefault="00943487" w:rsidP="00943487">
            <w:pPr>
              <w:spacing w:after="0" w:line="240" w:lineRule="auto"/>
              <w:jc w:val="center"/>
              <w:rPr>
                <w:rFonts w:eastAsia="Calibri" w:cs="Times New Roman"/>
                <w:b/>
                <w:szCs w:val="24"/>
              </w:rPr>
            </w:pPr>
            <w:r w:rsidRPr="00943487">
              <w:rPr>
                <w:rFonts w:eastAsia="Calibri" w:cs="Times New Roman"/>
                <w:b/>
                <w:szCs w:val="24"/>
              </w:rPr>
              <w:t>Rodiklis</w:t>
            </w:r>
          </w:p>
        </w:tc>
        <w:tc>
          <w:tcPr>
            <w:tcW w:w="1461" w:type="dxa"/>
            <w:shd w:val="clear" w:color="auto" w:fill="9BBB59" w:themeFill="accent3"/>
          </w:tcPr>
          <w:p w:rsidR="00943487" w:rsidRPr="00943487" w:rsidRDefault="00943487" w:rsidP="00943487">
            <w:pPr>
              <w:spacing w:after="0" w:line="240" w:lineRule="auto"/>
              <w:jc w:val="center"/>
              <w:rPr>
                <w:rFonts w:eastAsia="Calibri" w:cs="Times New Roman"/>
                <w:b/>
                <w:szCs w:val="24"/>
              </w:rPr>
            </w:pPr>
            <w:r w:rsidRPr="00943487">
              <w:rPr>
                <w:rFonts w:eastAsia="Calibri" w:cs="Times New Roman"/>
                <w:b/>
                <w:szCs w:val="24"/>
              </w:rPr>
              <w:t>Savivaldybės rodiklis</w:t>
            </w:r>
          </w:p>
          <w:p w:rsidR="00943487" w:rsidRDefault="00943487" w:rsidP="00943487">
            <w:pPr>
              <w:spacing w:after="0" w:line="240" w:lineRule="auto"/>
              <w:jc w:val="center"/>
              <w:rPr>
                <w:rFonts w:eastAsia="Calibri" w:cs="Times New Roman"/>
                <w:b/>
                <w:szCs w:val="24"/>
              </w:rPr>
            </w:pPr>
            <w:r w:rsidRPr="00943487">
              <w:rPr>
                <w:rFonts w:eastAsia="Calibri" w:cs="Times New Roman"/>
                <w:b/>
                <w:szCs w:val="24"/>
              </w:rPr>
              <w:t>2018 metais</w:t>
            </w:r>
          </w:p>
          <w:p w:rsidR="00C47FD9" w:rsidRPr="00943487" w:rsidRDefault="00C47FD9" w:rsidP="00943487">
            <w:pPr>
              <w:spacing w:after="0" w:line="240" w:lineRule="auto"/>
              <w:jc w:val="center"/>
              <w:rPr>
                <w:rFonts w:eastAsia="Calibri" w:cs="Times New Roman"/>
                <w:b/>
                <w:szCs w:val="24"/>
                <w:vertAlign w:val="superscript"/>
              </w:rPr>
            </w:pPr>
            <w:r>
              <w:rPr>
                <w:rFonts w:eastAsia="Calibri" w:cs="Times New Roman"/>
                <w:b/>
                <w:szCs w:val="24"/>
              </w:rPr>
              <w:t>(3 metų vidurkis)</w:t>
            </w:r>
          </w:p>
        </w:tc>
        <w:tc>
          <w:tcPr>
            <w:tcW w:w="1090" w:type="dxa"/>
            <w:shd w:val="clear" w:color="auto" w:fill="9BBB59" w:themeFill="accent3"/>
          </w:tcPr>
          <w:p w:rsidR="00943487" w:rsidRPr="00943487" w:rsidRDefault="00943487" w:rsidP="00943487">
            <w:pPr>
              <w:spacing w:after="0" w:line="240" w:lineRule="auto"/>
              <w:jc w:val="center"/>
              <w:rPr>
                <w:rFonts w:eastAsia="Calibri" w:cs="Times New Roman"/>
                <w:b/>
                <w:szCs w:val="24"/>
              </w:rPr>
            </w:pPr>
            <w:r w:rsidRPr="00943487">
              <w:rPr>
                <w:rFonts w:eastAsia="Calibri" w:cs="Times New Roman"/>
                <w:b/>
                <w:szCs w:val="24"/>
              </w:rPr>
              <w:t>Lietuvos rodiklis</w:t>
            </w:r>
          </w:p>
        </w:tc>
        <w:tc>
          <w:tcPr>
            <w:tcW w:w="1134" w:type="dxa"/>
            <w:shd w:val="clear" w:color="auto" w:fill="9BBB59" w:themeFill="accent3"/>
          </w:tcPr>
          <w:p w:rsidR="00943487" w:rsidRPr="00943487" w:rsidRDefault="00943487" w:rsidP="00943487">
            <w:pPr>
              <w:spacing w:after="0" w:line="240" w:lineRule="auto"/>
              <w:jc w:val="center"/>
              <w:rPr>
                <w:rFonts w:eastAsia="Calibri" w:cs="Times New Roman"/>
                <w:b/>
                <w:szCs w:val="24"/>
              </w:rPr>
            </w:pPr>
            <w:r w:rsidRPr="00943487">
              <w:rPr>
                <w:rFonts w:eastAsia="Calibri" w:cs="Times New Roman"/>
                <w:b/>
                <w:szCs w:val="24"/>
              </w:rPr>
              <w:t>Minimali reikšmė</w:t>
            </w:r>
          </w:p>
        </w:tc>
        <w:tc>
          <w:tcPr>
            <w:tcW w:w="1178" w:type="dxa"/>
            <w:shd w:val="clear" w:color="auto" w:fill="9BBB59" w:themeFill="accent3"/>
          </w:tcPr>
          <w:p w:rsidR="00943487" w:rsidRPr="00943487" w:rsidRDefault="00943487" w:rsidP="00943487">
            <w:pPr>
              <w:spacing w:after="0" w:line="240" w:lineRule="auto"/>
              <w:jc w:val="center"/>
              <w:rPr>
                <w:rFonts w:eastAsia="Calibri" w:cs="Times New Roman"/>
                <w:b/>
                <w:szCs w:val="24"/>
              </w:rPr>
            </w:pPr>
            <w:r w:rsidRPr="00943487">
              <w:rPr>
                <w:rFonts w:eastAsia="Calibri" w:cs="Times New Roman"/>
                <w:b/>
                <w:szCs w:val="24"/>
              </w:rPr>
              <w:t>Maksimali reikšmė</w:t>
            </w:r>
          </w:p>
        </w:tc>
        <w:tc>
          <w:tcPr>
            <w:tcW w:w="1276" w:type="dxa"/>
            <w:shd w:val="clear" w:color="auto" w:fill="9BBB59" w:themeFill="accent3"/>
          </w:tcPr>
          <w:p w:rsidR="00943487" w:rsidRPr="00943487" w:rsidRDefault="00943487" w:rsidP="00943487">
            <w:pPr>
              <w:spacing w:after="0" w:line="240" w:lineRule="auto"/>
              <w:jc w:val="center"/>
              <w:rPr>
                <w:rFonts w:eastAsia="Calibri" w:cs="Times New Roman"/>
                <w:b/>
                <w:szCs w:val="24"/>
              </w:rPr>
            </w:pPr>
            <w:r w:rsidRPr="00943487">
              <w:rPr>
                <w:rFonts w:eastAsia="Calibri" w:cs="Times New Roman"/>
                <w:b/>
                <w:szCs w:val="24"/>
              </w:rPr>
              <w:t>Santykis: savivaldybė/Lietuva</w:t>
            </w:r>
          </w:p>
        </w:tc>
      </w:tr>
      <w:tr w:rsidR="00943487" w:rsidRPr="00943487" w:rsidTr="00C47FD9">
        <w:trPr>
          <w:jc w:val="center"/>
        </w:trPr>
        <w:tc>
          <w:tcPr>
            <w:tcW w:w="8580" w:type="dxa"/>
            <w:shd w:val="clear" w:color="auto" w:fill="9BBB59" w:themeFill="accent3"/>
          </w:tcPr>
          <w:p w:rsidR="00943487" w:rsidRPr="00943487" w:rsidRDefault="00943487" w:rsidP="00943487">
            <w:pPr>
              <w:spacing w:after="0" w:line="240" w:lineRule="auto"/>
              <w:jc w:val="center"/>
              <w:rPr>
                <w:rFonts w:eastAsia="Calibri" w:cs="Times New Roman"/>
                <w:b/>
                <w:szCs w:val="24"/>
              </w:rPr>
            </w:pPr>
            <w:r w:rsidRPr="00943487">
              <w:rPr>
                <w:rFonts w:eastAsia="Calibri" w:cs="Times New Roman"/>
                <w:b/>
                <w:szCs w:val="24"/>
              </w:rPr>
              <w:t>1</w:t>
            </w:r>
          </w:p>
        </w:tc>
        <w:tc>
          <w:tcPr>
            <w:tcW w:w="1461" w:type="dxa"/>
            <w:shd w:val="clear" w:color="auto" w:fill="9BBB59" w:themeFill="accent3"/>
          </w:tcPr>
          <w:p w:rsidR="00943487" w:rsidRPr="00943487" w:rsidRDefault="00943487" w:rsidP="00943487">
            <w:pPr>
              <w:spacing w:after="0" w:line="240" w:lineRule="auto"/>
              <w:jc w:val="center"/>
              <w:rPr>
                <w:rFonts w:eastAsia="Calibri" w:cs="Times New Roman"/>
                <w:b/>
                <w:szCs w:val="24"/>
              </w:rPr>
            </w:pPr>
            <w:r w:rsidRPr="00943487">
              <w:rPr>
                <w:rFonts w:eastAsia="Calibri" w:cs="Times New Roman"/>
                <w:b/>
                <w:szCs w:val="24"/>
              </w:rPr>
              <w:t>2</w:t>
            </w:r>
          </w:p>
        </w:tc>
        <w:tc>
          <w:tcPr>
            <w:tcW w:w="1090" w:type="dxa"/>
            <w:shd w:val="clear" w:color="auto" w:fill="9BBB59" w:themeFill="accent3"/>
          </w:tcPr>
          <w:p w:rsidR="00943487" w:rsidRPr="00943487" w:rsidRDefault="00943487" w:rsidP="00943487">
            <w:pPr>
              <w:spacing w:after="0" w:line="240" w:lineRule="auto"/>
              <w:jc w:val="center"/>
              <w:rPr>
                <w:rFonts w:eastAsia="Calibri" w:cs="Times New Roman"/>
                <w:b/>
                <w:szCs w:val="24"/>
              </w:rPr>
            </w:pPr>
            <w:r w:rsidRPr="00943487">
              <w:rPr>
                <w:rFonts w:eastAsia="Calibri" w:cs="Times New Roman"/>
                <w:b/>
                <w:szCs w:val="24"/>
              </w:rPr>
              <w:t>3</w:t>
            </w:r>
          </w:p>
        </w:tc>
        <w:tc>
          <w:tcPr>
            <w:tcW w:w="1134" w:type="dxa"/>
            <w:shd w:val="clear" w:color="auto" w:fill="9BBB59" w:themeFill="accent3"/>
          </w:tcPr>
          <w:p w:rsidR="00943487" w:rsidRPr="00943487" w:rsidRDefault="00943487" w:rsidP="00943487">
            <w:pPr>
              <w:spacing w:after="0" w:line="240" w:lineRule="auto"/>
              <w:jc w:val="center"/>
              <w:rPr>
                <w:rFonts w:eastAsia="Calibri" w:cs="Times New Roman"/>
                <w:b/>
                <w:szCs w:val="24"/>
              </w:rPr>
            </w:pPr>
            <w:r w:rsidRPr="00943487">
              <w:rPr>
                <w:rFonts w:eastAsia="Calibri" w:cs="Times New Roman"/>
                <w:b/>
                <w:szCs w:val="24"/>
              </w:rPr>
              <w:t>4</w:t>
            </w:r>
          </w:p>
        </w:tc>
        <w:tc>
          <w:tcPr>
            <w:tcW w:w="1178" w:type="dxa"/>
            <w:shd w:val="clear" w:color="auto" w:fill="9BBB59" w:themeFill="accent3"/>
          </w:tcPr>
          <w:p w:rsidR="00943487" w:rsidRPr="00943487" w:rsidRDefault="00943487" w:rsidP="00943487">
            <w:pPr>
              <w:spacing w:after="0" w:line="240" w:lineRule="auto"/>
              <w:jc w:val="center"/>
              <w:rPr>
                <w:rFonts w:eastAsia="Calibri" w:cs="Times New Roman"/>
                <w:b/>
                <w:szCs w:val="24"/>
              </w:rPr>
            </w:pPr>
            <w:r w:rsidRPr="00943487">
              <w:rPr>
                <w:rFonts w:eastAsia="Calibri" w:cs="Times New Roman"/>
                <w:b/>
                <w:szCs w:val="24"/>
              </w:rPr>
              <w:t>5</w:t>
            </w:r>
          </w:p>
        </w:tc>
        <w:tc>
          <w:tcPr>
            <w:tcW w:w="1276" w:type="dxa"/>
            <w:shd w:val="clear" w:color="auto" w:fill="9BBB59" w:themeFill="accent3"/>
          </w:tcPr>
          <w:p w:rsidR="00943487" w:rsidRPr="00943487" w:rsidRDefault="00943487" w:rsidP="00943487">
            <w:pPr>
              <w:spacing w:after="0" w:line="240" w:lineRule="auto"/>
              <w:jc w:val="center"/>
              <w:rPr>
                <w:rFonts w:eastAsia="Calibri" w:cs="Times New Roman"/>
                <w:b/>
                <w:szCs w:val="24"/>
              </w:rPr>
            </w:pPr>
            <w:r w:rsidRPr="00943487">
              <w:rPr>
                <w:rFonts w:eastAsia="Calibri" w:cs="Times New Roman"/>
                <w:b/>
                <w:szCs w:val="24"/>
              </w:rPr>
              <w:t>6</w:t>
            </w:r>
          </w:p>
        </w:tc>
      </w:tr>
      <w:tr w:rsidR="00943487" w:rsidRPr="00943487" w:rsidTr="00B900D6">
        <w:trPr>
          <w:jc w:val="center"/>
        </w:trPr>
        <w:tc>
          <w:tcPr>
            <w:tcW w:w="14719" w:type="dxa"/>
            <w:gridSpan w:val="6"/>
          </w:tcPr>
          <w:p w:rsidR="00943487" w:rsidRPr="00943487" w:rsidRDefault="00943487" w:rsidP="00943487">
            <w:pPr>
              <w:spacing w:after="0" w:line="240" w:lineRule="auto"/>
              <w:rPr>
                <w:rFonts w:eastAsia="Calibri" w:cs="Times New Roman"/>
                <w:szCs w:val="24"/>
              </w:rPr>
            </w:pPr>
            <w:r w:rsidRPr="00943487">
              <w:rPr>
                <w:rFonts w:eastAsia="Calibri" w:cs="Times New Roman"/>
                <w:b/>
                <w:szCs w:val="24"/>
                <w:u w:val="single"/>
              </w:rPr>
              <w:t>Strateginis tikslas</w:t>
            </w:r>
            <w:r w:rsidRPr="00943487">
              <w:rPr>
                <w:rFonts w:eastAsia="Calibri" w:cs="Times New Roman"/>
                <w:szCs w:val="24"/>
                <w:u w:val="single"/>
              </w:rPr>
              <w:t xml:space="preserve"> </w:t>
            </w:r>
            <w:r w:rsidRPr="00943487">
              <w:rPr>
                <w:rFonts w:eastAsia="Calibri" w:cs="Times New Roman"/>
                <w:b/>
                <w:szCs w:val="24"/>
                <w:u w:val="single"/>
              </w:rPr>
              <w:t>– pasiekti, kad 2025 metais šalies gyventojai būtų sveikesni ir gyventų ilgiau, pagerėtų gyventojų sveikata ir sumažėtų sveikatos netolygumai</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Vidutinė tikėtina gyvenimo trukmė</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70,9</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76</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69,9</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78,6</w:t>
            </w:r>
          </w:p>
        </w:tc>
        <w:tc>
          <w:tcPr>
            <w:tcW w:w="1276" w:type="dxa"/>
            <w:shd w:val="clear" w:color="auto" w:fill="FF0000"/>
          </w:tcPr>
          <w:p w:rsidR="00943487" w:rsidRPr="00943487" w:rsidRDefault="000D7D52" w:rsidP="00943487">
            <w:pPr>
              <w:spacing w:after="0" w:line="240" w:lineRule="auto"/>
              <w:rPr>
                <w:rFonts w:eastAsia="Calibri" w:cs="Times New Roman"/>
                <w:szCs w:val="24"/>
              </w:rPr>
            </w:pPr>
            <w:r>
              <w:rPr>
                <w:rFonts w:eastAsia="Calibri" w:cs="Times New Roman"/>
                <w:szCs w:val="24"/>
              </w:rPr>
              <w:t>0,9</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Išvengiamas mirtingumas</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31,7</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30,5</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24,6</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41,0</w:t>
            </w:r>
          </w:p>
        </w:tc>
        <w:tc>
          <w:tcPr>
            <w:tcW w:w="1276" w:type="dxa"/>
            <w:shd w:val="clear" w:color="auto" w:fill="FFFF00"/>
          </w:tcPr>
          <w:p w:rsidR="00943487" w:rsidRPr="00943487" w:rsidRDefault="000D7D52" w:rsidP="00943487">
            <w:pPr>
              <w:spacing w:after="0" w:line="240" w:lineRule="auto"/>
              <w:rPr>
                <w:rFonts w:eastAsia="Calibri" w:cs="Times New Roman"/>
                <w:szCs w:val="24"/>
              </w:rPr>
            </w:pPr>
            <w:r>
              <w:rPr>
                <w:rFonts w:eastAsia="Calibri" w:cs="Times New Roman"/>
                <w:szCs w:val="24"/>
              </w:rPr>
              <w:t>1,0</w:t>
            </w:r>
          </w:p>
        </w:tc>
      </w:tr>
      <w:tr w:rsidR="00943487" w:rsidRPr="00943487" w:rsidTr="00B900D6">
        <w:trPr>
          <w:jc w:val="center"/>
        </w:trPr>
        <w:tc>
          <w:tcPr>
            <w:tcW w:w="14719" w:type="dxa"/>
            <w:gridSpan w:val="6"/>
          </w:tcPr>
          <w:p w:rsidR="00943487" w:rsidRPr="00943487" w:rsidRDefault="00943487" w:rsidP="00943487">
            <w:pPr>
              <w:spacing w:after="0" w:line="240" w:lineRule="auto"/>
              <w:rPr>
                <w:rFonts w:eastAsia="Calibri" w:cs="Times New Roman"/>
                <w:szCs w:val="24"/>
              </w:rPr>
            </w:pPr>
            <w:r w:rsidRPr="00943487">
              <w:rPr>
                <w:rFonts w:eastAsia="Calibri" w:cs="Times New Roman"/>
                <w:b/>
                <w:szCs w:val="24"/>
                <w:u w:val="single"/>
              </w:rPr>
              <w:t>1 tikslas.</w:t>
            </w:r>
            <w:r w:rsidRPr="00943487">
              <w:rPr>
                <w:rFonts w:eastAsia="Calibri" w:cs="Times New Roman"/>
                <w:b/>
                <w:szCs w:val="24"/>
              </w:rPr>
              <w:t xml:space="preserve"> </w:t>
            </w:r>
            <w:r w:rsidRPr="00943487">
              <w:rPr>
                <w:rFonts w:eastAsia="Calibri" w:cs="Times New Roman"/>
                <w:b/>
                <w:szCs w:val="24"/>
                <w:u w:val="single"/>
              </w:rPr>
              <w:t>Sukurti saugesnę socialinę aplinką, mažinti sveikatos netolygumus ir socialinę atskirtį</w:t>
            </w:r>
          </w:p>
        </w:tc>
      </w:tr>
      <w:tr w:rsidR="00943487" w:rsidRPr="00943487" w:rsidTr="00B900D6">
        <w:trPr>
          <w:jc w:val="center"/>
        </w:trPr>
        <w:tc>
          <w:tcPr>
            <w:tcW w:w="14719" w:type="dxa"/>
            <w:gridSpan w:val="6"/>
          </w:tcPr>
          <w:p w:rsidR="00943487" w:rsidRPr="00943487" w:rsidRDefault="00943487" w:rsidP="00943487">
            <w:pPr>
              <w:spacing w:after="0" w:line="240" w:lineRule="auto"/>
              <w:rPr>
                <w:rFonts w:eastAsia="Calibri" w:cs="Times New Roman"/>
                <w:b/>
                <w:szCs w:val="24"/>
              </w:rPr>
            </w:pPr>
            <w:r w:rsidRPr="00943487">
              <w:rPr>
                <w:rFonts w:eastAsia="Calibri" w:cs="Times New Roman"/>
                <w:b/>
                <w:szCs w:val="24"/>
              </w:rPr>
              <w:t>1.1. Sumažinti skurdo lygį ir nedarbą</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Mirtingumas dėl savižudybių (X60-X84) 100 000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55,1</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24,4</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943487" w:rsidRPr="00943487" w:rsidRDefault="00703475" w:rsidP="00943487">
            <w:pPr>
              <w:spacing w:after="0" w:line="240" w:lineRule="auto"/>
              <w:rPr>
                <w:rFonts w:eastAsia="Calibri" w:cs="Times New Roman"/>
                <w:szCs w:val="24"/>
              </w:rPr>
            </w:pPr>
            <w:r>
              <w:rPr>
                <w:rFonts w:eastAsia="Calibri" w:cs="Times New Roman"/>
                <w:szCs w:val="24"/>
              </w:rPr>
              <w:t>79,5</w:t>
            </w:r>
          </w:p>
        </w:tc>
        <w:tc>
          <w:tcPr>
            <w:tcW w:w="1276" w:type="dxa"/>
            <w:shd w:val="clear" w:color="auto" w:fill="FF0000"/>
          </w:tcPr>
          <w:p w:rsidR="00943487" w:rsidRPr="00943487" w:rsidRDefault="000D7D52" w:rsidP="00943487">
            <w:pPr>
              <w:spacing w:after="0" w:line="240" w:lineRule="auto"/>
              <w:rPr>
                <w:rFonts w:eastAsia="Calibri" w:cs="Times New Roman"/>
                <w:szCs w:val="24"/>
              </w:rPr>
            </w:pPr>
            <w:r>
              <w:rPr>
                <w:rFonts w:eastAsia="Calibri" w:cs="Times New Roman"/>
                <w:szCs w:val="24"/>
              </w:rPr>
              <w:t>2,23</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Standartizuotas mirtingumas dėl savižudybių (X60-X84) 100 000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37,75</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23,8</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75,7</w:t>
            </w:r>
          </w:p>
        </w:tc>
        <w:tc>
          <w:tcPr>
            <w:tcW w:w="1276" w:type="dxa"/>
            <w:shd w:val="clear" w:color="auto" w:fill="FF0000"/>
          </w:tcPr>
          <w:p w:rsidR="00943487" w:rsidRPr="00943487" w:rsidRDefault="000D7D52" w:rsidP="00943487">
            <w:pPr>
              <w:spacing w:after="0" w:line="240" w:lineRule="auto"/>
              <w:rPr>
                <w:rFonts w:eastAsia="Calibri" w:cs="Times New Roman"/>
                <w:szCs w:val="24"/>
              </w:rPr>
            </w:pPr>
            <w:r>
              <w:rPr>
                <w:rFonts w:eastAsia="Calibri" w:cs="Times New Roman"/>
                <w:szCs w:val="24"/>
              </w:rPr>
              <w:t>1,6</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Bandymų žudytis skaičius (X60-X64,X66-X84) 100 000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53,3</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42,1</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19,2</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81,1</w:t>
            </w:r>
          </w:p>
        </w:tc>
        <w:tc>
          <w:tcPr>
            <w:tcW w:w="1276" w:type="dxa"/>
            <w:shd w:val="clear" w:color="auto" w:fill="FFFF00"/>
          </w:tcPr>
          <w:p w:rsidR="00943487" w:rsidRPr="00943487" w:rsidRDefault="000D7D52" w:rsidP="00943487">
            <w:pPr>
              <w:spacing w:after="0" w:line="240" w:lineRule="auto"/>
              <w:rPr>
                <w:rFonts w:eastAsia="Calibri" w:cs="Times New Roman"/>
                <w:szCs w:val="24"/>
              </w:rPr>
            </w:pPr>
            <w:r>
              <w:rPr>
                <w:rFonts w:eastAsia="Calibri" w:cs="Times New Roman"/>
                <w:szCs w:val="24"/>
              </w:rPr>
              <w:t>1,3</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Mokyklinio amžiaus vaikų, nesimokančių mokyklose, skaičius 1 000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56,7</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69,1</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35,2</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220,2</w:t>
            </w:r>
          </w:p>
        </w:tc>
        <w:tc>
          <w:tcPr>
            <w:tcW w:w="1276" w:type="dxa"/>
            <w:shd w:val="clear" w:color="auto" w:fill="FFFF00"/>
          </w:tcPr>
          <w:p w:rsidR="00943487" w:rsidRPr="00943487" w:rsidRDefault="000D7D52" w:rsidP="00943487">
            <w:pPr>
              <w:spacing w:after="0" w:line="240" w:lineRule="auto"/>
              <w:rPr>
                <w:rFonts w:eastAsia="Calibri" w:cs="Times New Roman"/>
                <w:szCs w:val="24"/>
              </w:rPr>
            </w:pPr>
            <w:r>
              <w:rPr>
                <w:rFonts w:eastAsia="Calibri" w:cs="Times New Roman"/>
                <w:szCs w:val="24"/>
              </w:rPr>
              <w:t>0,8</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Socialinės rizikos šeimų skaičius 1 000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5,9</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3,3</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0,3</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8,7</w:t>
            </w:r>
          </w:p>
        </w:tc>
        <w:tc>
          <w:tcPr>
            <w:tcW w:w="1276" w:type="dxa"/>
            <w:shd w:val="clear" w:color="auto" w:fill="FFFF00"/>
          </w:tcPr>
          <w:p w:rsidR="00943487" w:rsidRPr="00943487" w:rsidRDefault="000D7D52" w:rsidP="00943487">
            <w:pPr>
              <w:spacing w:after="0" w:line="240" w:lineRule="auto"/>
              <w:rPr>
                <w:rFonts w:eastAsia="Calibri" w:cs="Times New Roman"/>
                <w:szCs w:val="24"/>
              </w:rPr>
            </w:pPr>
            <w:r>
              <w:rPr>
                <w:rFonts w:eastAsia="Calibri" w:cs="Times New Roman"/>
                <w:szCs w:val="24"/>
              </w:rPr>
              <w:t>1,8</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Ilgalaikio nedarbo lygis</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4,2</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2,2</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0,3</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8,2</w:t>
            </w:r>
          </w:p>
        </w:tc>
        <w:tc>
          <w:tcPr>
            <w:tcW w:w="1276" w:type="dxa"/>
            <w:shd w:val="clear" w:color="auto" w:fill="FFFF00"/>
          </w:tcPr>
          <w:p w:rsidR="00943487" w:rsidRPr="00943487" w:rsidRDefault="000D7D52" w:rsidP="00943487">
            <w:pPr>
              <w:spacing w:after="0" w:line="240" w:lineRule="auto"/>
              <w:rPr>
                <w:rFonts w:eastAsia="Calibri" w:cs="Times New Roman"/>
                <w:szCs w:val="24"/>
              </w:rPr>
            </w:pPr>
            <w:r>
              <w:rPr>
                <w:rFonts w:eastAsia="Calibri" w:cs="Times New Roman"/>
                <w:szCs w:val="24"/>
              </w:rPr>
              <w:t>1,9</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Gyventojų skaičiaus pokytis 1 000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-20,9</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-5,3</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-23,7</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8,4</w:t>
            </w:r>
          </w:p>
        </w:tc>
        <w:tc>
          <w:tcPr>
            <w:tcW w:w="1276" w:type="dxa"/>
            <w:shd w:val="clear" w:color="auto" w:fill="FF0000"/>
          </w:tcPr>
          <w:p w:rsidR="00943487" w:rsidRPr="00943487" w:rsidRDefault="000D7D52" w:rsidP="00943487">
            <w:pPr>
              <w:spacing w:after="0" w:line="240" w:lineRule="auto"/>
              <w:rPr>
                <w:rFonts w:eastAsia="Calibri" w:cs="Times New Roman"/>
                <w:szCs w:val="24"/>
              </w:rPr>
            </w:pPr>
            <w:r>
              <w:rPr>
                <w:rFonts w:eastAsia="Calibri" w:cs="Times New Roman"/>
                <w:szCs w:val="24"/>
              </w:rPr>
              <w:t>-4,0</w:t>
            </w:r>
          </w:p>
        </w:tc>
      </w:tr>
      <w:tr w:rsidR="00943487" w:rsidRPr="00943487" w:rsidTr="00B900D6">
        <w:trPr>
          <w:jc w:val="center"/>
        </w:trPr>
        <w:tc>
          <w:tcPr>
            <w:tcW w:w="14719" w:type="dxa"/>
            <w:gridSpan w:val="6"/>
          </w:tcPr>
          <w:p w:rsidR="00943487" w:rsidRPr="00943487" w:rsidRDefault="00943487" w:rsidP="00943487">
            <w:pPr>
              <w:spacing w:after="0" w:line="240" w:lineRule="auto"/>
              <w:rPr>
                <w:rFonts w:eastAsia="Calibri" w:cs="Times New Roman"/>
                <w:szCs w:val="24"/>
              </w:rPr>
            </w:pPr>
            <w:r w:rsidRPr="00943487">
              <w:rPr>
                <w:rFonts w:eastAsia="Calibri" w:cs="Times New Roman"/>
                <w:b/>
                <w:szCs w:val="24"/>
              </w:rPr>
              <w:t>1.2. Sumažinti socialinę ekonominę gyventojų diferenciaciją šalies ir bendruomenių lygmeniu</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Mirtingumas dėl išorinių priežasčių (V01-Y98) 100 000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196,6</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93,4</w:t>
            </w:r>
          </w:p>
        </w:tc>
        <w:tc>
          <w:tcPr>
            <w:tcW w:w="1134" w:type="dxa"/>
            <w:shd w:val="clear" w:color="auto" w:fill="FFFFFF" w:themeFill="background1"/>
          </w:tcPr>
          <w:p w:rsidR="00943487" w:rsidRPr="00943487" w:rsidRDefault="00195D33" w:rsidP="00943487">
            <w:pPr>
              <w:spacing w:after="0" w:line="240" w:lineRule="auto"/>
              <w:rPr>
                <w:rFonts w:eastAsia="Calibri" w:cs="Times New Roman"/>
                <w:szCs w:val="24"/>
              </w:rPr>
            </w:pPr>
            <w:r>
              <w:rPr>
                <w:rFonts w:eastAsia="Calibri" w:cs="Times New Roman"/>
                <w:szCs w:val="24"/>
              </w:rPr>
              <w:t>41,8</w:t>
            </w:r>
          </w:p>
        </w:tc>
        <w:tc>
          <w:tcPr>
            <w:tcW w:w="1178" w:type="dxa"/>
            <w:shd w:val="clear" w:color="auto" w:fill="FFFFFF" w:themeFill="background1"/>
          </w:tcPr>
          <w:p w:rsidR="00943487" w:rsidRPr="00943487" w:rsidRDefault="00233202" w:rsidP="00943487">
            <w:pPr>
              <w:spacing w:after="0" w:line="240" w:lineRule="auto"/>
              <w:rPr>
                <w:rFonts w:eastAsia="Calibri" w:cs="Times New Roman"/>
                <w:szCs w:val="24"/>
              </w:rPr>
            </w:pPr>
            <w:r>
              <w:rPr>
                <w:rFonts w:eastAsia="Calibri" w:cs="Times New Roman"/>
                <w:szCs w:val="24"/>
              </w:rPr>
              <w:t>203,1</w:t>
            </w:r>
          </w:p>
        </w:tc>
        <w:tc>
          <w:tcPr>
            <w:tcW w:w="1276" w:type="dxa"/>
            <w:shd w:val="clear" w:color="auto" w:fill="FF0000"/>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2,3</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Standartizuotas mirtingumas dėl išorinių priežasčių (V01-Y98) 100 000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190,5</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91</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46,2</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192,4</w:t>
            </w:r>
          </w:p>
        </w:tc>
        <w:tc>
          <w:tcPr>
            <w:tcW w:w="1276" w:type="dxa"/>
            <w:shd w:val="clear" w:color="auto" w:fill="FF0000"/>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2,1</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Mokinių, gaunančių nemokamą maitinimą mokyklose, skaičius 1 000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217,4</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148,9</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57,4</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339,9</w:t>
            </w:r>
          </w:p>
        </w:tc>
        <w:tc>
          <w:tcPr>
            <w:tcW w:w="1276" w:type="dxa"/>
            <w:shd w:val="clear" w:color="auto" w:fill="FFFF00"/>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1,3</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lastRenderedPageBreak/>
              <w:t>Socialinės pašalpos gavėjų skaičius 1 000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37</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25,4</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3,2</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91,0</w:t>
            </w:r>
          </w:p>
        </w:tc>
        <w:tc>
          <w:tcPr>
            <w:tcW w:w="1276" w:type="dxa"/>
            <w:shd w:val="clear" w:color="auto" w:fill="FFFF00"/>
          </w:tcPr>
          <w:p w:rsidR="00943487" w:rsidRPr="00943487" w:rsidRDefault="000D7D52" w:rsidP="00943487">
            <w:pPr>
              <w:spacing w:after="0" w:line="240" w:lineRule="auto"/>
              <w:rPr>
                <w:rFonts w:eastAsia="Calibri" w:cs="Times New Roman"/>
                <w:szCs w:val="24"/>
              </w:rPr>
            </w:pPr>
            <w:r>
              <w:rPr>
                <w:rFonts w:eastAsia="Calibri" w:cs="Times New Roman"/>
                <w:szCs w:val="24"/>
              </w:rPr>
              <w:t>1,5</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Sergamumas tuberkulioze (A15-A19) 100 000 gyventojų (nauji atvejai)</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45,9</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32,9</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88,4</w:t>
            </w:r>
          </w:p>
        </w:tc>
        <w:tc>
          <w:tcPr>
            <w:tcW w:w="1276" w:type="dxa"/>
            <w:shd w:val="clear" w:color="auto" w:fill="FFFF00"/>
          </w:tcPr>
          <w:p w:rsidR="00943487" w:rsidRPr="00943487" w:rsidRDefault="000D7D52" w:rsidP="00943487">
            <w:pPr>
              <w:spacing w:after="0" w:line="240" w:lineRule="auto"/>
              <w:rPr>
                <w:rFonts w:eastAsia="Calibri" w:cs="Times New Roman"/>
                <w:szCs w:val="24"/>
              </w:rPr>
            </w:pPr>
            <w:r>
              <w:rPr>
                <w:rFonts w:eastAsia="Calibri" w:cs="Times New Roman"/>
                <w:szCs w:val="24"/>
                <w:shd w:val="clear" w:color="auto" w:fill="FFFF00"/>
              </w:rPr>
              <w:t>1,4</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Sergamumas tuberkulioze (A15-A19) 100 000 gyv. (nauji+recidyvai)</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47,8</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37,9</w:t>
            </w:r>
          </w:p>
        </w:tc>
        <w:tc>
          <w:tcPr>
            <w:tcW w:w="1134" w:type="dxa"/>
          </w:tcPr>
          <w:p w:rsidR="00943487" w:rsidRPr="00943487" w:rsidRDefault="00943487" w:rsidP="00943487">
            <w:pPr>
              <w:spacing w:after="0" w:line="240" w:lineRule="auto"/>
              <w:rPr>
                <w:rFonts w:eastAsia="Calibri" w:cs="Times New Roman"/>
                <w:szCs w:val="24"/>
              </w:rPr>
            </w:pPr>
          </w:p>
        </w:tc>
        <w:tc>
          <w:tcPr>
            <w:tcW w:w="1178" w:type="dxa"/>
          </w:tcPr>
          <w:p w:rsidR="00943487" w:rsidRPr="00943487" w:rsidRDefault="00943487" w:rsidP="00943487">
            <w:pPr>
              <w:spacing w:after="0" w:line="240" w:lineRule="auto"/>
              <w:rPr>
                <w:rFonts w:eastAsia="Calibri" w:cs="Times New Roman"/>
                <w:szCs w:val="24"/>
              </w:rPr>
            </w:pPr>
          </w:p>
        </w:tc>
        <w:tc>
          <w:tcPr>
            <w:tcW w:w="1276" w:type="dxa"/>
            <w:shd w:val="clear" w:color="auto" w:fill="FFFF00"/>
          </w:tcPr>
          <w:p w:rsidR="00943487" w:rsidRPr="00943487" w:rsidRDefault="000D7D52" w:rsidP="00943487">
            <w:pPr>
              <w:spacing w:after="0" w:line="240" w:lineRule="auto"/>
              <w:rPr>
                <w:rFonts w:eastAsia="Calibri" w:cs="Times New Roman"/>
                <w:szCs w:val="24"/>
                <w:shd w:val="clear" w:color="auto" w:fill="FFFF00"/>
              </w:rPr>
            </w:pPr>
            <w:r>
              <w:rPr>
                <w:rFonts w:eastAsia="Calibri" w:cs="Times New Roman"/>
                <w:szCs w:val="24"/>
                <w:shd w:val="clear" w:color="auto" w:fill="FFFF00"/>
              </w:rPr>
              <w:t>1,3</w:t>
            </w:r>
          </w:p>
        </w:tc>
      </w:tr>
      <w:tr w:rsidR="00943487" w:rsidRPr="00943487" w:rsidTr="00B900D6">
        <w:trPr>
          <w:jc w:val="center"/>
        </w:trPr>
        <w:tc>
          <w:tcPr>
            <w:tcW w:w="14719" w:type="dxa"/>
            <w:gridSpan w:val="6"/>
          </w:tcPr>
          <w:p w:rsidR="00943487" w:rsidRPr="00943487" w:rsidRDefault="00943487" w:rsidP="00943487">
            <w:pPr>
              <w:spacing w:after="0" w:line="240" w:lineRule="auto"/>
              <w:rPr>
                <w:rFonts w:eastAsia="Calibri" w:cs="Times New Roman"/>
                <w:szCs w:val="24"/>
                <w:shd w:val="clear" w:color="auto" w:fill="FFFF00"/>
              </w:rPr>
            </w:pPr>
            <w:r w:rsidRPr="00943487">
              <w:rPr>
                <w:rFonts w:eastAsia="Calibri" w:cs="Times New Roman"/>
                <w:b/>
                <w:szCs w:val="24"/>
                <w:u w:val="single"/>
              </w:rPr>
              <w:t>2 tikslas. Sukurti sveikatai palankią fizinę darbo ir gyvenamąją aplinką</w:t>
            </w:r>
          </w:p>
        </w:tc>
      </w:tr>
      <w:tr w:rsidR="00943487" w:rsidRPr="00943487" w:rsidTr="00B900D6">
        <w:trPr>
          <w:jc w:val="center"/>
        </w:trPr>
        <w:tc>
          <w:tcPr>
            <w:tcW w:w="14719" w:type="dxa"/>
            <w:gridSpan w:val="6"/>
          </w:tcPr>
          <w:p w:rsidR="00943487" w:rsidRPr="00943487" w:rsidRDefault="00943487" w:rsidP="00943487">
            <w:pPr>
              <w:spacing w:after="0" w:line="240" w:lineRule="auto"/>
              <w:rPr>
                <w:rFonts w:eastAsia="Calibri" w:cs="Times New Roman"/>
                <w:szCs w:val="24"/>
                <w:shd w:val="clear" w:color="auto" w:fill="FFFF00"/>
              </w:rPr>
            </w:pPr>
            <w:r w:rsidRPr="00943487">
              <w:rPr>
                <w:rFonts w:eastAsia="Calibri" w:cs="Times New Roman"/>
                <w:b/>
                <w:szCs w:val="24"/>
              </w:rPr>
              <w:t>2.1. Kurti saugias darbo ir sveikas buities sąlygas, didinti prekių ir paslaugų vartotojų saugumą</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Asmenų, žuvusių ar sunkiai sužalotų dėl nelaimingų atsitikimų darbe, skaičius 10 000 darbingo amžiaus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0,6</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0,9</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3,9</w:t>
            </w:r>
          </w:p>
        </w:tc>
        <w:tc>
          <w:tcPr>
            <w:tcW w:w="1276" w:type="dxa"/>
            <w:shd w:val="clear" w:color="auto" w:fill="FFFF00"/>
          </w:tcPr>
          <w:p w:rsidR="00943487" w:rsidRPr="00943487" w:rsidRDefault="000D7D52" w:rsidP="00943487">
            <w:pPr>
              <w:spacing w:after="0" w:line="240" w:lineRule="auto"/>
              <w:rPr>
                <w:rFonts w:eastAsia="Calibri" w:cs="Times New Roman"/>
                <w:szCs w:val="24"/>
              </w:rPr>
            </w:pPr>
            <w:r>
              <w:rPr>
                <w:rFonts w:eastAsia="Calibri" w:cs="Times New Roman"/>
                <w:szCs w:val="24"/>
              </w:rPr>
              <w:t>0,7</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Susižalojimo dėl nukritimo atvejų skaičius (W00-W19) 65+ m. amžiaus grupėje 10 000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126,3</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150,7</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104,9</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212,0</w:t>
            </w:r>
          </w:p>
        </w:tc>
        <w:tc>
          <w:tcPr>
            <w:tcW w:w="1276" w:type="dxa"/>
            <w:shd w:val="clear" w:color="auto" w:fill="FFFF00"/>
          </w:tcPr>
          <w:p w:rsidR="00943487" w:rsidRPr="00943487" w:rsidRDefault="000D7D52" w:rsidP="00943487">
            <w:pPr>
              <w:spacing w:after="0" w:line="240" w:lineRule="auto"/>
              <w:rPr>
                <w:rFonts w:eastAsia="Calibri" w:cs="Times New Roman"/>
                <w:szCs w:val="24"/>
              </w:rPr>
            </w:pPr>
            <w:r>
              <w:rPr>
                <w:rFonts w:eastAsia="Calibri" w:cs="Times New Roman"/>
                <w:szCs w:val="24"/>
              </w:rPr>
              <w:t>0,8</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Darbingo amžiaus asmenų, pirmą kartą pripažintų neįgaliais, skaičius 10 000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73,7</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67,1</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45,3</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125,9</w:t>
            </w:r>
          </w:p>
        </w:tc>
        <w:tc>
          <w:tcPr>
            <w:tcW w:w="1276" w:type="dxa"/>
            <w:shd w:val="clear" w:color="auto" w:fill="FFFF00"/>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1,1</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Sergamumas žarnyno infekcinėmis ligomis (A00-A08) 10 000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42,1</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74,9</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140,9</w:t>
            </w:r>
          </w:p>
        </w:tc>
        <w:tc>
          <w:tcPr>
            <w:tcW w:w="1276" w:type="dxa"/>
            <w:shd w:val="clear" w:color="auto" w:fill="FFFF00"/>
          </w:tcPr>
          <w:p w:rsidR="00943487" w:rsidRPr="00943487" w:rsidRDefault="000D7D52" w:rsidP="00943487">
            <w:pPr>
              <w:spacing w:after="0" w:line="240" w:lineRule="auto"/>
              <w:rPr>
                <w:rFonts w:eastAsia="Calibri" w:cs="Times New Roman"/>
                <w:szCs w:val="24"/>
              </w:rPr>
            </w:pPr>
            <w:r>
              <w:rPr>
                <w:rFonts w:eastAsia="Calibri" w:cs="Times New Roman"/>
                <w:szCs w:val="24"/>
              </w:rPr>
              <w:t>0,6</w:t>
            </w:r>
          </w:p>
        </w:tc>
      </w:tr>
      <w:tr w:rsidR="00943487" w:rsidRPr="00943487" w:rsidTr="00B900D6">
        <w:trPr>
          <w:jc w:val="center"/>
        </w:trPr>
        <w:tc>
          <w:tcPr>
            <w:tcW w:w="14719" w:type="dxa"/>
            <w:gridSpan w:val="6"/>
          </w:tcPr>
          <w:p w:rsidR="00943487" w:rsidRPr="00943487" w:rsidRDefault="00943487" w:rsidP="00943487">
            <w:pPr>
              <w:spacing w:after="0" w:line="240" w:lineRule="auto"/>
              <w:rPr>
                <w:rFonts w:eastAsia="Calibri" w:cs="Times New Roman"/>
                <w:b/>
                <w:szCs w:val="24"/>
              </w:rPr>
            </w:pPr>
            <w:r w:rsidRPr="00943487">
              <w:rPr>
                <w:rFonts w:eastAsia="Calibri" w:cs="Times New Roman"/>
                <w:b/>
                <w:szCs w:val="24"/>
              </w:rPr>
              <w:t>2.2. Kurti palankias sąlygas saugiai leisti laisvalaikį</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Mirtingumas dėl atsitiktinio paskendimo (W65-W74) 100 000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20,2</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5,5</w:t>
            </w:r>
          </w:p>
        </w:tc>
        <w:tc>
          <w:tcPr>
            <w:tcW w:w="1134" w:type="dxa"/>
            <w:shd w:val="clear" w:color="auto" w:fill="FFFFFF" w:themeFill="background1"/>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0,0</w:t>
            </w:r>
          </w:p>
        </w:tc>
        <w:tc>
          <w:tcPr>
            <w:tcW w:w="1178" w:type="dxa"/>
            <w:shd w:val="clear" w:color="auto" w:fill="FFFFFF" w:themeFill="background1"/>
          </w:tcPr>
          <w:p w:rsidR="00943487" w:rsidRPr="00943487" w:rsidRDefault="00195D33" w:rsidP="00943487">
            <w:pPr>
              <w:spacing w:after="0" w:line="240" w:lineRule="auto"/>
              <w:rPr>
                <w:rFonts w:eastAsia="Calibri" w:cs="Times New Roman"/>
                <w:szCs w:val="24"/>
              </w:rPr>
            </w:pPr>
            <w:r>
              <w:rPr>
                <w:rFonts w:eastAsia="Calibri" w:cs="Times New Roman"/>
                <w:szCs w:val="24"/>
              </w:rPr>
              <w:t>20,2</w:t>
            </w:r>
          </w:p>
        </w:tc>
        <w:tc>
          <w:tcPr>
            <w:tcW w:w="1276" w:type="dxa"/>
            <w:shd w:val="clear" w:color="auto" w:fill="FF0000"/>
          </w:tcPr>
          <w:p w:rsidR="00943487" w:rsidRPr="00943487" w:rsidRDefault="000D7D52" w:rsidP="00943487">
            <w:pPr>
              <w:spacing w:after="0" w:line="240" w:lineRule="auto"/>
              <w:rPr>
                <w:rFonts w:eastAsia="Calibri" w:cs="Times New Roman"/>
                <w:szCs w:val="24"/>
              </w:rPr>
            </w:pPr>
            <w:r>
              <w:rPr>
                <w:rFonts w:eastAsia="Calibri" w:cs="Times New Roman"/>
                <w:szCs w:val="24"/>
              </w:rPr>
              <w:t>3,7</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Standartizuotas mirtingumas dėl atsitiktinio paskendimo (W65-W74) 100 000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19,6</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4,9</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19,6</w:t>
            </w:r>
          </w:p>
        </w:tc>
        <w:tc>
          <w:tcPr>
            <w:tcW w:w="1276" w:type="dxa"/>
            <w:shd w:val="clear" w:color="auto" w:fill="FF0000"/>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4,0</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Mirtingumas dėl nukritimo (W00-W19) 100 000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27,6</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16,1</w:t>
            </w:r>
          </w:p>
        </w:tc>
        <w:tc>
          <w:tcPr>
            <w:tcW w:w="1134" w:type="dxa"/>
            <w:shd w:val="clear" w:color="auto" w:fill="FFFFFF" w:themeFill="background1"/>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0,0</w:t>
            </w:r>
          </w:p>
        </w:tc>
        <w:tc>
          <w:tcPr>
            <w:tcW w:w="1178" w:type="dxa"/>
            <w:shd w:val="clear" w:color="auto" w:fill="FFFFFF" w:themeFill="background1"/>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38,1</w:t>
            </w:r>
          </w:p>
        </w:tc>
        <w:tc>
          <w:tcPr>
            <w:tcW w:w="1276" w:type="dxa"/>
            <w:shd w:val="clear" w:color="auto" w:fill="FF0000"/>
          </w:tcPr>
          <w:p w:rsidR="00943487" w:rsidRPr="00943487" w:rsidRDefault="000D7D52" w:rsidP="00943487">
            <w:pPr>
              <w:spacing w:after="0" w:line="240" w:lineRule="auto"/>
              <w:rPr>
                <w:rFonts w:eastAsia="Calibri" w:cs="Times New Roman"/>
                <w:szCs w:val="24"/>
              </w:rPr>
            </w:pPr>
            <w:r>
              <w:rPr>
                <w:rFonts w:eastAsia="Calibri" w:cs="Times New Roman"/>
                <w:szCs w:val="24"/>
              </w:rPr>
              <w:t>1,7</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Standartizuotas mirtingumas dėl nukritimo (W00-W19) 100 000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21,6</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15,3</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32,6</w:t>
            </w:r>
          </w:p>
        </w:tc>
        <w:tc>
          <w:tcPr>
            <w:tcW w:w="1276" w:type="dxa"/>
            <w:shd w:val="clear" w:color="auto" w:fill="FF0000"/>
          </w:tcPr>
          <w:p w:rsidR="00943487" w:rsidRPr="00943487" w:rsidRDefault="000D7D52" w:rsidP="00943487">
            <w:pPr>
              <w:spacing w:after="0" w:line="240" w:lineRule="auto"/>
              <w:rPr>
                <w:rFonts w:eastAsia="Calibri" w:cs="Times New Roman"/>
                <w:szCs w:val="24"/>
              </w:rPr>
            </w:pPr>
            <w:r>
              <w:rPr>
                <w:rFonts w:eastAsia="Calibri" w:cs="Times New Roman"/>
                <w:szCs w:val="24"/>
              </w:rPr>
              <w:t>1,8</w:t>
            </w:r>
          </w:p>
        </w:tc>
      </w:tr>
      <w:tr w:rsidR="00943487" w:rsidRPr="00943487" w:rsidTr="00B900D6">
        <w:trPr>
          <w:jc w:val="center"/>
        </w:trPr>
        <w:tc>
          <w:tcPr>
            <w:tcW w:w="14719" w:type="dxa"/>
            <w:gridSpan w:val="6"/>
          </w:tcPr>
          <w:p w:rsidR="00943487" w:rsidRPr="00943487" w:rsidRDefault="00943487" w:rsidP="00943487">
            <w:pPr>
              <w:spacing w:after="0" w:line="240" w:lineRule="auto"/>
              <w:rPr>
                <w:rFonts w:eastAsia="Calibri" w:cs="Times New Roman"/>
                <w:szCs w:val="24"/>
              </w:rPr>
            </w:pPr>
            <w:r w:rsidRPr="00943487">
              <w:rPr>
                <w:rFonts w:eastAsia="Calibri" w:cs="Times New Roman"/>
                <w:b/>
                <w:szCs w:val="24"/>
              </w:rPr>
              <w:t>2.3. Mažinti avaringumą ir traumų kelių eismo įvykiuose skaičių</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Mirtingumas dėl transporto įvykių (V00-V99) 100 000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22,1</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8</w:t>
            </w:r>
          </w:p>
        </w:tc>
        <w:tc>
          <w:tcPr>
            <w:tcW w:w="1134" w:type="dxa"/>
            <w:shd w:val="clear" w:color="auto" w:fill="FFFFFF" w:themeFill="background1"/>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0,0</w:t>
            </w:r>
          </w:p>
        </w:tc>
        <w:tc>
          <w:tcPr>
            <w:tcW w:w="1178" w:type="dxa"/>
            <w:shd w:val="clear" w:color="auto" w:fill="FFFFFF" w:themeFill="background1"/>
          </w:tcPr>
          <w:p w:rsidR="00943487" w:rsidRPr="00943487" w:rsidRDefault="00703475" w:rsidP="00943487">
            <w:pPr>
              <w:spacing w:after="0" w:line="240" w:lineRule="auto"/>
              <w:rPr>
                <w:rFonts w:eastAsia="Calibri" w:cs="Times New Roman"/>
                <w:szCs w:val="24"/>
              </w:rPr>
            </w:pPr>
            <w:r>
              <w:rPr>
                <w:rFonts w:eastAsia="Calibri" w:cs="Times New Roman"/>
                <w:szCs w:val="24"/>
              </w:rPr>
              <w:t>25</w:t>
            </w:r>
            <w:r w:rsidR="00943487" w:rsidRPr="00943487">
              <w:rPr>
                <w:rFonts w:eastAsia="Calibri" w:cs="Times New Roman"/>
                <w:szCs w:val="24"/>
              </w:rPr>
              <w:t>,4</w:t>
            </w:r>
          </w:p>
        </w:tc>
        <w:tc>
          <w:tcPr>
            <w:tcW w:w="1276" w:type="dxa"/>
            <w:shd w:val="clear" w:color="auto" w:fill="FF0000"/>
          </w:tcPr>
          <w:p w:rsidR="00943487" w:rsidRPr="00943487" w:rsidRDefault="000D7D52" w:rsidP="00943487">
            <w:pPr>
              <w:spacing w:after="0" w:line="240" w:lineRule="auto"/>
              <w:rPr>
                <w:rFonts w:eastAsia="Calibri" w:cs="Times New Roman"/>
                <w:szCs w:val="24"/>
              </w:rPr>
            </w:pPr>
            <w:r>
              <w:rPr>
                <w:rFonts w:eastAsia="Calibri" w:cs="Times New Roman"/>
                <w:szCs w:val="24"/>
              </w:rPr>
              <w:t>2,8</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Standartizuotas mirtingumas dėl transporto įvykių (V00-V99) 100 000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22,1</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7,9</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26,3</w:t>
            </w:r>
          </w:p>
        </w:tc>
        <w:tc>
          <w:tcPr>
            <w:tcW w:w="1276" w:type="dxa"/>
            <w:shd w:val="clear" w:color="auto" w:fill="FF0000"/>
          </w:tcPr>
          <w:p w:rsidR="00943487" w:rsidRPr="00943487" w:rsidRDefault="000D7D52" w:rsidP="00943487">
            <w:pPr>
              <w:spacing w:after="0" w:line="240" w:lineRule="auto"/>
              <w:rPr>
                <w:rFonts w:eastAsia="Calibri" w:cs="Times New Roman"/>
                <w:szCs w:val="24"/>
              </w:rPr>
            </w:pPr>
            <w:r>
              <w:rPr>
                <w:rFonts w:eastAsia="Calibri" w:cs="Times New Roman"/>
                <w:szCs w:val="24"/>
              </w:rPr>
              <w:t>2,8</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Pėsčiųjų mirtingumas dėl transporto įvykių (V00-V09) 100 000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5,51</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3</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19,2</w:t>
            </w:r>
          </w:p>
        </w:tc>
        <w:tc>
          <w:tcPr>
            <w:tcW w:w="1276" w:type="dxa"/>
            <w:shd w:val="clear" w:color="auto" w:fill="FFFF00"/>
          </w:tcPr>
          <w:p w:rsidR="00943487" w:rsidRPr="00943487" w:rsidRDefault="000D7D52" w:rsidP="00943487">
            <w:pPr>
              <w:spacing w:after="0" w:line="240" w:lineRule="auto"/>
              <w:rPr>
                <w:rFonts w:eastAsia="Calibri" w:cs="Times New Roman"/>
                <w:szCs w:val="24"/>
              </w:rPr>
            </w:pPr>
            <w:r>
              <w:rPr>
                <w:rFonts w:eastAsia="Calibri" w:cs="Times New Roman"/>
                <w:szCs w:val="24"/>
              </w:rPr>
              <w:t>1,8</w:t>
            </w:r>
          </w:p>
        </w:tc>
      </w:tr>
      <w:tr w:rsidR="00943487" w:rsidRPr="00943487" w:rsidTr="00C47FD9">
        <w:trPr>
          <w:jc w:val="center"/>
        </w:trPr>
        <w:tc>
          <w:tcPr>
            <w:tcW w:w="858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Transporto įvykiuose patirtų traumų (V00-V99) skaičius 100 000 gyventojų</w:t>
            </w:r>
          </w:p>
        </w:tc>
        <w:tc>
          <w:tcPr>
            <w:tcW w:w="1461"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69,8</w:t>
            </w:r>
          </w:p>
        </w:tc>
        <w:tc>
          <w:tcPr>
            <w:tcW w:w="1090"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58,9</w:t>
            </w:r>
          </w:p>
        </w:tc>
        <w:tc>
          <w:tcPr>
            <w:tcW w:w="1134"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29,3</w:t>
            </w:r>
          </w:p>
        </w:tc>
        <w:tc>
          <w:tcPr>
            <w:tcW w:w="1178" w:type="dxa"/>
          </w:tcPr>
          <w:p w:rsidR="00943487" w:rsidRPr="00943487" w:rsidRDefault="00943487" w:rsidP="00943487">
            <w:pPr>
              <w:spacing w:after="0" w:line="240" w:lineRule="auto"/>
              <w:rPr>
                <w:rFonts w:eastAsia="Calibri" w:cs="Times New Roman"/>
                <w:szCs w:val="24"/>
              </w:rPr>
            </w:pPr>
            <w:r w:rsidRPr="00943487">
              <w:rPr>
                <w:rFonts w:eastAsia="Calibri" w:cs="Times New Roman"/>
                <w:szCs w:val="24"/>
              </w:rPr>
              <w:t>136,3</w:t>
            </w:r>
          </w:p>
        </w:tc>
        <w:tc>
          <w:tcPr>
            <w:tcW w:w="1276" w:type="dxa"/>
            <w:shd w:val="clear" w:color="auto" w:fill="FFFF00"/>
          </w:tcPr>
          <w:p w:rsidR="00943487" w:rsidRPr="00943487" w:rsidRDefault="000D7D52" w:rsidP="00943487">
            <w:pPr>
              <w:spacing w:after="0" w:line="240" w:lineRule="auto"/>
              <w:rPr>
                <w:rFonts w:eastAsia="Calibri" w:cs="Times New Roman"/>
                <w:szCs w:val="24"/>
              </w:rPr>
            </w:pPr>
            <w:r>
              <w:rPr>
                <w:rFonts w:eastAsia="Calibri" w:cs="Times New Roman"/>
                <w:szCs w:val="24"/>
              </w:rPr>
              <w:t>1,2</w:t>
            </w:r>
          </w:p>
        </w:tc>
      </w:tr>
      <w:tr w:rsidR="00943487" w:rsidRPr="00943487" w:rsidTr="00B900D6">
        <w:trPr>
          <w:jc w:val="center"/>
        </w:trPr>
        <w:tc>
          <w:tcPr>
            <w:tcW w:w="14719" w:type="dxa"/>
            <w:gridSpan w:val="6"/>
          </w:tcPr>
          <w:p w:rsidR="00943487" w:rsidRPr="00943487" w:rsidRDefault="00943487" w:rsidP="00943487">
            <w:pPr>
              <w:spacing w:after="0" w:line="240" w:lineRule="auto"/>
              <w:rPr>
                <w:rFonts w:eastAsia="Calibri" w:cs="Times New Roman"/>
                <w:szCs w:val="24"/>
              </w:rPr>
            </w:pPr>
            <w:r w:rsidRPr="00943487">
              <w:rPr>
                <w:rFonts w:eastAsia="Calibri" w:cs="Times New Roman"/>
                <w:b/>
                <w:szCs w:val="24"/>
              </w:rPr>
              <w:t>2.4. Mažinti oro, vandens ir dirvožemio užterštumą, triukšmą</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Į atmosferą iš stacionarių taršos šaltinių išmestų teršalų kiekis, tenkantis 1 kv. km</w:t>
            </w:r>
          </w:p>
        </w:tc>
        <w:tc>
          <w:tcPr>
            <w:tcW w:w="1461" w:type="dxa"/>
          </w:tcPr>
          <w:p w:rsidR="00CD356A" w:rsidRPr="00943487" w:rsidRDefault="00CD356A" w:rsidP="00943487">
            <w:pPr>
              <w:spacing w:after="0" w:line="240" w:lineRule="auto"/>
              <w:rPr>
                <w:rFonts w:eastAsia="Calibri" w:cs="Times New Roman"/>
                <w:szCs w:val="24"/>
              </w:rPr>
            </w:pPr>
            <w:r>
              <w:rPr>
                <w:rFonts w:eastAsia="Calibri" w:cs="Times New Roman"/>
                <w:szCs w:val="24"/>
              </w:rPr>
              <w:t>180</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1010</w:t>
            </w:r>
          </w:p>
        </w:tc>
        <w:tc>
          <w:tcPr>
            <w:tcW w:w="1134" w:type="dxa"/>
          </w:tcPr>
          <w:p w:rsidR="00CD356A" w:rsidRDefault="00CD356A" w:rsidP="00703475">
            <w:pPr>
              <w:rPr>
                <w:rFonts w:cs="Times New Roman"/>
                <w:szCs w:val="24"/>
              </w:rPr>
            </w:pPr>
            <w:r>
              <w:rPr>
                <w:rFonts w:cs="Times New Roman"/>
                <w:szCs w:val="24"/>
              </w:rPr>
              <w:t>63</w:t>
            </w:r>
          </w:p>
        </w:tc>
        <w:tc>
          <w:tcPr>
            <w:tcW w:w="1178" w:type="dxa"/>
          </w:tcPr>
          <w:p w:rsidR="00CD356A" w:rsidRDefault="00CD356A" w:rsidP="00703475">
            <w:pPr>
              <w:rPr>
                <w:rFonts w:cs="Times New Roman"/>
                <w:szCs w:val="24"/>
              </w:rPr>
            </w:pPr>
            <w:r>
              <w:rPr>
                <w:rFonts w:cs="Times New Roman"/>
                <w:szCs w:val="24"/>
              </w:rPr>
              <w:t>34382</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0,2</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Viešai tiekiamo geriamojo vandens prieinamumas vartotojams, proc.</w:t>
            </w:r>
          </w:p>
        </w:tc>
        <w:tc>
          <w:tcPr>
            <w:tcW w:w="1461" w:type="dxa"/>
          </w:tcPr>
          <w:p w:rsidR="00CD356A" w:rsidRPr="00943487" w:rsidRDefault="00C50B64" w:rsidP="00943487">
            <w:pPr>
              <w:spacing w:after="0" w:line="240" w:lineRule="auto"/>
              <w:rPr>
                <w:rFonts w:eastAsia="Calibri" w:cs="Times New Roman"/>
                <w:szCs w:val="24"/>
              </w:rPr>
            </w:pPr>
            <w:r>
              <w:rPr>
                <w:rFonts w:eastAsia="Calibri" w:cs="Times New Roman"/>
                <w:szCs w:val="24"/>
              </w:rPr>
              <w:t>68</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nėra</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nėra</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nėra</w:t>
            </w:r>
          </w:p>
        </w:tc>
        <w:tc>
          <w:tcPr>
            <w:tcW w:w="1276"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nėra</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Nuotekų tvarkymo paslaugų prieinamumas vartotojams, proc.</w:t>
            </w:r>
          </w:p>
        </w:tc>
        <w:tc>
          <w:tcPr>
            <w:tcW w:w="1461" w:type="dxa"/>
          </w:tcPr>
          <w:p w:rsidR="00CD356A" w:rsidRPr="00943487" w:rsidRDefault="00C50B64" w:rsidP="00943487">
            <w:pPr>
              <w:spacing w:after="0" w:line="240" w:lineRule="auto"/>
              <w:rPr>
                <w:rFonts w:eastAsia="Calibri" w:cs="Times New Roman"/>
                <w:szCs w:val="24"/>
              </w:rPr>
            </w:pPr>
            <w:r>
              <w:rPr>
                <w:rFonts w:eastAsia="Calibri" w:cs="Times New Roman"/>
                <w:szCs w:val="24"/>
              </w:rPr>
              <w:t>38</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nėra</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nėra</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nėra</w:t>
            </w:r>
          </w:p>
        </w:tc>
        <w:tc>
          <w:tcPr>
            <w:tcW w:w="1276"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nėra</w:t>
            </w:r>
          </w:p>
        </w:tc>
      </w:tr>
      <w:tr w:rsidR="00CD356A" w:rsidRPr="00943487" w:rsidTr="00B900D6">
        <w:trPr>
          <w:jc w:val="center"/>
        </w:trPr>
        <w:tc>
          <w:tcPr>
            <w:tcW w:w="14719" w:type="dxa"/>
            <w:gridSpan w:val="6"/>
          </w:tcPr>
          <w:p w:rsidR="00CD356A" w:rsidRPr="00943487" w:rsidRDefault="00CD356A" w:rsidP="00943487">
            <w:pPr>
              <w:spacing w:after="0" w:line="240" w:lineRule="auto"/>
              <w:rPr>
                <w:rFonts w:eastAsia="Calibri" w:cs="Times New Roman"/>
                <w:szCs w:val="24"/>
              </w:rPr>
            </w:pPr>
            <w:r w:rsidRPr="00943487">
              <w:rPr>
                <w:rFonts w:eastAsia="Calibri" w:cs="Times New Roman"/>
                <w:b/>
                <w:szCs w:val="24"/>
                <w:u w:val="single"/>
              </w:rPr>
              <w:t>3 tikslas. Formuoti sveiką gyvenseną ir jos kultūrą</w:t>
            </w:r>
          </w:p>
        </w:tc>
      </w:tr>
      <w:tr w:rsidR="00CD356A" w:rsidRPr="00943487" w:rsidTr="00B900D6">
        <w:trPr>
          <w:jc w:val="center"/>
        </w:trPr>
        <w:tc>
          <w:tcPr>
            <w:tcW w:w="14719" w:type="dxa"/>
            <w:gridSpan w:val="6"/>
          </w:tcPr>
          <w:p w:rsidR="00CD356A" w:rsidRPr="00943487" w:rsidRDefault="00CD356A" w:rsidP="00943487">
            <w:pPr>
              <w:spacing w:after="0" w:line="240" w:lineRule="auto"/>
              <w:rPr>
                <w:rFonts w:eastAsia="Calibri" w:cs="Times New Roman"/>
                <w:szCs w:val="24"/>
              </w:rPr>
            </w:pPr>
            <w:r w:rsidRPr="00943487">
              <w:rPr>
                <w:rFonts w:eastAsia="Calibri" w:cs="Times New Roman"/>
                <w:b/>
                <w:szCs w:val="24"/>
              </w:rPr>
              <w:t>3.1. Sumažinti alkoholinių gėrimų, tabako vartojimą, neteisėtą narkotinių ir psichotropinių medžiagų vartojimą ir prieinamumą</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Mirtingumas dėl priežasčių, susijusių su narkotikų vartojimu, 100 000 gyventojų</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0,0</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3,0</w:t>
            </w:r>
          </w:p>
        </w:tc>
        <w:tc>
          <w:tcPr>
            <w:tcW w:w="1134"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0,0</w:t>
            </w:r>
          </w:p>
        </w:tc>
        <w:tc>
          <w:tcPr>
            <w:tcW w:w="1178" w:type="dxa"/>
            <w:shd w:val="clear" w:color="auto" w:fill="FFFFFF" w:themeFill="background1"/>
          </w:tcPr>
          <w:p w:rsidR="00CD356A" w:rsidRPr="00943487" w:rsidRDefault="00195D33" w:rsidP="00943487">
            <w:pPr>
              <w:spacing w:after="0" w:line="240" w:lineRule="auto"/>
              <w:rPr>
                <w:rFonts w:eastAsia="Calibri" w:cs="Times New Roman"/>
                <w:szCs w:val="24"/>
              </w:rPr>
            </w:pPr>
            <w:r>
              <w:rPr>
                <w:rFonts w:eastAsia="Calibri" w:cs="Times New Roman"/>
                <w:szCs w:val="24"/>
              </w:rPr>
              <w:t>34,9</w:t>
            </w:r>
          </w:p>
        </w:tc>
        <w:tc>
          <w:tcPr>
            <w:tcW w:w="1276" w:type="dxa"/>
            <w:shd w:val="clear" w:color="auto" w:fill="92D050"/>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0,0</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 xml:space="preserve">Standartizuotas mirtingumas dėl priežasčių, susijusių su narkotikų vartojimu, </w:t>
            </w:r>
          </w:p>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100 000 gyventojų</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0,0</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3,1</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24,8</w:t>
            </w:r>
          </w:p>
        </w:tc>
        <w:tc>
          <w:tcPr>
            <w:tcW w:w="1276" w:type="dxa"/>
            <w:shd w:val="clear" w:color="auto" w:fill="92D050"/>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0,0</w:t>
            </w:r>
          </w:p>
        </w:tc>
      </w:tr>
      <w:tr w:rsidR="00CD356A" w:rsidRPr="00943487" w:rsidTr="00C47FD9">
        <w:trPr>
          <w:jc w:val="center"/>
        </w:trPr>
        <w:tc>
          <w:tcPr>
            <w:tcW w:w="8580"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Mirtingumas dėl priežasčių, susijusių su alkoholio vartojimu, 100 000 gyventojų</w:t>
            </w:r>
          </w:p>
        </w:tc>
        <w:tc>
          <w:tcPr>
            <w:tcW w:w="1461"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42,3</w:t>
            </w:r>
          </w:p>
        </w:tc>
        <w:tc>
          <w:tcPr>
            <w:tcW w:w="1090"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18,1</w:t>
            </w:r>
          </w:p>
        </w:tc>
        <w:tc>
          <w:tcPr>
            <w:tcW w:w="1134"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0,0</w:t>
            </w:r>
          </w:p>
        </w:tc>
        <w:tc>
          <w:tcPr>
            <w:tcW w:w="1178" w:type="dxa"/>
            <w:shd w:val="clear" w:color="auto" w:fill="FFFFFF" w:themeFill="background1"/>
          </w:tcPr>
          <w:p w:rsidR="00CD356A" w:rsidRPr="00943487" w:rsidRDefault="00C9050B" w:rsidP="00943487">
            <w:pPr>
              <w:spacing w:after="0" w:line="240" w:lineRule="auto"/>
              <w:rPr>
                <w:rFonts w:eastAsia="Calibri" w:cs="Times New Roman"/>
                <w:color w:val="FFFF00"/>
                <w:szCs w:val="24"/>
              </w:rPr>
            </w:pPr>
            <w:r w:rsidRPr="00C9050B">
              <w:rPr>
                <w:rFonts w:eastAsia="Calibri" w:cs="Times New Roman"/>
                <w:szCs w:val="24"/>
              </w:rPr>
              <w:t>46,1</w:t>
            </w:r>
          </w:p>
        </w:tc>
        <w:tc>
          <w:tcPr>
            <w:tcW w:w="1276" w:type="dxa"/>
            <w:shd w:val="clear" w:color="auto" w:fill="FF0000"/>
          </w:tcPr>
          <w:p w:rsidR="00CD356A" w:rsidRPr="00943487" w:rsidRDefault="000D7D52" w:rsidP="00943487">
            <w:pPr>
              <w:spacing w:after="0" w:line="240" w:lineRule="auto"/>
              <w:rPr>
                <w:rFonts w:eastAsia="Calibri" w:cs="Times New Roman"/>
                <w:szCs w:val="24"/>
              </w:rPr>
            </w:pPr>
            <w:r>
              <w:rPr>
                <w:rFonts w:eastAsia="Calibri" w:cs="Times New Roman"/>
                <w:szCs w:val="24"/>
              </w:rPr>
              <w:t>2,3</w:t>
            </w:r>
          </w:p>
        </w:tc>
      </w:tr>
      <w:tr w:rsidR="00CD356A" w:rsidRPr="00943487" w:rsidTr="00C47FD9">
        <w:trPr>
          <w:jc w:val="center"/>
        </w:trPr>
        <w:tc>
          <w:tcPr>
            <w:tcW w:w="8580"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Standartizuotas mirtingumas dėl priežasčių, susijusių su alkoholio vartojimu, 100 000 gyventojų</w:t>
            </w:r>
          </w:p>
        </w:tc>
        <w:tc>
          <w:tcPr>
            <w:tcW w:w="1461"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43,1</w:t>
            </w:r>
          </w:p>
        </w:tc>
        <w:tc>
          <w:tcPr>
            <w:tcW w:w="1090"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17,7</w:t>
            </w:r>
          </w:p>
        </w:tc>
        <w:tc>
          <w:tcPr>
            <w:tcW w:w="1134"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0,0</w:t>
            </w:r>
          </w:p>
        </w:tc>
        <w:tc>
          <w:tcPr>
            <w:tcW w:w="1178"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45,1</w:t>
            </w:r>
          </w:p>
        </w:tc>
        <w:tc>
          <w:tcPr>
            <w:tcW w:w="1276" w:type="dxa"/>
            <w:shd w:val="clear" w:color="auto" w:fill="FF0000"/>
          </w:tcPr>
          <w:p w:rsidR="00CD356A" w:rsidRPr="00943487" w:rsidRDefault="000D7D52" w:rsidP="00943487">
            <w:pPr>
              <w:spacing w:after="0" w:line="240" w:lineRule="auto"/>
              <w:rPr>
                <w:rFonts w:eastAsia="Calibri" w:cs="Times New Roman"/>
                <w:szCs w:val="24"/>
              </w:rPr>
            </w:pPr>
            <w:r>
              <w:rPr>
                <w:rFonts w:eastAsia="Calibri" w:cs="Times New Roman"/>
                <w:szCs w:val="24"/>
              </w:rPr>
              <w:t>2,4</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Nusikalstamos veikos, susijusios su disponavimu narkotinėmis medžiagomis ir jų kontrabanda (nusikaltimai), 100 000 gyventojų</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23,9</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85,8</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3,9</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442,1</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0,3</w:t>
            </w:r>
          </w:p>
        </w:tc>
      </w:tr>
      <w:tr w:rsidR="00CD356A" w:rsidRPr="00943487" w:rsidTr="00C47FD9">
        <w:trPr>
          <w:trHeight w:val="401"/>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lastRenderedPageBreak/>
              <w:t xml:space="preserve">Gyventojų skaičius, tenkantis vienai licencijai verstis mažmenine prekyba tabako gaminiais </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124,8</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189,9</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49,8</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415,9</w:t>
            </w:r>
          </w:p>
        </w:tc>
        <w:tc>
          <w:tcPr>
            <w:tcW w:w="1276" w:type="dxa"/>
            <w:shd w:val="clear" w:color="auto" w:fill="FF0000"/>
          </w:tcPr>
          <w:p w:rsidR="00CD356A" w:rsidRPr="00943487" w:rsidRDefault="000D7D52" w:rsidP="00943487">
            <w:pPr>
              <w:spacing w:after="0" w:line="240" w:lineRule="auto"/>
              <w:rPr>
                <w:rFonts w:eastAsia="Calibri" w:cs="Times New Roman"/>
                <w:szCs w:val="24"/>
              </w:rPr>
            </w:pPr>
            <w:r>
              <w:rPr>
                <w:rFonts w:eastAsia="Calibri" w:cs="Times New Roman"/>
                <w:szCs w:val="24"/>
              </w:rPr>
              <w:t>0,7</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Gyventojų skaičius, tenkantis vienai licencijai verstis mažmenine prekyba alkoholiniais gėrimais</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117,8</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166,8</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32,5</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359,2</w:t>
            </w:r>
          </w:p>
        </w:tc>
        <w:tc>
          <w:tcPr>
            <w:tcW w:w="1276" w:type="dxa"/>
            <w:shd w:val="clear" w:color="auto" w:fill="FF0000"/>
          </w:tcPr>
          <w:p w:rsidR="00CD356A" w:rsidRPr="00943487" w:rsidRDefault="000D7D52" w:rsidP="00943487">
            <w:pPr>
              <w:spacing w:after="0" w:line="240" w:lineRule="auto"/>
              <w:rPr>
                <w:rFonts w:eastAsia="Calibri" w:cs="Times New Roman"/>
                <w:szCs w:val="24"/>
              </w:rPr>
            </w:pPr>
            <w:r>
              <w:rPr>
                <w:rFonts w:eastAsia="Calibri" w:cs="Times New Roman"/>
                <w:szCs w:val="24"/>
              </w:rPr>
              <w:t>0,7</w:t>
            </w:r>
          </w:p>
        </w:tc>
      </w:tr>
      <w:tr w:rsidR="00CD356A" w:rsidRPr="00943487" w:rsidTr="00B900D6">
        <w:trPr>
          <w:jc w:val="center"/>
        </w:trPr>
        <w:tc>
          <w:tcPr>
            <w:tcW w:w="14719" w:type="dxa"/>
            <w:gridSpan w:val="6"/>
          </w:tcPr>
          <w:p w:rsidR="00CD356A" w:rsidRPr="00943487" w:rsidRDefault="00CD356A" w:rsidP="00943487">
            <w:pPr>
              <w:spacing w:after="0" w:line="240" w:lineRule="auto"/>
              <w:rPr>
                <w:rFonts w:eastAsia="Calibri" w:cs="Times New Roman"/>
                <w:szCs w:val="24"/>
              </w:rPr>
            </w:pPr>
            <w:r w:rsidRPr="00943487">
              <w:rPr>
                <w:rFonts w:eastAsia="Calibri" w:cs="Times New Roman"/>
                <w:b/>
                <w:szCs w:val="24"/>
              </w:rPr>
              <w:t>3.2. Skatinti sveikos mitybos įpročius</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Kūdikių, išimtinai žindytų iki 6 mėn. amžiaus, dalis (proc.)</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14,5</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36,7</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11,7</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73,5</w:t>
            </w:r>
          </w:p>
        </w:tc>
        <w:tc>
          <w:tcPr>
            <w:tcW w:w="1276" w:type="dxa"/>
            <w:shd w:val="clear" w:color="auto" w:fill="FF0000"/>
          </w:tcPr>
          <w:p w:rsidR="00CD356A" w:rsidRPr="00943487" w:rsidRDefault="000D7D52" w:rsidP="00943487">
            <w:pPr>
              <w:spacing w:after="0" w:line="240" w:lineRule="auto"/>
              <w:rPr>
                <w:rFonts w:eastAsia="Calibri" w:cs="Times New Roman"/>
                <w:szCs w:val="24"/>
              </w:rPr>
            </w:pPr>
            <w:r>
              <w:rPr>
                <w:rFonts w:eastAsia="Calibri" w:cs="Times New Roman"/>
                <w:szCs w:val="24"/>
              </w:rPr>
              <w:t>0,4</w:t>
            </w:r>
          </w:p>
        </w:tc>
      </w:tr>
      <w:tr w:rsidR="00CD356A" w:rsidRPr="00943487" w:rsidTr="00B900D6">
        <w:trPr>
          <w:jc w:val="center"/>
        </w:trPr>
        <w:tc>
          <w:tcPr>
            <w:tcW w:w="14719" w:type="dxa"/>
            <w:gridSpan w:val="6"/>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b/>
                <w:szCs w:val="24"/>
                <w:u w:val="single"/>
              </w:rPr>
              <w:t>4 tikslas.</w:t>
            </w:r>
            <w:r w:rsidRPr="00943487">
              <w:rPr>
                <w:rFonts w:eastAsia="Calibri" w:cs="Times New Roman"/>
                <w:szCs w:val="24"/>
                <w:u w:val="single"/>
              </w:rPr>
              <w:t xml:space="preserve"> </w:t>
            </w:r>
            <w:r w:rsidRPr="00943487">
              <w:rPr>
                <w:rFonts w:eastAsia="Calibri" w:cs="Times New Roman"/>
                <w:b/>
                <w:szCs w:val="24"/>
                <w:u w:val="single"/>
              </w:rPr>
              <w:t>Užtikrinti kokybišką ir efektyvią sveikatos priežiūrą, orientuotą į gyventojų poreikius</w:t>
            </w:r>
          </w:p>
        </w:tc>
      </w:tr>
      <w:tr w:rsidR="00CD356A" w:rsidRPr="00943487" w:rsidTr="00B900D6">
        <w:trPr>
          <w:jc w:val="center"/>
        </w:trPr>
        <w:tc>
          <w:tcPr>
            <w:tcW w:w="14719" w:type="dxa"/>
            <w:gridSpan w:val="6"/>
            <w:shd w:val="clear" w:color="auto" w:fill="FFFFFF" w:themeFill="background1"/>
          </w:tcPr>
          <w:p w:rsidR="00CD356A" w:rsidRPr="00943487" w:rsidRDefault="00CD356A" w:rsidP="00943487">
            <w:pPr>
              <w:spacing w:after="0" w:line="240" w:lineRule="auto"/>
              <w:rPr>
                <w:rFonts w:eastAsia="Calibri" w:cs="Times New Roman"/>
                <w:b/>
                <w:szCs w:val="24"/>
              </w:rPr>
            </w:pPr>
            <w:r w:rsidRPr="00943487">
              <w:rPr>
                <w:rFonts w:eastAsia="Calibri" w:cs="Times New Roman"/>
                <w:b/>
                <w:szCs w:val="24"/>
              </w:rPr>
              <w:t>4.1. Užtikrinti sveikatos sistemos tvarumą ir kokybę, plėtojant sveikatos technologijas, kurių efektyvumas pagrįstas mokslo įrodymais</w:t>
            </w:r>
          </w:p>
        </w:tc>
      </w:tr>
      <w:tr w:rsidR="00CD356A" w:rsidRPr="00943487" w:rsidTr="00C47FD9">
        <w:trPr>
          <w:jc w:val="center"/>
        </w:trPr>
        <w:tc>
          <w:tcPr>
            <w:tcW w:w="8580"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Išvengiamų hospitalizacijų skaičius 1 000 gyventojų</w:t>
            </w:r>
          </w:p>
        </w:tc>
        <w:tc>
          <w:tcPr>
            <w:tcW w:w="1461"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39,3</w:t>
            </w:r>
          </w:p>
        </w:tc>
        <w:tc>
          <w:tcPr>
            <w:tcW w:w="1090"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32,5</w:t>
            </w:r>
          </w:p>
        </w:tc>
        <w:tc>
          <w:tcPr>
            <w:tcW w:w="1134"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20,9</w:t>
            </w:r>
          </w:p>
        </w:tc>
        <w:tc>
          <w:tcPr>
            <w:tcW w:w="1178"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64,9</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1,2</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Išvengiamų hospitalizacijų dėl diabeto ir jo komplikacijų skaičius 1 000 gyventojų</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7,6</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6,9</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4,1</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10,0</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1,1</w:t>
            </w:r>
          </w:p>
        </w:tc>
      </w:tr>
      <w:tr w:rsidR="00CD356A" w:rsidRPr="00943487" w:rsidTr="00B900D6">
        <w:trPr>
          <w:jc w:val="center"/>
        </w:trPr>
        <w:tc>
          <w:tcPr>
            <w:tcW w:w="14719" w:type="dxa"/>
            <w:gridSpan w:val="6"/>
          </w:tcPr>
          <w:p w:rsidR="00CD356A" w:rsidRPr="00943487" w:rsidRDefault="00CD356A" w:rsidP="00943487">
            <w:pPr>
              <w:spacing w:after="0" w:line="240" w:lineRule="auto"/>
              <w:rPr>
                <w:rFonts w:eastAsia="Calibri" w:cs="Times New Roman"/>
                <w:szCs w:val="24"/>
              </w:rPr>
            </w:pPr>
            <w:r w:rsidRPr="00943487">
              <w:rPr>
                <w:rFonts w:eastAsia="Calibri" w:cs="Times New Roman"/>
                <w:b/>
                <w:szCs w:val="24"/>
              </w:rPr>
              <w:t>4.2. Plėtoti sveikatos infrastruktūrą ir gerinti sveikatos priežiūros paslaugų kokybę, saugą, prieinamumą ir į pacientą orientuotą sveikatos priežiūrą</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Slaugytojų, tenkančių vienam gydytojui, skaičius</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2,8</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2,0</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1,2</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6,2</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1,4</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Šeimos medicinos paslaugas teikiančių gydytojų skaičius 10 000 gyventojų</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7,4</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7,2</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2,6</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13,6</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1,0</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Apsilankymų pas gydytojus skaičius, tenkantis vienam gyventojui</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7,9</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9,1</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6,5</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11,3</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0,9</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Sergamumas vaistams atsparia tuberkulioze (A15-A19) 100 000 gyventojų (nauji atvejai)</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7,4</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3,1</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13,9</w:t>
            </w:r>
          </w:p>
        </w:tc>
        <w:tc>
          <w:tcPr>
            <w:tcW w:w="1276" w:type="dxa"/>
            <w:shd w:val="clear" w:color="auto" w:fill="FF0000"/>
          </w:tcPr>
          <w:p w:rsidR="00CD356A" w:rsidRPr="00943487" w:rsidRDefault="000D7D52" w:rsidP="00943487">
            <w:pPr>
              <w:spacing w:after="0" w:line="240" w:lineRule="auto"/>
              <w:rPr>
                <w:rFonts w:eastAsia="Calibri" w:cs="Times New Roman"/>
                <w:szCs w:val="24"/>
              </w:rPr>
            </w:pPr>
            <w:r>
              <w:rPr>
                <w:rFonts w:eastAsia="Calibri" w:cs="Times New Roman"/>
                <w:szCs w:val="24"/>
              </w:rPr>
              <w:t>2,3</w:t>
            </w:r>
          </w:p>
        </w:tc>
      </w:tr>
      <w:tr w:rsidR="00CD356A" w:rsidRPr="00943487" w:rsidTr="00C47FD9">
        <w:trPr>
          <w:jc w:val="center"/>
        </w:trPr>
        <w:tc>
          <w:tcPr>
            <w:tcW w:w="8580"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Sergamumas vaistams atsparia tuberkulioze (A15-A19) 100 000 gyv. (visi)</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5,7</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6,1</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17,2</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0,9</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Sergamumas ŽIV ir lytiškai plintančiomis ligomis B20-B22, B23 (B23.0-B23.2, B23.8), B24, Z21, A50 (A50.0-A50.7, A50.9), A51-A53, A54 (A54.0-A54.6, A54.8, A54.9), A56 (A56.0-A56.4, A56.8) 10 000 gyventojų</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0,9</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2,2</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5,1</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0,4</w:t>
            </w:r>
          </w:p>
        </w:tc>
      </w:tr>
      <w:tr w:rsidR="00CD356A" w:rsidRPr="00943487" w:rsidTr="00B900D6">
        <w:trPr>
          <w:jc w:val="center"/>
        </w:trPr>
        <w:tc>
          <w:tcPr>
            <w:tcW w:w="14719" w:type="dxa"/>
            <w:gridSpan w:val="6"/>
          </w:tcPr>
          <w:p w:rsidR="00CD356A" w:rsidRPr="00943487" w:rsidRDefault="00CD356A" w:rsidP="00943487">
            <w:pPr>
              <w:spacing w:after="0" w:line="240" w:lineRule="auto"/>
              <w:rPr>
                <w:rFonts w:eastAsia="Calibri" w:cs="Times New Roman"/>
                <w:szCs w:val="24"/>
              </w:rPr>
            </w:pPr>
            <w:r w:rsidRPr="00943487">
              <w:rPr>
                <w:rFonts w:eastAsia="Calibri" w:cs="Times New Roman"/>
                <w:b/>
                <w:szCs w:val="24"/>
              </w:rPr>
              <w:t>4.3. Pagerinti motinos ir vaiko sveikatą</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Kūdikių (vaikų iki 1 m. amžiaus) mirtingumas 1 000 gyvų gimusių kūdikių</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2,6</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3,4</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16,5</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0,8</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 metų amžiaus vaikų MMR (tymų, epideminio parotito, raudonukės vakcina, 1 dozė) skiepijimo apimtys, proc.</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95,67</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92,1</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83,0</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99,5</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1,0</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 metų amžiaus vaikų DTP3 (difterijos, stabligės, kokliušo), poliomielito ir B tipo Haemophilus  influenzae infekcijos vakcinos skiepijimo apimtys (3 dozės), proc.</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91,2</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92,3</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70,0</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97,7</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1,0</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Tikslinės populiacijos (6-14 m.) dalis, dalyvavusi vaikų krūminių dantų dengimo silantinėmis medžiagomis programoje, proc.</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24,3</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14,5</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5,7</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52,7</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1,7</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color w:val="FFD966"/>
                <w:szCs w:val="24"/>
              </w:rPr>
            </w:pPr>
            <w:r w:rsidRPr="00943487">
              <w:rPr>
                <w:rFonts w:eastAsia="Calibri" w:cs="Times New Roman"/>
                <w:szCs w:val="24"/>
              </w:rPr>
              <w:t>Vaikų, neturinčių ėduonies pažeistų, plombuotų ir išrautų dantų, dalis (proc.)</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17,9</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18,9</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7,5</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28,3</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1,0</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Paauglių (15–17 m.) gimdymų skaičius 1000 gyv.</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2,4</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4,4</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0,0</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15,8</w:t>
            </w:r>
          </w:p>
        </w:tc>
        <w:tc>
          <w:tcPr>
            <w:tcW w:w="1276" w:type="dxa"/>
            <w:shd w:val="clear" w:color="auto" w:fill="92D050"/>
          </w:tcPr>
          <w:p w:rsidR="00CD356A" w:rsidRPr="00943487" w:rsidRDefault="000D7D52" w:rsidP="00943487">
            <w:pPr>
              <w:spacing w:after="0" w:line="240" w:lineRule="auto"/>
              <w:rPr>
                <w:rFonts w:eastAsia="Calibri" w:cs="Times New Roman"/>
                <w:szCs w:val="24"/>
              </w:rPr>
            </w:pPr>
            <w:r>
              <w:rPr>
                <w:rFonts w:eastAsia="Calibri" w:cs="Times New Roman"/>
                <w:szCs w:val="24"/>
              </w:rPr>
              <w:t>0,5</w:t>
            </w:r>
          </w:p>
        </w:tc>
      </w:tr>
      <w:tr w:rsidR="00CD356A" w:rsidRPr="00943487" w:rsidTr="00B900D6">
        <w:trPr>
          <w:jc w:val="center"/>
        </w:trPr>
        <w:tc>
          <w:tcPr>
            <w:tcW w:w="14719" w:type="dxa"/>
            <w:gridSpan w:val="6"/>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b/>
                <w:szCs w:val="24"/>
              </w:rPr>
              <w:t>4.4. Stiprinti lėtinių neinfekcinių ligų prevenciją ir kontrolę</w:t>
            </w:r>
          </w:p>
        </w:tc>
      </w:tr>
      <w:tr w:rsidR="00CD356A" w:rsidRPr="00943487" w:rsidTr="00C47FD9">
        <w:trPr>
          <w:jc w:val="center"/>
        </w:trPr>
        <w:tc>
          <w:tcPr>
            <w:tcW w:w="8580"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Mirtingumas nuo kraujotakos sistemos ligų (I00-I99) 100 000 gyventojų</w:t>
            </w:r>
          </w:p>
        </w:tc>
        <w:tc>
          <w:tcPr>
            <w:tcW w:w="1461"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1190,7</w:t>
            </w:r>
          </w:p>
        </w:tc>
        <w:tc>
          <w:tcPr>
            <w:tcW w:w="1090"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782,5</w:t>
            </w:r>
          </w:p>
        </w:tc>
        <w:tc>
          <w:tcPr>
            <w:tcW w:w="1134" w:type="dxa"/>
            <w:shd w:val="clear" w:color="auto" w:fill="FFFFFF" w:themeFill="background1"/>
          </w:tcPr>
          <w:p w:rsidR="00CD356A" w:rsidRPr="00943487" w:rsidRDefault="00C9050B" w:rsidP="00943487">
            <w:pPr>
              <w:spacing w:after="0" w:line="240" w:lineRule="auto"/>
              <w:rPr>
                <w:rFonts w:eastAsia="Calibri" w:cs="Times New Roman"/>
                <w:szCs w:val="24"/>
              </w:rPr>
            </w:pPr>
            <w:r>
              <w:rPr>
                <w:rFonts w:eastAsia="Calibri" w:cs="Times New Roman"/>
                <w:szCs w:val="24"/>
              </w:rPr>
              <w:t>531,6</w:t>
            </w:r>
          </w:p>
        </w:tc>
        <w:tc>
          <w:tcPr>
            <w:tcW w:w="1178" w:type="dxa"/>
            <w:shd w:val="clear" w:color="auto" w:fill="FFFFFF" w:themeFill="background1"/>
          </w:tcPr>
          <w:p w:rsidR="00CD356A" w:rsidRPr="00943487" w:rsidRDefault="00C9050B" w:rsidP="00943487">
            <w:pPr>
              <w:spacing w:after="0" w:line="240" w:lineRule="auto"/>
              <w:rPr>
                <w:rFonts w:eastAsia="Calibri" w:cs="Times New Roman"/>
                <w:szCs w:val="24"/>
              </w:rPr>
            </w:pPr>
            <w:r>
              <w:rPr>
                <w:rFonts w:eastAsia="Calibri" w:cs="Times New Roman"/>
                <w:szCs w:val="24"/>
              </w:rPr>
              <w:t>1372,3</w:t>
            </w:r>
          </w:p>
        </w:tc>
        <w:tc>
          <w:tcPr>
            <w:tcW w:w="1276" w:type="dxa"/>
            <w:shd w:val="clear" w:color="auto" w:fill="FF0000"/>
          </w:tcPr>
          <w:p w:rsidR="00CD356A" w:rsidRPr="00943487" w:rsidRDefault="000D7D52" w:rsidP="00943487">
            <w:pPr>
              <w:spacing w:after="0" w:line="240" w:lineRule="auto"/>
              <w:rPr>
                <w:rFonts w:eastAsia="Calibri" w:cs="Times New Roman"/>
                <w:szCs w:val="24"/>
              </w:rPr>
            </w:pPr>
            <w:r>
              <w:rPr>
                <w:rFonts w:eastAsia="Calibri" w:cs="Times New Roman"/>
                <w:szCs w:val="24"/>
              </w:rPr>
              <w:t>1,5</w:t>
            </w:r>
          </w:p>
        </w:tc>
      </w:tr>
      <w:tr w:rsidR="00CD356A" w:rsidRPr="00943487" w:rsidTr="00C47FD9">
        <w:trPr>
          <w:jc w:val="center"/>
        </w:trPr>
        <w:tc>
          <w:tcPr>
            <w:tcW w:w="8580"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Standartizuotas mirtingumas nuo kraujotakos sistemos ligų (I00-I99) 100 000 gyventojų</w:t>
            </w:r>
          </w:p>
        </w:tc>
        <w:tc>
          <w:tcPr>
            <w:tcW w:w="1461"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915,7</w:t>
            </w:r>
          </w:p>
        </w:tc>
        <w:tc>
          <w:tcPr>
            <w:tcW w:w="1090"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744,5</w:t>
            </w:r>
          </w:p>
        </w:tc>
        <w:tc>
          <w:tcPr>
            <w:tcW w:w="1134"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619,5</w:t>
            </w:r>
          </w:p>
        </w:tc>
        <w:tc>
          <w:tcPr>
            <w:tcW w:w="1178" w:type="dxa"/>
            <w:shd w:val="clear" w:color="auto" w:fill="FFFFFF" w:themeFill="background1"/>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1059,0</w:t>
            </w:r>
          </w:p>
        </w:tc>
        <w:tc>
          <w:tcPr>
            <w:tcW w:w="1276" w:type="dxa"/>
            <w:shd w:val="clear" w:color="auto" w:fill="FF0000"/>
          </w:tcPr>
          <w:p w:rsidR="00CD356A" w:rsidRPr="00943487" w:rsidRDefault="000D7D52" w:rsidP="00943487">
            <w:pPr>
              <w:spacing w:after="0" w:line="240" w:lineRule="auto"/>
              <w:rPr>
                <w:rFonts w:eastAsia="Calibri" w:cs="Times New Roman"/>
                <w:szCs w:val="24"/>
              </w:rPr>
            </w:pPr>
            <w:r>
              <w:rPr>
                <w:rFonts w:eastAsia="Calibri" w:cs="Times New Roman"/>
                <w:szCs w:val="24"/>
              </w:rPr>
              <w:t>1,2</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Mirtingumas nuo piktybinių navikų (C00-C96) 100 000 gyv.</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351,0</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286,6</w:t>
            </w:r>
          </w:p>
        </w:tc>
        <w:tc>
          <w:tcPr>
            <w:tcW w:w="1134" w:type="dxa"/>
            <w:shd w:val="clear" w:color="auto" w:fill="FFFFFF" w:themeFill="background1"/>
          </w:tcPr>
          <w:p w:rsidR="00CD356A" w:rsidRPr="00943487" w:rsidRDefault="00125B69" w:rsidP="00943487">
            <w:pPr>
              <w:spacing w:after="0" w:line="240" w:lineRule="auto"/>
              <w:rPr>
                <w:rFonts w:eastAsia="Calibri" w:cs="Times New Roman"/>
                <w:szCs w:val="24"/>
              </w:rPr>
            </w:pPr>
            <w:r>
              <w:rPr>
                <w:rFonts w:eastAsia="Calibri" w:cs="Times New Roman"/>
                <w:szCs w:val="24"/>
              </w:rPr>
              <w:t>188,5</w:t>
            </w:r>
          </w:p>
        </w:tc>
        <w:tc>
          <w:tcPr>
            <w:tcW w:w="1178" w:type="dxa"/>
            <w:shd w:val="clear" w:color="auto" w:fill="FFFFFF" w:themeFill="background1"/>
          </w:tcPr>
          <w:p w:rsidR="00CD356A" w:rsidRPr="00943487" w:rsidRDefault="00125B69" w:rsidP="00943487">
            <w:pPr>
              <w:spacing w:after="0" w:line="240" w:lineRule="auto"/>
              <w:rPr>
                <w:rFonts w:eastAsia="Calibri" w:cs="Times New Roman"/>
                <w:szCs w:val="24"/>
              </w:rPr>
            </w:pPr>
            <w:r>
              <w:rPr>
                <w:rFonts w:eastAsia="Calibri" w:cs="Times New Roman"/>
                <w:szCs w:val="24"/>
              </w:rPr>
              <w:t>407,6</w:t>
            </w:r>
          </w:p>
        </w:tc>
        <w:tc>
          <w:tcPr>
            <w:tcW w:w="1276" w:type="dxa"/>
            <w:shd w:val="clear" w:color="auto" w:fill="FF0000"/>
          </w:tcPr>
          <w:p w:rsidR="00CD356A" w:rsidRPr="00943487" w:rsidRDefault="000D7D52" w:rsidP="00943487">
            <w:pPr>
              <w:spacing w:after="0" w:line="240" w:lineRule="auto"/>
              <w:rPr>
                <w:rFonts w:eastAsia="Calibri" w:cs="Times New Roman"/>
                <w:szCs w:val="24"/>
              </w:rPr>
            </w:pPr>
            <w:r>
              <w:rPr>
                <w:rFonts w:eastAsia="Calibri" w:cs="Times New Roman"/>
                <w:szCs w:val="24"/>
              </w:rPr>
              <w:t>1,2</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Standartizuotas mirtingumas nuo piktybinių navikų (C00-C96) 100 000 gyv.</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287,4</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274,7</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219,6</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347,1</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1,0</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lastRenderedPageBreak/>
              <w:t>Mirtingumas nuo cerebrovaskulinių ligų (I60-I69) 100 000 gyventojų</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459,4</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191,0</w:t>
            </w:r>
          </w:p>
        </w:tc>
        <w:tc>
          <w:tcPr>
            <w:tcW w:w="1134" w:type="dxa"/>
            <w:shd w:val="clear" w:color="auto" w:fill="FFFFFF" w:themeFill="background1"/>
          </w:tcPr>
          <w:p w:rsidR="00CD356A" w:rsidRPr="00943487" w:rsidRDefault="00A30B9A" w:rsidP="00943487">
            <w:pPr>
              <w:spacing w:after="0" w:line="240" w:lineRule="auto"/>
              <w:rPr>
                <w:rFonts w:eastAsia="Calibri" w:cs="Times New Roman"/>
                <w:szCs w:val="24"/>
              </w:rPr>
            </w:pPr>
            <w:r>
              <w:rPr>
                <w:rFonts w:eastAsia="Calibri" w:cs="Times New Roman"/>
                <w:szCs w:val="24"/>
              </w:rPr>
              <w:t>102,3</w:t>
            </w:r>
          </w:p>
        </w:tc>
        <w:tc>
          <w:tcPr>
            <w:tcW w:w="1178" w:type="dxa"/>
            <w:shd w:val="clear" w:color="auto" w:fill="FFFFFF" w:themeFill="background1"/>
          </w:tcPr>
          <w:p w:rsidR="00CD356A" w:rsidRPr="00943487" w:rsidRDefault="00CD356A" w:rsidP="00943487">
            <w:pPr>
              <w:spacing w:after="0" w:line="240" w:lineRule="auto"/>
              <w:rPr>
                <w:rFonts w:eastAsia="Calibri" w:cs="Times New Roman"/>
                <w:szCs w:val="24"/>
              </w:rPr>
            </w:pPr>
            <w:r>
              <w:rPr>
                <w:rFonts w:eastAsia="Calibri" w:cs="Times New Roman"/>
                <w:szCs w:val="24"/>
              </w:rPr>
              <w:t>610,5</w:t>
            </w:r>
          </w:p>
        </w:tc>
        <w:tc>
          <w:tcPr>
            <w:tcW w:w="1276" w:type="dxa"/>
            <w:shd w:val="clear" w:color="auto" w:fill="FF0000"/>
          </w:tcPr>
          <w:p w:rsidR="00CD356A" w:rsidRPr="00943487" w:rsidRDefault="000D7D52" w:rsidP="00943487">
            <w:pPr>
              <w:spacing w:after="0" w:line="240" w:lineRule="auto"/>
              <w:rPr>
                <w:rFonts w:eastAsia="Calibri" w:cs="Times New Roman"/>
                <w:szCs w:val="24"/>
              </w:rPr>
            </w:pPr>
            <w:r>
              <w:rPr>
                <w:rFonts w:eastAsia="Calibri" w:cs="Times New Roman"/>
                <w:szCs w:val="24"/>
              </w:rPr>
              <w:t>2,4</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Standartizuotas mirtingumas nuo cerebrovaskulinių ligų (I60-I69) 100 000 gyventojų</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351,1</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181,8</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83,8</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485,7</w:t>
            </w:r>
          </w:p>
        </w:tc>
        <w:tc>
          <w:tcPr>
            <w:tcW w:w="1276" w:type="dxa"/>
            <w:shd w:val="clear" w:color="auto" w:fill="FF0000"/>
          </w:tcPr>
          <w:p w:rsidR="00CD356A" w:rsidRPr="00943487" w:rsidRDefault="000D7D52" w:rsidP="00943487">
            <w:pPr>
              <w:spacing w:after="0" w:line="240" w:lineRule="auto"/>
              <w:rPr>
                <w:rFonts w:eastAsia="Calibri" w:cs="Times New Roman"/>
                <w:szCs w:val="24"/>
              </w:rPr>
            </w:pPr>
            <w:r>
              <w:rPr>
                <w:rFonts w:eastAsia="Calibri" w:cs="Times New Roman"/>
                <w:szCs w:val="24"/>
              </w:rPr>
              <w:t>1,9</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Sergamumas II tipo cukriniu diabetu (E11) 10 000 gyventojų</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49,1</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56,6</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26,9</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112,0</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0,9</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Tikslinės populiacijos dalis (proc.), dalyvavusi atrankinės mamografinės patikros dėl krūties vėžio finansavimo programoje 2017- 2018 m.</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34,2</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50,2</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13,8</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71,7</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0,7</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Tikslinės populiacijos dalis (proc.), dalyvavusi gimdos kaklelio piktybinių navikų prevencinių priemonių, apmokamų iš Privalomojo sveikatos draudimo biudžeto lėšų, finansavimo programoje 2016-2018 m.</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40,1</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52,7</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28,9</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72,0</w:t>
            </w:r>
          </w:p>
        </w:tc>
        <w:tc>
          <w:tcPr>
            <w:tcW w:w="1276" w:type="dxa"/>
            <w:shd w:val="clear" w:color="auto" w:fill="FF0000"/>
          </w:tcPr>
          <w:p w:rsidR="00CD356A" w:rsidRPr="00943487" w:rsidRDefault="000D7D52" w:rsidP="00943487">
            <w:pPr>
              <w:spacing w:after="0" w:line="240" w:lineRule="auto"/>
              <w:rPr>
                <w:rFonts w:eastAsia="Calibri" w:cs="Times New Roman"/>
                <w:szCs w:val="24"/>
              </w:rPr>
            </w:pPr>
            <w:r>
              <w:rPr>
                <w:rFonts w:eastAsia="Calibri" w:cs="Times New Roman"/>
                <w:szCs w:val="24"/>
              </w:rPr>
              <w:t>0,8</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Tikslinės populiacijos dalis (proc.), dalyvavusi storosios žarnos vėžio ankstyvosios diagnostikos finansavimo programoje 2017-2018 m.</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43,4</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53,1</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28,6</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66,0</w:t>
            </w:r>
          </w:p>
        </w:tc>
        <w:tc>
          <w:tcPr>
            <w:tcW w:w="1276" w:type="dxa"/>
            <w:shd w:val="clear" w:color="auto" w:fill="FFFF00"/>
          </w:tcPr>
          <w:p w:rsidR="00CD356A" w:rsidRPr="00943487" w:rsidRDefault="003E1BF6" w:rsidP="00943487">
            <w:pPr>
              <w:spacing w:after="0" w:line="240" w:lineRule="auto"/>
              <w:rPr>
                <w:rFonts w:eastAsia="Calibri" w:cs="Times New Roman"/>
                <w:szCs w:val="24"/>
              </w:rPr>
            </w:pPr>
            <w:r>
              <w:rPr>
                <w:rFonts w:eastAsia="Calibri" w:cs="Times New Roman"/>
                <w:szCs w:val="24"/>
              </w:rPr>
              <w:t>0,8</w:t>
            </w:r>
          </w:p>
        </w:tc>
      </w:tr>
      <w:tr w:rsidR="00CD356A" w:rsidRPr="00943487" w:rsidTr="00C47FD9">
        <w:trPr>
          <w:jc w:val="center"/>
        </w:trPr>
        <w:tc>
          <w:tcPr>
            <w:tcW w:w="858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 xml:space="preserve">Tikslinės populiacijos dalis (proc.), dalyvavusi širdies ir kraujagyslių ligų didelės rizikos </w:t>
            </w:r>
          </w:p>
          <w:p w:rsidR="00CD356A" w:rsidRPr="00943487" w:rsidRDefault="00CD356A" w:rsidP="00943487">
            <w:pPr>
              <w:spacing w:after="0" w:line="240" w:lineRule="auto"/>
              <w:rPr>
                <w:rFonts w:eastAsia="Calibri" w:cs="Times New Roman"/>
                <w:szCs w:val="24"/>
              </w:rPr>
            </w:pPr>
            <w:r w:rsidRPr="00943487">
              <w:rPr>
                <w:rFonts w:eastAsia="Calibri" w:cs="Times New Roman"/>
                <w:szCs w:val="24"/>
              </w:rPr>
              <w:t>grupės prevencinėje programoje 2018 m.</w:t>
            </w:r>
          </w:p>
        </w:tc>
        <w:tc>
          <w:tcPr>
            <w:tcW w:w="1461"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36,5</w:t>
            </w:r>
          </w:p>
        </w:tc>
        <w:tc>
          <w:tcPr>
            <w:tcW w:w="1090"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42,9</w:t>
            </w:r>
          </w:p>
        </w:tc>
        <w:tc>
          <w:tcPr>
            <w:tcW w:w="1134"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26,2</w:t>
            </w:r>
          </w:p>
        </w:tc>
        <w:tc>
          <w:tcPr>
            <w:tcW w:w="1178" w:type="dxa"/>
          </w:tcPr>
          <w:p w:rsidR="00CD356A" w:rsidRPr="00943487" w:rsidRDefault="00CD356A" w:rsidP="00943487">
            <w:pPr>
              <w:spacing w:after="0" w:line="240" w:lineRule="auto"/>
              <w:rPr>
                <w:rFonts w:eastAsia="Calibri" w:cs="Times New Roman"/>
                <w:szCs w:val="24"/>
              </w:rPr>
            </w:pPr>
            <w:r w:rsidRPr="00943487">
              <w:rPr>
                <w:rFonts w:eastAsia="Calibri" w:cs="Times New Roman"/>
                <w:szCs w:val="24"/>
              </w:rPr>
              <w:t>61,4</w:t>
            </w:r>
          </w:p>
        </w:tc>
        <w:tc>
          <w:tcPr>
            <w:tcW w:w="1276" w:type="dxa"/>
            <w:shd w:val="clear" w:color="auto" w:fill="FFFF00"/>
          </w:tcPr>
          <w:p w:rsidR="00CD356A" w:rsidRPr="00943487" w:rsidRDefault="000D7D52" w:rsidP="00943487">
            <w:pPr>
              <w:spacing w:after="0" w:line="240" w:lineRule="auto"/>
              <w:rPr>
                <w:rFonts w:eastAsia="Calibri" w:cs="Times New Roman"/>
                <w:szCs w:val="24"/>
              </w:rPr>
            </w:pPr>
            <w:r>
              <w:rPr>
                <w:rFonts w:eastAsia="Calibri" w:cs="Times New Roman"/>
                <w:szCs w:val="24"/>
              </w:rPr>
              <w:t>0,9</w:t>
            </w:r>
          </w:p>
        </w:tc>
      </w:tr>
    </w:tbl>
    <w:p w:rsidR="00943487" w:rsidRDefault="00943487" w:rsidP="00943487">
      <w:pPr>
        <w:tabs>
          <w:tab w:val="left" w:pos="3360"/>
        </w:tabs>
        <w:spacing w:after="0" w:line="360" w:lineRule="auto"/>
        <w:ind w:firstLine="851"/>
        <w:jc w:val="both"/>
        <w:rPr>
          <w:rFonts w:cs="Times New Roman"/>
          <w:szCs w:val="24"/>
        </w:rPr>
      </w:pPr>
    </w:p>
    <w:p w:rsidR="00943487" w:rsidRDefault="00943487" w:rsidP="00943487">
      <w:pPr>
        <w:tabs>
          <w:tab w:val="left" w:pos="3360"/>
        </w:tabs>
        <w:spacing w:after="0" w:line="360" w:lineRule="auto"/>
        <w:ind w:firstLine="851"/>
        <w:jc w:val="both"/>
        <w:rPr>
          <w:rFonts w:cs="Times New Roman"/>
          <w:szCs w:val="24"/>
        </w:rPr>
      </w:pPr>
    </w:p>
    <w:p w:rsidR="00943487" w:rsidRDefault="00943487" w:rsidP="00943487">
      <w:pPr>
        <w:tabs>
          <w:tab w:val="left" w:pos="3360"/>
        </w:tabs>
        <w:spacing w:after="0" w:line="360" w:lineRule="auto"/>
        <w:ind w:firstLine="567"/>
        <w:jc w:val="both"/>
        <w:rPr>
          <w:rFonts w:cs="Times New Roman"/>
          <w:szCs w:val="24"/>
        </w:rPr>
      </w:pPr>
    </w:p>
    <w:p w:rsidR="00943487" w:rsidRDefault="00943487" w:rsidP="00943487">
      <w:pPr>
        <w:tabs>
          <w:tab w:val="left" w:pos="3360"/>
        </w:tabs>
        <w:spacing w:after="0" w:line="360" w:lineRule="auto"/>
        <w:ind w:firstLine="567"/>
        <w:jc w:val="both"/>
        <w:rPr>
          <w:rFonts w:cs="Times New Roman"/>
          <w:szCs w:val="24"/>
        </w:rPr>
      </w:pPr>
    </w:p>
    <w:p w:rsidR="00943487" w:rsidRDefault="00943487" w:rsidP="00943487">
      <w:pPr>
        <w:tabs>
          <w:tab w:val="left" w:pos="3360"/>
        </w:tabs>
        <w:spacing w:after="0" w:line="360" w:lineRule="auto"/>
        <w:ind w:firstLine="567"/>
        <w:jc w:val="both"/>
        <w:rPr>
          <w:rFonts w:cs="Times New Roman"/>
          <w:szCs w:val="24"/>
        </w:rPr>
      </w:pPr>
    </w:p>
    <w:p w:rsidR="00943487" w:rsidRPr="008C0F1C" w:rsidRDefault="00943487" w:rsidP="00943487">
      <w:pPr>
        <w:rPr>
          <w:rFonts w:cs="Times New Roman"/>
          <w:szCs w:val="24"/>
        </w:rPr>
        <w:sectPr w:rsidR="00943487" w:rsidRPr="008C0F1C" w:rsidSect="00B900D6">
          <w:pgSz w:w="16838" w:h="11906" w:orient="landscape"/>
          <w:pgMar w:top="993" w:right="1701" w:bottom="567" w:left="1134" w:header="567" w:footer="567" w:gutter="0"/>
          <w:cols w:space="1296"/>
          <w:titlePg/>
          <w:docGrid w:linePitch="360"/>
        </w:sectPr>
      </w:pPr>
    </w:p>
    <w:p w:rsidR="00943487" w:rsidRPr="00E6160D" w:rsidRDefault="00943487" w:rsidP="00943487">
      <w:pPr>
        <w:pStyle w:val="Sraopastraipa"/>
        <w:spacing w:line="360" w:lineRule="auto"/>
        <w:ind w:left="284"/>
        <w:jc w:val="both"/>
      </w:pPr>
      <w:r>
        <w:rPr>
          <w:rFonts w:cs="Times New Roman"/>
          <w:szCs w:val="24"/>
        </w:rPr>
        <w:lastRenderedPageBreak/>
        <w:tab/>
        <w:t xml:space="preserve">Lietuvos statistikos departamento duomenimis, 2018 m. Molėtų rajone gyveno 17 646 žmonių. 2017 m. gyventojų skaičius buvo 18 132. Per metus gyventojų skaičius sumažėjo 486 žmonėmis. Per vienerius metus buvo registruoti 128 gimdymai, 7,3/1000 gyv., mirusiųjų – 396 (2 244,1/100 000 gyv.). 2018 m. 0-17 m. vaikų Molėtų rajone  buvo 2 546, o suaugusiųjų – 15 100. </w:t>
      </w:r>
      <w:r>
        <w:t xml:space="preserve">Molėtų mieste 2018 m. vyrų buvo 2 490,5 gyv., kaime – 6 009,5 gyv. Moterų, gyvenančių mieste, skaičius siekė 3 073 gyv., kaime – 6 073 gyv. </w:t>
      </w:r>
    </w:p>
    <w:p w:rsidR="00943487" w:rsidRPr="00A97C60" w:rsidRDefault="00344B59" w:rsidP="00344B59">
      <w:pPr>
        <w:tabs>
          <w:tab w:val="left" w:pos="1276"/>
        </w:tabs>
        <w:spacing w:after="0" w:line="360" w:lineRule="auto"/>
        <w:ind w:left="284"/>
        <w:jc w:val="both"/>
        <w:rPr>
          <w:rFonts w:cs="Times New Roman"/>
          <w:szCs w:val="24"/>
        </w:rPr>
      </w:pPr>
      <w:r>
        <w:rPr>
          <w:rFonts w:cs="Times New Roman"/>
          <w:szCs w:val="24"/>
        </w:rPr>
        <w:tab/>
      </w:r>
      <w:r w:rsidR="00943487" w:rsidRPr="00A97C60">
        <w:rPr>
          <w:rFonts w:cs="Times New Roman"/>
          <w:szCs w:val="24"/>
        </w:rPr>
        <w:t>Iš 1 lentelėje „Molėtų rajono savivaldybės visuomenės sveikatos stebėsenos rodiklių profilis“ pateiktų PRS rodiklių reikšmių matyti, kad:</w:t>
      </w:r>
    </w:p>
    <w:p w:rsidR="00943487" w:rsidRPr="00434EDF" w:rsidRDefault="00943487" w:rsidP="00943487">
      <w:pPr>
        <w:tabs>
          <w:tab w:val="left" w:pos="426"/>
        </w:tabs>
        <w:spacing w:after="0" w:line="360" w:lineRule="auto"/>
        <w:jc w:val="both"/>
        <w:rPr>
          <w:rFonts w:cs="Times New Roman"/>
          <w:szCs w:val="24"/>
        </w:rPr>
      </w:pPr>
      <w:r>
        <w:rPr>
          <w:rFonts w:cs="Times New Roman"/>
          <w:szCs w:val="24"/>
        </w:rPr>
        <w:tab/>
      </w:r>
      <w:r w:rsidRPr="00434EDF">
        <w:rPr>
          <w:rFonts w:cs="Times New Roman"/>
          <w:szCs w:val="24"/>
        </w:rPr>
        <w:t>1. Iš visų sveikatos rodiklių tik 2 yra geresni (</w:t>
      </w:r>
      <w:r w:rsidRPr="00344B59">
        <w:rPr>
          <w:rFonts w:cs="Times New Roman"/>
          <w:szCs w:val="24"/>
          <w:shd w:val="clear" w:color="auto" w:fill="00B050"/>
        </w:rPr>
        <w:t>žalioji zona</w:t>
      </w:r>
      <w:r w:rsidRPr="00434EDF">
        <w:rPr>
          <w:rFonts w:cs="Times New Roman"/>
          <w:szCs w:val="24"/>
        </w:rPr>
        <w:t>):</w:t>
      </w:r>
    </w:p>
    <w:p w:rsidR="00943487" w:rsidRDefault="00943487" w:rsidP="00943487">
      <w:pPr>
        <w:pStyle w:val="Sraopastraipa"/>
        <w:numPr>
          <w:ilvl w:val="0"/>
          <w:numId w:val="7"/>
        </w:numPr>
        <w:tabs>
          <w:tab w:val="left" w:pos="3360"/>
        </w:tabs>
        <w:spacing w:after="0" w:line="360" w:lineRule="auto"/>
        <w:jc w:val="both"/>
        <w:rPr>
          <w:rFonts w:cs="Times New Roman"/>
          <w:szCs w:val="24"/>
        </w:rPr>
      </w:pPr>
      <w:r w:rsidRPr="008C0F1C">
        <w:rPr>
          <w:rFonts w:cs="Times New Roman"/>
          <w:szCs w:val="24"/>
        </w:rPr>
        <w:t>Paauglių (15–17 m.) gimdymų skaičius 1000 gyv.</w:t>
      </w:r>
    </w:p>
    <w:p w:rsidR="00943487" w:rsidRDefault="00943487" w:rsidP="00943487">
      <w:pPr>
        <w:pStyle w:val="Sraopastraipa"/>
        <w:numPr>
          <w:ilvl w:val="0"/>
          <w:numId w:val="7"/>
        </w:numPr>
        <w:tabs>
          <w:tab w:val="left" w:pos="3360"/>
        </w:tabs>
        <w:spacing w:after="0" w:line="360" w:lineRule="auto"/>
        <w:jc w:val="both"/>
        <w:rPr>
          <w:rFonts w:cs="Times New Roman"/>
          <w:szCs w:val="24"/>
        </w:rPr>
      </w:pPr>
      <w:r w:rsidRPr="00434EDF">
        <w:rPr>
          <w:rFonts w:cs="Times New Roman"/>
          <w:szCs w:val="24"/>
        </w:rPr>
        <w:t>Mirtingumas</w:t>
      </w:r>
      <w:r>
        <w:rPr>
          <w:rFonts w:cs="Times New Roman"/>
          <w:szCs w:val="24"/>
        </w:rPr>
        <w:t>/s</w:t>
      </w:r>
      <w:r w:rsidRPr="00434EDF">
        <w:rPr>
          <w:rFonts w:cs="Times New Roman"/>
          <w:szCs w:val="24"/>
        </w:rPr>
        <w:t>tandartizuotas mirtingumas dėl priežasčių, susijusių su narkotikų vartojimu, 100 000 gyventojų</w:t>
      </w:r>
    </w:p>
    <w:p w:rsidR="00943487" w:rsidRDefault="00344B59" w:rsidP="00943487">
      <w:pPr>
        <w:pStyle w:val="Sraopastraipa"/>
        <w:tabs>
          <w:tab w:val="left" w:pos="3360"/>
        </w:tabs>
        <w:spacing w:after="0" w:line="360" w:lineRule="auto"/>
        <w:ind w:hanging="436"/>
        <w:jc w:val="both"/>
        <w:rPr>
          <w:rFonts w:cs="Times New Roman"/>
          <w:szCs w:val="24"/>
        </w:rPr>
      </w:pPr>
      <w:r>
        <w:rPr>
          <w:rFonts w:cs="Times New Roman"/>
          <w:szCs w:val="24"/>
        </w:rPr>
        <w:t xml:space="preserve">2. </w:t>
      </w:r>
      <w:r w:rsidR="00943487">
        <w:rPr>
          <w:rFonts w:cs="Times New Roman"/>
          <w:szCs w:val="24"/>
        </w:rPr>
        <w:t xml:space="preserve">Didelė dalis rodiklių reikšmių patenka į prasčiausių savivaldybių kvintilių grupę </w:t>
      </w:r>
      <w:r w:rsidR="00943487" w:rsidRPr="00003E96">
        <w:rPr>
          <w:rFonts w:cs="Times New Roman"/>
          <w:szCs w:val="24"/>
        </w:rPr>
        <w:t>(</w:t>
      </w:r>
      <w:r w:rsidR="00943487" w:rsidRPr="00344B59">
        <w:rPr>
          <w:rFonts w:cs="Times New Roman"/>
          <w:szCs w:val="24"/>
          <w:shd w:val="clear" w:color="auto" w:fill="FF0000"/>
        </w:rPr>
        <w:t>raudonoji zona</w:t>
      </w:r>
      <w:r w:rsidR="00943487" w:rsidRPr="00003E96">
        <w:rPr>
          <w:rFonts w:cs="Times New Roman"/>
          <w:szCs w:val="24"/>
        </w:rPr>
        <w:t>)</w:t>
      </w:r>
      <w:r w:rsidR="00943487">
        <w:rPr>
          <w:rFonts w:cs="Times New Roman"/>
          <w:szCs w:val="24"/>
        </w:rPr>
        <w:t>:</w:t>
      </w:r>
    </w:p>
    <w:p w:rsidR="00943487" w:rsidRDefault="00943487" w:rsidP="00943487">
      <w:pPr>
        <w:pStyle w:val="Sraopastraipa"/>
        <w:numPr>
          <w:ilvl w:val="0"/>
          <w:numId w:val="7"/>
        </w:numPr>
        <w:tabs>
          <w:tab w:val="left" w:pos="3360"/>
        </w:tabs>
        <w:spacing w:after="0" w:line="360" w:lineRule="auto"/>
        <w:jc w:val="both"/>
        <w:rPr>
          <w:rFonts w:cs="Times New Roman"/>
          <w:szCs w:val="24"/>
        </w:rPr>
      </w:pPr>
      <w:r w:rsidRPr="000D68C9">
        <w:rPr>
          <w:rFonts w:cs="Times New Roman"/>
          <w:szCs w:val="24"/>
        </w:rPr>
        <w:t>Vidutinė tikėtina gyvenimo trukmė</w:t>
      </w:r>
      <w:r>
        <w:rPr>
          <w:rFonts w:cs="Times New Roman"/>
          <w:szCs w:val="24"/>
        </w:rPr>
        <w:t>;</w:t>
      </w:r>
    </w:p>
    <w:p w:rsidR="00943487" w:rsidRPr="00A82B9E" w:rsidRDefault="00943487" w:rsidP="00943487">
      <w:pPr>
        <w:pStyle w:val="Sraopastraipa"/>
        <w:numPr>
          <w:ilvl w:val="0"/>
          <w:numId w:val="7"/>
        </w:numPr>
        <w:tabs>
          <w:tab w:val="left" w:pos="3360"/>
        </w:tabs>
        <w:spacing w:after="0" w:line="360" w:lineRule="auto"/>
        <w:jc w:val="both"/>
        <w:rPr>
          <w:rFonts w:cs="Times New Roman"/>
          <w:szCs w:val="24"/>
        </w:rPr>
      </w:pPr>
      <w:r w:rsidRPr="00A82B9E">
        <w:rPr>
          <w:rFonts w:cs="Times New Roman"/>
          <w:szCs w:val="24"/>
        </w:rPr>
        <w:t>Mirtingumas</w:t>
      </w:r>
      <w:r>
        <w:rPr>
          <w:rFonts w:cs="Times New Roman"/>
          <w:szCs w:val="24"/>
        </w:rPr>
        <w:t xml:space="preserve">/standartizuotas mirtingumas </w:t>
      </w:r>
      <w:r w:rsidRPr="00A82B9E">
        <w:rPr>
          <w:rFonts w:cs="Times New Roman"/>
          <w:szCs w:val="24"/>
        </w:rPr>
        <w:t>dėl savižudybių (X60-X84) 100 000 gyventojų</w:t>
      </w:r>
      <w:r>
        <w:rPr>
          <w:rFonts w:cs="Times New Roman"/>
          <w:szCs w:val="24"/>
        </w:rPr>
        <w:t>;</w:t>
      </w:r>
    </w:p>
    <w:p w:rsidR="00943487" w:rsidRDefault="00943487" w:rsidP="00943487">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t>Gyventojų skaičiaus pokytis 1 000 gyventojų</w:t>
      </w:r>
      <w:r>
        <w:rPr>
          <w:rFonts w:cs="Times New Roman"/>
          <w:szCs w:val="24"/>
        </w:rPr>
        <w:t>;</w:t>
      </w:r>
    </w:p>
    <w:p w:rsidR="00943487" w:rsidRPr="00E724BD" w:rsidRDefault="00943487" w:rsidP="00943487">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t>Mirtingumas</w:t>
      </w:r>
      <w:r>
        <w:rPr>
          <w:rFonts w:cs="Times New Roman"/>
          <w:szCs w:val="24"/>
        </w:rPr>
        <w:t>/standartizuotas mirtingumas</w:t>
      </w:r>
      <w:r w:rsidRPr="00E724BD">
        <w:rPr>
          <w:rFonts w:cs="Times New Roman"/>
          <w:szCs w:val="24"/>
        </w:rPr>
        <w:t xml:space="preserve"> dėl išorinių priežasčių (V01-Y98) 100 000 gyventojų</w:t>
      </w:r>
      <w:r>
        <w:rPr>
          <w:rFonts w:cs="Times New Roman"/>
          <w:szCs w:val="24"/>
        </w:rPr>
        <w:t>;</w:t>
      </w:r>
    </w:p>
    <w:p w:rsidR="00943487" w:rsidRPr="00E724BD" w:rsidRDefault="00943487" w:rsidP="00943487">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t>Mirtingumas</w:t>
      </w:r>
      <w:r>
        <w:rPr>
          <w:rFonts w:cs="Times New Roman"/>
          <w:szCs w:val="24"/>
        </w:rPr>
        <w:t xml:space="preserve">/standartizuotas mirtingumas </w:t>
      </w:r>
      <w:r w:rsidRPr="00E724BD">
        <w:rPr>
          <w:rFonts w:cs="Times New Roman"/>
          <w:szCs w:val="24"/>
        </w:rPr>
        <w:t>dėl atsitiktinio paskendimo (W65-W74) 100 000 gyventojų</w:t>
      </w:r>
      <w:r>
        <w:rPr>
          <w:rFonts w:cs="Times New Roman"/>
          <w:szCs w:val="24"/>
        </w:rPr>
        <w:t>;</w:t>
      </w:r>
    </w:p>
    <w:p w:rsidR="00943487" w:rsidRPr="00E724BD" w:rsidRDefault="00943487" w:rsidP="00943487">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t>Mirtingumas</w:t>
      </w:r>
      <w:r>
        <w:rPr>
          <w:rFonts w:cs="Times New Roman"/>
          <w:szCs w:val="24"/>
        </w:rPr>
        <w:t>/standartizuotas mirtingumas</w:t>
      </w:r>
      <w:r w:rsidRPr="00E724BD">
        <w:rPr>
          <w:rFonts w:cs="Times New Roman"/>
          <w:szCs w:val="24"/>
        </w:rPr>
        <w:t xml:space="preserve"> dėl nukritimo (W00-W19) 100 000 gyventojų</w:t>
      </w:r>
      <w:r>
        <w:rPr>
          <w:rFonts w:cs="Times New Roman"/>
          <w:szCs w:val="24"/>
        </w:rPr>
        <w:t>;</w:t>
      </w:r>
    </w:p>
    <w:p w:rsidR="00943487" w:rsidRPr="003B115D" w:rsidRDefault="00943487" w:rsidP="00943487">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t>Mirtingumas</w:t>
      </w:r>
      <w:r>
        <w:rPr>
          <w:rFonts w:cs="Times New Roman"/>
          <w:szCs w:val="24"/>
        </w:rPr>
        <w:t>/standartizuotas mirtingumas</w:t>
      </w:r>
      <w:r w:rsidRPr="00E724BD">
        <w:rPr>
          <w:rFonts w:cs="Times New Roman"/>
          <w:szCs w:val="24"/>
        </w:rPr>
        <w:t xml:space="preserve"> dėl transporto įvykių (V00-V99) 100 000 gyventojų</w:t>
      </w:r>
      <w:r>
        <w:rPr>
          <w:rFonts w:cs="Times New Roman"/>
          <w:szCs w:val="24"/>
        </w:rPr>
        <w:t>;</w:t>
      </w:r>
    </w:p>
    <w:p w:rsidR="00943487" w:rsidRPr="00E724BD" w:rsidRDefault="00943487" w:rsidP="00943487">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t>Mirtingumas</w:t>
      </w:r>
      <w:r>
        <w:rPr>
          <w:rFonts w:cs="Times New Roman"/>
          <w:szCs w:val="24"/>
        </w:rPr>
        <w:t>/standartizuotas mirtingumas</w:t>
      </w:r>
      <w:r w:rsidRPr="00E724BD">
        <w:rPr>
          <w:rFonts w:cs="Times New Roman"/>
          <w:szCs w:val="24"/>
        </w:rPr>
        <w:t xml:space="preserve"> dėl priežasčių, susijusių su alkoholio vartojimu, 100 000 gyventojų</w:t>
      </w:r>
      <w:r>
        <w:rPr>
          <w:rFonts w:cs="Times New Roman"/>
          <w:szCs w:val="24"/>
        </w:rPr>
        <w:t>;</w:t>
      </w:r>
    </w:p>
    <w:p w:rsidR="00943487" w:rsidRPr="00E724BD" w:rsidRDefault="00943487" w:rsidP="00943487">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t>Gyventojų skaičius, tenkantis vienai licencijai verstis maž</w:t>
      </w:r>
      <w:r>
        <w:rPr>
          <w:rFonts w:cs="Times New Roman"/>
          <w:szCs w:val="24"/>
        </w:rPr>
        <w:t>menine prekyba tabako gaminiais;</w:t>
      </w:r>
    </w:p>
    <w:p w:rsidR="00943487" w:rsidRPr="00E724BD" w:rsidRDefault="00943487" w:rsidP="00943487">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t>Gyventojų skaičius, tenkantis vienai licencijai verstis mažmenine prekyba alkoholiniais gėrimais</w:t>
      </w:r>
      <w:r>
        <w:rPr>
          <w:rFonts w:cs="Times New Roman"/>
          <w:szCs w:val="24"/>
        </w:rPr>
        <w:t>;</w:t>
      </w:r>
    </w:p>
    <w:p w:rsidR="00943487" w:rsidRPr="00E724BD" w:rsidRDefault="00943487" w:rsidP="00943487">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t>Kūdikių, išimtinai žindytų iki 6 mėn. amžiaus, dalis (proc.)</w:t>
      </w:r>
      <w:r>
        <w:rPr>
          <w:rFonts w:cs="Times New Roman"/>
          <w:szCs w:val="24"/>
        </w:rPr>
        <w:t>;</w:t>
      </w:r>
    </w:p>
    <w:p w:rsidR="00943487" w:rsidRDefault="00943487" w:rsidP="00943487">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t>Sergamumas vaistams atsparia tuberkulioze (A15-A19) 100 000 gyventojų (nauji atvejai)</w:t>
      </w:r>
      <w:r>
        <w:rPr>
          <w:rFonts w:cs="Times New Roman"/>
          <w:szCs w:val="24"/>
        </w:rPr>
        <w:t>;</w:t>
      </w:r>
    </w:p>
    <w:p w:rsidR="00943487" w:rsidRPr="00E724BD" w:rsidRDefault="00943487" w:rsidP="00943487">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t>Mirtingumas</w:t>
      </w:r>
      <w:r>
        <w:rPr>
          <w:rFonts w:cs="Times New Roman"/>
          <w:szCs w:val="24"/>
        </w:rPr>
        <w:t>/standartizuotas mirtingumas</w:t>
      </w:r>
      <w:r w:rsidRPr="00E724BD">
        <w:rPr>
          <w:rFonts w:cs="Times New Roman"/>
          <w:szCs w:val="24"/>
        </w:rPr>
        <w:t xml:space="preserve"> nuo kraujotakos sistemos ligų (I00-I99) 100 000 gyventojų</w:t>
      </w:r>
      <w:r>
        <w:rPr>
          <w:rFonts w:cs="Times New Roman"/>
          <w:szCs w:val="24"/>
        </w:rPr>
        <w:t>;</w:t>
      </w:r>
    </w:p>
    <w:p w:rsidR="00943487" w:rsidRPr="00E724BD" w:rsidRDefault="00943487" w:rsidP="00943487">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lastRenderedPageBreak/>
        <w:t>Mirtingumas nuo piktybinių navikų (C00-C96) 100 000 gyv.</w:t>
      </w:r>
      <w:r>
        <w:rPr>
          <w:rFonts w:cs="Times New Roman"/>
          <w:szCs w:val="24"/>
        </w:rPr>
        <w:t>;</w:t>
      </w:r>
    </w:p>
    <w:p w:rsidR="00943487" w:rsidRPr="00E724BD" w:rsidRDefault="00943487" w:rsidP="00943487">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t>Mirtingumas</w:t>
      </w:r>
      <w:r>
        <w:rPr>
          <w:rFonts w:cs="Times New Roman"/>
          <w:szCs w:val="24"/>
        </w:rPr>
        <w:t>/standartizuotas mirtingumas</w:t>
      </w:r>
      <w:r w:rsidRPr="00E724BD">
        <w:rPr>
          <w:rFonts w:cs="Times New Roman"/>
          <w:szCs w:val="24"/>
        </w:rPr>
        <w:t xml:space="preserve"> nuo cerebrovaskulinių ligų (I60-I69) 100 000 gyventojų</w:t>
      </w:r>
      <w:r>
        <w:rPr>
          <w:rFonts w:cs="Times New Roman"/>
          <w:szCs w:val="24"/>
        </w:rPr>
        <w:t>;</w:t>
      </w:r>
    </w:p>
    <w:p w:rsidR="00943487" w:rsidRPr="005B522E" w:rsidRDefault="00943487" w:rsidP="00344B59">
      <w:pPr>
        <w:pStyle w:val="Sraopastraipa"/>
        <w:numPr>
          <w:ilvl w:val="0"/>
          <w:numId w:val="7"/>
        </w:numPr>
        <w:tabs>
          <w:tab w:val="left" w:pos="3360"/>
        </w:tabs>
        <w:spacing w:after="0" w:line="360" w:lineRule="auto"/>
        <w:jc w:val="both"/>
        <w:rPr>
          <w:rFonts w:cs="Times New Roman"/>
          <w:szCs w:val="24"/>
        </w:rPr>
      </w:pPr>
      <w:r w:rsidRPr="00E724BD">
        <w:rPr>
          <w:rFonts w:cs="Times New Roman"/>
          <w:szCs w:val="24"/>
        </w:rPr>
        <w:t>Tikslinės populiacijos dalis (proc.), dalyvavusi gimdos kaklelio piktybinių navikų prevencinių priemonių, apmokamų iš Privalomojo sveikatos draudimo biudžeto lė</w:t>
      </w:r>
      <w:r w:rsidR="00344B59">
        <w:rPr>
          <w:rFonts w:cs="Times New Roman"/>
          <w:szCs w:val="24"/>
        </w:rPr>
        <w:t>šų, finansavimo programoje 2016</w:t>
      </w:r>
      <w:r w:rsidR="00344B59" w:rsidRPr="00344B59">
        <w:rPr>
          <w:rFonts w:cs="Times New Roman"/>
          <w:szCs w:val="24"/>
        </w:rPr>
        <w:t>–</w:t>
      </w:r>
      <w:r w:rsidRPr="00E724BD">
        <w:rPr>
          <w:rFonts w:cs="Times New Roman"/>
          <w:szCs w:val="24"/>
        </w:rPr>
        <w:t>2018 m.</w:t>
      </w:r>
    </w:p>
    <w:p w:rsidR="00943487" w:rsidRPr="00434EDF" w:rsidRDefault="00943487" w:rsidP="00943487">
      <w:pPr>
        <w:tabs>
          <w:tab w:val="left" w:pos="1418"/>
        </w:tabs>
        <w:spacing w:after="0" w:line="360" w:lineRule="auto"/>
        <w:ind w:left="284"/>
        <w:jc w:val="both"/>
        <w:rPr>
          <w:rFonts w:cs="Times New Roman"/>
          <w:szCs w:val="24"/>
        </w:rPr>
      </w:pPr>
      <w:r>
        <w:rPr>
          <w:rFonts w:cs="Times New Roman"/>
          <w:szCs w:val="24"/>
        </w:rPr>
        <w:t>3</w:t>
      </w:r>
      <w:r w:rsidRPr="00434EDF">
        <w:rPr>
          <w:rFonts w:cs="Times New Roman"/>
          <w:szCs w:val="24"/>
        </w:rPr>
        <w:t xml:space="preserve">. </w:t>
      </w:r>
      <w:r>
        <w:rPr>
          <w:rFonts w:cs="Times New Roman"/>
          <w:szCs w:val="24"/>
        </w:rPr>
        <w:t xml:space="preserve">Dauguma </w:t>
      </w:r>
      <w:r w:rsidRPr="00434EDF">
        <w:rPr>
          <w:rFonts w:cs="Times New Roman"/>
          <w:szCs w:val="24"/>
        </w:rPr>
        <w:t>Molėtų rajono rodiklių reikšmių patenka į Lietuvos vidurkį atitinkančią kvintilių grupę (</w:t>
      </w:r>
      <w:r w:rsidRPr="006C129D">
        <w:rPr>
          <w:rFonts w:cs="Times New Roman"/>
          <w:szCs w:val="24"/>
          <w:highlight w:val="yellow"/>
        </w:rPr>
        <w:t>geltonoji zona</w:t>
      </w:r>
      <w:r w:rsidRPr="00434EDF">
        <w:rPr>
          <w:rFonts w:cs="Times New Roman"/>
          <w:szCs w:val="24"/>
        </w:rPr>
        <w:t>), tačiau į juos taip pat reikėtų atkreipti dėmesį:</w:t>
      </w:r>
    </w:p>
    <w:p w:rsidR="00943487" w:rsidRPr="008C0F1C" w:rsidRDefault="00943487" w:rsidP="00943487">
      <w:pPr>
        <w:pStyle w:val="Sraopastraipa"/>
        <w:numPr>
          <w:ilvl w:val="0"/>
          <w:numId w:val="7"/>
        </w:numPr>
        <w:tabs>
          <w:tab w:val="left" w:pos="3360"/>
        </w:tabs>
        <w:spacing w:after="0" w:line="360" w:lineRule="auto"/>
        <w:jc w:val="both"/>
        <w:rPr>
          <w:rFonts w:cs="Times New Roman"/>
          <w:szCs w:val="24"/>
        </w:rPr>
      </w:pPr>
      <w:r w:rsidRPr="008C0F1C">
        <w:rPr>
          <w:rFonts w:cs="Times New Roman"/>
          <w:szCs w:val="24"/>
        </w:rPr>
        <w:t>Išvengiamas mirtingumas;</w:t>
      </w:r>
    </w:p>
    <w:p w:rsidR="00943487" w:rsidRPr="008C0F1C" w:rsidRDefault="00943487" w:rsidP="00943487">
      <w:pPr>
        <w:pStyle w:val="Sraopastraipa"/>
        <w:numPr>
          <w:ilvl w:val="0"/>
          <w:numId w:val="7"/>
        </w:numPr>
        <w:tabs>
          <w:tab w:val="left" w:pos="3360"/>
        </w:tabs>
        <w:spacing w:after="0" w:line="360" w:lineRule="auto"/>
        <w:jc w:val="both"/>
        <w:rPr>
          <w:rFonts w:cs="Times New Roman"/>
          <w:szCs w:val="24"/>
        </w:rPr>
      </w:pPr>
      <w:r w:rsidRPr="008C0F1C">
        <w:rPr>
          <w:rFonts w:cs="Times New Roman"/>
          <w:szCs w:val="24"/>
        </w:rPr>
        <w:t>Bandymų žudytis skaičius (X60-X64,X66-X84) 100 000 gyventojų;</w:t>
      </w:r>
    </w:p>
    <w:p w:rsidR="00943487" w:rsidRPr="008C0F1C" w:rsidRDefault="00943487" w:rsidP="00943487">
      <w:pPr>
        <w:pStyle w:val="Sraopastraipa"/>
        <w:numPr>
          <w:ilvl w:val="0"/>
          <w:numId w:val="7"/>
        </w:numPr>
        <w:tabs>
          <w:tab w:val="left" w:pos="3360"/>
        </w:tabs>
        <w:spacing w:after="0" w:line="360" w:lineRule="auto"/>
        <w:jc w:val="both"/>
        <w:rPr>
          <w:rFonts w:cs="Times New Roman"/>
          <w:szCs w:val="24"/>
        </w:rPr>
      </w:pPr>
      <w:r w:rsidRPr="008C0F1C">
        <w:rPr>
          <w:rFonts w:cs="Times New Roman"/>
          <w:szCs w:val="24"/>
        </w:rPr>
        <w:t>Mokyklinio amžiaus vaikų, nesimokančių mokyklose, skaičius 1 000 gyventojų;</w:t>
      </w:r>
    </w:p>
    <w:p w:rsidR="00943487" w:rsidRPr="008C0F1C" w:rsidRDefault="00943487" w:rsidP="00943487">
      <w:pPr>
        <w:pStyle w:val="Sraopastraipa"/>
        <w:numPr>
          <w:ilvl w:val="0"/>
          <w:numId w:val="7"/>
        </w:numPr>
        <w:tabs>
          <w:tab w:val="left" w:pos="3360"/>
        </w:tabs>
        <w:spacing w:after="0" w:line="360" w:lineRule="auto"/>
        <w:jc w:val="both"/>
        <w:rPr>
          <w:rFonts w:cs="Times New Roman"/>
          <w:szCs w:val="24"/>
        </w:rPr>
      </w:pPr>
      <w:r w:rsidRPr="008C0F1C">
        <w:rPr>
          <w:rFonts w:cs="Times New Roman"/>
          <w:szCs w:val="24"/>
        </w:rPr>
        <w:t>Socialinės rizikos šeimų skaičius 1 000 gyventojų;</w:t>
      </w:r>
    </w:p>
    <w:p w:rsidR="00943487" w:rsidRPr="008C0F1C" w:rsidRDefault="00943487" w:rsidP="00943487">
      <w:pPr>
        <w:pStyle w:val="Sraopastraipa"/>
        <w:numPr>
          <w:ilvl w:val="0"/>
          <w:numId w:val="7"/>
        </w:numPr>
        <w:tabs>
          <w:tab w:val="left" w:pos="3360"/>
        </w:tabs>
        <w:spacing w:after="0" w:line="360" w:lineRule="auto"/>
        <w:jc w:val="both"/>
        <w:rPr>
          <w:rFonts w:cs="Times New Roman"/>
          <w:szCs w:val="24"/>
        </w:rPr>
      </w:pPr>
      <w:r w:rsidRPr="008C0F1C">
        <w:rPr>
          <w:rFonts w:cs="Times New Roman"/>
          <w:szCs w:val="24"/>
        </w:rPr>
        <w:t>Ilgalaikio nedarbo lygis;</w:t>
      </w:r>
    </w:p>
    <w:p w:rsidR="00943487" w:rsidRPr="008C0F1C" w:rsidRDefault="00943487" w:rsidP="00943487">
      <w:pPr>
        <w:pStyle w:val="Sraopastraipa"/>
        <w:numPr>
          <w:ilvl w:val="0"/>
          <w:numId w:val="7"/>
        </w:numPr>
        <w:tabs>
          <w:tab w:val="left" w:pos="3360"/>
        </w:tabs>
        <w:spacing w:after="0" w:line="360" w:lineRule="auto"/>
        <w:jc w:val="both"/>
        <w:rPr>
          <w:rFonts w:cs="Times New Roman"/>
          <w:szCs w:val="24"/>
        </w:rPr>
      </w:pPr>
      <w:r w:rsidRPr="008C0F1C">
        <w:rPr>
          <w:rFonts w:cs="Times New Roman"/>
          <w:szCs w:val="24"/>
        </w:rPr>
        <w:t>Mokinių, gaunančių nemokamą maitinimą mokyklose, skaičius 1 000 gyventojų;</w:t>
      </w:r>
    </w:p>
    <w:p w:rsidR="00943487" w:rsidRPr="008C0F1C" w:rsidRDefault="00943487" w:rsidP="00943487">
      <w:pPr>
        <w:pStyle w:val="Sraopastraipa"/>
        <w:numPr>
          <w:ilvl w:val="0"/>
          <w:numId w:val="7"/>
        </w:numPr>
        <w:tabs>
          <w:tab w:val="left" w:pos="3360"/>
        </w:tabs>
        <w:spacing w:after="0" w:line="360" w:lineRule="auto"/>
        <w:jc w:val="both"/>
        <w:rPr>
          <w:rFonts w:cs="Times New Roman"/>
          <w:szCs w:val="24"/>
        </w:rPr>
      </w:pPr>
      <w:r w:rsidRPr="008C0F1C">
        <w:rPr>
          <w:rFonts w:cs="Times New Roman"/>
          <w:szCs w:val="24"/>
        </w:rPr>
        <w:t>Socialinės pašalpos gavėjų skaičius 1 000 gyventojų;</w:t>
      </w:r>
    </w:p>
    <w:p w:rsidR="00943487" w:rsidRPr="008C0F1C" w:rsidRDefault="00943487" w:rsidP="00943487">
      <w:pPr>
        <w:pStyle w:val="Sraopastraipa"/>
        <w:numPr>
          <w:ilvl w:val="0"/>
          <w:numId w:val="7"/>
        </w:numPr>
        <w:tabs>
          <w:tab w:val="left" w:pos="3360"/>
        </w:tabs>
        <w:spacing w:after="0" w:line="360" w:lineRule="auto"/>
        <w:jc w:val="both"/>
        <w:rPr>
          <w:rFonts w:cs="Times New Roman"/>
          <w:szCs w:val="24"/>
        </w:rPr>
      </w:pPr>
      <w:r w:rsidRPr="008C0F1C">
        <w:rPr>
          <w:rFonts w:cs="Times New Roman"/>
          <w:szCs w:val="24"/>
        </w:rPr>
        <w:t>Sergamumas tuberkulioze (A15-A19) 100 000 gyventojų (nauji atvejai);</w:t>
      </w:r>
    </w:p>
    <w:p w:rsidR="00943487" w:rsidRPr="00434EDF" w:rsidRDefault="00943487" w:rsidP="00943487">
      <w:pPr>
        <w:pStyle w:val="Sraopastraipa"/>
        <w:numPr>
          <w:ilvl w:val="0"/>
          <w:numId w:val="7"/>
        </w:numPr>
        <w:tabs>
          <w:tab w:val="left" w:pos="3360"/>
        </w:tabs>
        <w:spacing w:after="0" w:line="360" w:lineRule="auto"/>
        <w:jc w:val="both"/>
        <w:rPr>
          <w:rFonts w:cs="Times New Roman"/>
          <w:szCs w:val="24"/>
        </w:rPr>
      </w:pPr>
      <w:r w:rsidRPr="008C0F1C">
        <w:rPr>
          <w:rFonts w:cs="Times New Roman"/>
          <w:szCs w:val="24"/>
        </w:rPr>
        <w:t>Sergamumas tuberkulioze (A15-A19) 100 000 gyv. (nauji+recidyvai);</w:t>
      </w:r>
    </w:p>
    <w:p w:rsidR="00943487" w:rsidRPr="00D90EDA" w:rsidRDefault="00943487" w:rsidP="00943487">
      <w:pPr>
        <w:pStyle w:val="Sraopastraipa"/>
        <w:numPr>
          <w:ilvl w:val="0"/>
          <w:numId w:val="7"/>
        </w:numPr>
        <w:tabs>
          <w:tab w:val="left" w:pos="3360"/>
        </w:tabs>
        <w:spacing w:after="0" w:line="360" w:lineRule="auto"/>
        <w:jc w:val="both"/>
        <w:rPr>
          <w:rFonts w:cs="Times New Roman"/>
          <w:szCs w:val="24"/>
        </w:rPr>
      </w:pPr>
      <w:r w:rsidRPr="00D90EDA">
        <w:rPr>
          <w:rFonts w:cs="Times New Roman"/>
          <w:szCs w:val="24"/>
        </w:rPr>
        <w:t>Asmenų, žuvusių ar sunkiai sužalotų dėl nelaimingų atsitikimų darbe, skaičius 10 000 darbingo amžiaus gyventojų</w:t>
      </w:r>
      <w:r>
        <w:rPr>
          <w:rFonts w:cs="Times New Roman"/>
          <w:szCs w:val="24"/>
        </w:rPr>
        <w:t>;</w:t>
      </w:r>
    </w:p>
    <w:p w:rsidR="00943487" w:rsidRPr="00D90EDA" w:rsidRDefault="00943487" w:rsidP="00943487">
      <w:pPr>
        <w:pStyle w:val="Sraopastraipa"/>
        <w:numPr>
          <w:ilvl w:val="0"/>
          <w:numId w:val="7"/>
        </w:numPr>
        <w:tabs>
          <w:tab w:val="left" w:pos="3360"/>
        </w:tabs>
        <w:spacing w:after="0" w:line="360" w:lineRule="auto"/>
        <w:jc w:val="both"/>
        <w:rPr>
          <w:rFonts w:cs="Times New Roman"/>
          <w:szCs w:val="24"/>
        </w:rPr>
      </w:pPr>
      <w:r w:rsidRPr="00D90EDA">
        <w:rPr>
          <w:rFonts w:cs="Times New Roman"/>
          <w:szCs w:val="24"/>
        </w:rPr>
        <w:t>Susižalojimo dėl nukritimo atvejų skaičius (W00-W19) 65+ m. amžiaus grupėje 10 000 gyventojų</w:t>
      </w:r>
      <w:r>
        <w:rPr>
          <w:rFonts w:cs="Times New Roman"/>
          <w:szCs w:val="24"/>
        </w:rPr>
        <w:t>;</w:t>
      </w:r>
    </w:p>
    <w:p w:rsidR="00943487" w:rsidRPr="00D90EDA" w:rsidRDefault="00943487" w:rsidP="00943487">
      <w:pPr>
        <w:pStyle w:val="Sraopastraipa"/>
        <w:numPr>
          <w:ilvl w:val="0"/>
          <w:numId w:val="7"/>
        </w:numPr>
        <w:tabs>
          <w:tab w:val="left" w:pos="3360"/>
        </w:tabs>
        <w:spacing w:after="0" w:line="360" w:lineRule="auto"/>
        <w:jc w:val="both"/>
        <w:rPr>
          <w:rFonts w:cs="Times New Roman"/>
          <w:szCs w:val="24"/>
        </w:rPr>
      </w:pPr>
      <w:r w:rsidRPr="00D90EDA">
        <w:rPr>
          <w:rFonts w:cs="Times New Roman"/>
          <w:szCs w:val="24"/>
        </w:rPr>
        <w:t>Darbingo amžiaus asmenų, pirmą kartą pripažintų neįgaliais, skaičius 10 000 gyventojų</w:t>
      </w:r>
      <w:r>
        <w:rPr>
          <w:rFonts w:cs="Times New Roman"/>
          <w:szCs w:val="24"/>
        </w:rPr>
        <w:t>;</w:t>
      </w:r>
    </w:p>
    <w:p w:rsidR="00943487" w:rsidRDefault="00943487" w:rsidP="00943487">
      <w:pPr>
        <w:pStyle w:val="Sraopastraipa"/>
        <w:numPr>
          <w:ilvl w:val="0"/>
          <w:numId w:val="7"/>
        </w:numPr>
        <w:tabs>
          <w:tab w:val="left" w:pos="3360"/>
        </w:tabs>
        <w:spacing w:after="0" w:line="360" w:lineRule="auto"/>
        <w:jc w:val="both"/>
        <w:rPr>
          <w:rFonts w:cs="Times New Roman"/>
          <w:szCs w:val="24"/>
        </w:rPr>
      </w:pPr>
      <w:r w:rsidRPr="00D90EDA">
        <w:rPr>
          <w:rFonts w:cs="Times New Roman"/>
          <w:szCs w:val="24"/>
        </w:rPr>
        <w:t>Sergamumas žarnyno infekcinėmis ligomis (A00-A08) 10 000 gyventojų</w:t>
      </w:r>
      <w:r>
        <w:rPr>
          <w:rFonts w:cs="Times New Roman"/>
          <w:szCs w:val="24"/>
        </w:rPr>
        <w:t>;</w:t>
      </w:r>
    </w:p>
    <w:p w:rsidR="00943487" w:rsidRPr="00D90EDA" w:rsidRDefault="00943487" w:rsidP="00943487">
      <w:pPr>
        <w:pStyle w:val="Sraopastraipa"/>
        <w:numPr>
          <w:ilvl w:val="0"/>
          <w:numId w:val="7"/>
        </w:numPr>
        <w:tabs>
          <w:tab w:val="left" w:pos="3360"/>
        </w:tabs>
        <w:spacing w:after="0" w:line="360" w:lineRule="auto"/>
        <w:jc w:val="both"/>
        <w:rPr>
          <w:rFonts w:cs="Times New Roman"/>
          <w:szCs w:val="24"/>
        </w:rPr>
      </w:pPr>
      <w:r w:rsidRPr="00D90EDA">
        <w:rPr>
          <w:rFonts w:cs="Times New Roman"/>
          <w:szCs w:val="24"/>
        </w:rPr>
        <w:t>Pėsčiųjų mirtingumas dėl transporto įvykių (V00-V09) 100 000 gyventojų</w:t>
      </w:r>
      <w:r>
        <w:rPr>
          <w:rFonts w:cs="Times New Roman"/>
          <w:szCs w:val="24"/>
        </w:rPr>
        <w:t>;</w:t>
      </w:r>
    </w:p>
    <w:p w:rsidR="00943487" w:rsidRPr="000E0D56" w:rsidRDefault="00943487" w:rsidP="00943487">
      <w:pPr>
        <w:pStyle w:val="Sraopastraipa"/>
        <w:numPr>
          <w:ilvl w:val="0"/>
          <w:numId w:val="7"/>
        </w:numPr>
        <w:tabs>
          <w:tab w:val="left" w:pos="3360"/>
        </w:tabs>
        <w:spacing w:after="0" w:line="360" w:lineRule="auto"/>
        <w:jc w:val="both"/>
        <w:rPr>
          <w:rFonts w:cs="Times New Roman"/>
          <w:szCs w:val="24"/>
        </w:rPr>
      </w:pPr>
      <w:r w:rsidRPr="00D90EDA">
        <w:rPr>
          <w:rFonts w:cs="Times New Roman"/>
          <w:szCs w:val="24"/>
        </w:rPr>
        <w:t>Transporto įvykiuose patirtų traumų (V00-V99) skaičius 100 000 gyventojų</w:t>
      </w:r>
      <w:r>
        <w:rPr>
          <w:rFonts w:cs="Times New Roman"/>
          <w:szCs w:val="24"/>
        </w:rPr>
        <w:t xml:space="preserve"> ir kiti rodikliai (žiūrėti 1 lentelėje).</w:t>
      </w:r>
    </w:p>
    <w:p w:rsidR="00943487" w:rsidRPr="00F0278C" w:rsidRDefault="00943487" w:rsidP="00F0278C">
      <w:pPr>
        <w:pStyle w:val="Sraopastraipa"/>
        <w:spacing w:after="0" w:line="360" w:lineRule="auto"/>
        <w:ind w:left="1004"/>
        <w:jc w:val="both"/>
        <w:rPr>
          <w:rFonts w:cs="Times New Roman"/>
          <w:b/>
          <w:szCs w:val="24"/>
        </w:rPr>
      </w:pPr>
      <w:r>
        <w:rPr>
          <w:rFonts w:cs="Times New Roman"/>
          <w:b/>
          <w:szCs w:val="24"/>
        </w:rPr>
        <w:t>Išsamesnei analizei, kaip prioritetinės sveikatos problemos, pasirinkti šie rodikliai:</w:t>
      </w:r>
    </w:p>
    <w:p w:rsidR="00943487" w:rsidRPr="006B329E" w:rsidRDefault="00943487" w:rsidP="00943487">
      <w:pPr>
        <w:pStyle w:val="Sraopastraipa"/>
        <w:numPr>
          <w:ilvl w:val="0"/>
          <w:numId w:val="8"/>
        </w:numPr>
        <w:spacing w:line="360" w:lineRule="auto"/>
      </w:pPr>
      <w:r w:rsidRPr="006B329E">
        <w:rPr>
          <w:rFonts w:cs="Times New Roman"/>
          <w:szCs w:val="24"/>
        </w:rPr>
        <w:t>Mirtingumas dėl atsitiktinio paskendimo (W65-W74) 100 000 gyventojų;</w:t>
      </w:r>
    </w:p>
    <w:p w:rsidR="00943487" w:rsidRDefault="00943487" w:rsidP="00943487">
      <w:pPr>
        <w:pStyle w:val="Sraopastraipa"/>
        <w:numPr>
          <w:ilvl w:val="0"/>
          <w:numId w:val="8"/>
        </w:numPr>
        <w:spacing w:line="360" w:lineRule="auto"/>
      </w:pPr>
      <w:r w:rsidRPr="00E724BD">
        <w:rPr>
          <w:rFonts w:cs="Times New Roman"/>
          <w:szCs w:val="24"/>
        </w:rPr>
        <w:t>Mirtingumas nuo kraujotakos sistemos ligų (I00-I99) 100 000 gyventojų</w:t>
      </w:r>
      <w:r>
        <w:rPr>
          <w:rFonts w:cs="Times New Roman"/>
          <w:szCs w:val="24"/>
        </w:rPr>
        <w:t>;</w:t>
      </w:r>
    </w:p>
    <w:p w:rsidR="00943487" w:rsidRDefault="00943487" w:rsidP="00943487">
      <w:pPr>
        <w:pStyle w:val="Sraopastraipa"/>
        <w:numPr>
          <w:ilvl w:val="0"/>
          <w:numId w:val="8"/>
        </w:numPr>
        <w:spacing w:line="360" w:lineRule="auto"/>
      </w:pPr>
      <w:r w:rsidRPr="00E724BD">
        <w:rPr>
          <w:rFonts w:cs="Times New Roman"/>
          <w:szCs w:val="24"/>
        </w:rPr>
        <w:t>Mirtingumas nuo piktybinių navikų (C00-C96) 100 000 gyv</w:t>
      </w:r>
      <w:r w:rsidR="0018664E">
        <w:rPr>
          <w:rFonts w:cs="Times New Roman"/>
          <w:szCs w:val="24"/>
        </w:rPr>
        <w:t>entojų</w:t>
      </w:r>
      <w:r w:rsidR="006B329E">
        <w:rPr>
          <w:rFonts w:cs="Times New Roman"/>
          <w:szCs w:val="24"/>
        </w:rPr>
        <w:t>.</w:t>
      </w:r>
    </w:p>
    <w:p w:rsidR="00943487" w:rsidRDefault="00943487" w:rsidP="00943487">
      <w:pPr>
        <w:pStyle w:val="Antrat1"/>
        <w:spacing w:line="360" w:lineRule="auto"/>
        <w:ind w:left="-567"/>
      </w:pPr>
      <w:bookmarkStart w:id="4" w:name="_Toc30164259"/>
      <w:r>
        <w:lastRenderedPageBreak/>
        <w:t>2. SPECIALIOJI DALIS</w:t>
      </w:r>
      <w:bookmarkEnd w:id="4"/>
    </w:p>
    <w:p w:rsidR="00943487" w:rsidRDefault="00943487" w:rsidP="00D074F5">
      <w:pPr>
        <w:pStyle w:val="Antrat2"/>
        <w:spacing w:line="360" w:lineRule="auto"/>
      </w:pPr>
      <w:bookmarkStart w:id="5" w:name="_Toc30164260"/>
      <w:r>
        <w:t>ATRINKTŲ RODIKLIŲ DETALI ANALIZĖ IR INTERPRETAVIMAS</w:t>
      </w:r>
      <w:bookmarkEnd w:id="5"/>
    </w:p>
    <w:p w:rsidR="006B329E" w:rsidRDefault="00943487" w:rsidP="00D074F5">
      <w:pPr>
        <w:pStyle w:val="Antrat1"/>
        <w:spacing w:before="0"/>
      </w:pPr>
      <w:bookmarkStart w:id="6" w:name="_Toc30164261"/>
      <w:r w:rsidRPr="00C25F53">
        <w:t xml:space="preserve">2.1. MIRTINGUMAS DĖL </w:t>
      </w:r>
      <w:r w:rsidR="00F0278C">
        <w:t>ATSITIKTINIO PASKENDIMO</w:t>
      </w:r>
      <w:r w:rsidR="006F2953">
        <w:t xml:space="preserve"> </w:t>
      </w:r>
      <w:r w:rsidR="00F0278C">
        <w:t>(</w:t>
      </w:r>
      <w:r w:rsidR="00F0278C" w:rsidRPr="00F0278C">
        <w:t>W65-W74</w:t>
      </w:r>
      <w:r w:rsidR="002702C3">
        <w:t>) 100 000 GYV</w:t>
      </w:r>
      <w:r w:rsidR="006F2953">
        <w:t>.</w:t>
      </w:r>
      <w:bookmarkEnd w:id="6"/>
      <w:r w:rsidRPr="0055797A">
        <w:t xml:space="preserve"> </w:t>
      </w:r>
    </w:p>
    <w:p w:rsidR="00D074F5" w:rsidRPr="00D074F5" w:rsidRDefault="00D074F5" w:rsidP="00D074F5"/>
    <w:p w:rsidR="00943487" w:rsidRPr="00264FD6" w:rsidRDefault="006B329E" w:rsidP="006B329E">
      <w:pPr>
        <w:spacing w:after="0" w:line="360" w:lineRule="auto"/>
        <w:ind w:firstLine="567"/>
        <w:jc w:val="both"/>
      </w:pPr>
      <w:r>
        <w:t xml:space="preserve">Siekiant, kad gyventojai saugiai leistų laisvalaikį, reikia užtikrinti ir mažinti mirtingumą dėl atsitiktinių paskendimų bei nukritimų, kurie yra ypač pavojingi vyresnio amžiaus žmonėms. </w:t>
      </w:r>
    </w:p>
    <w:p w:rsidR="000F073B" w:rsidRPr="009E0A62" w:rsidRDefault="009E0A62" w:rsidP="009E0A62">
      <w:pPr>
        <w:tabs>
          <w:tab w:val="left" w:pos="142"/>
          <w:tab w:val="left" w:pos="567"/>
          <w:tab w:val="left" w:pos="993"/>
        </w:tabs>
        <w:spacing w:after="0" w:line="360" w:lineRule="auto"/>
        <w:jc w:val="both"/>
        <w:rPr>
          <w:color w:val="E36C0A" w:themeColor="accent6" w:themeShade="BF"/>
        </w:rPr>
      </w:pPr>
      <w:r>
        <w:tab/>
      </w:r>
      <w:r>
        <w:tab/>
      </w:r>
      <w:r w:rsidR="00FD2E92" w:rsidRPr="00FD2E92">
        <w:t>2018 m. Lietuvoje atsitiktinai paskendo (W65–W74) 155</w:t>
      </w:r>
      <w:r w:rsidR="000F073B" w:rsidRPr="00FD2E92">
        <w:t xml:space="preserve"> asme</w:t>
      </w:r>
      <w:r w:rsidR="00FD2E92" w:rsidRPr="00FD2E92">
        <w:t xml:space="preserve">nys, iš jų 117 vyrų ir </w:t>
      </w:r>
      <w:r w:rsidRPr="00FD2E92">
        <w:t xml:space="preserve">38 </w:t>
      </w:r>
      <w:r w:rsidR="000F073B" w:rsidRPr="00FD2E92">
        <w:t xml:space="preserve">moterys. </w:t>
      </w:r>
      <w:r w:rsidR="00FD2E92" w:rsidRPr="00FD2E92">
        <w:t>Paskendusių vyrų (9,0/100 000 gyv.) buvo 4 kartus daugiau</w:t>
      </w:r>
      <w:r w:rsidR="000F073B" w:rsidRPr="00FD2E92">
        <w:t xml:space="preserve"> </w:t>
      </w:r>
      <w:r w:rsidR="00FD2E92" w:rsidRPr="00FD2E92">
        <w:t>nei moterų</w:t>
      </w:r>
      <w:r w:rsidR="000F073B" w:rsidRPr="00FD2E92">
        <w:t xml:space="preserve"> (2,5/100 000 gyv.)</w:t>
      </w:r>
      <w:r w:rsidR="00FD2E92" w:rsidRPr="00FD2E92">
        <w:t xml:space="preserve"> Biržų r., Šilalės r. ir Molėtų r. savivaldybių gyventojų mirtingumas nuo </w:t>
      </w:r>
      <w:r w:rsidRPr="00FD2E92">
        <w:t>atsitiktinių paskendimų Lietuvos vidurkį viršijo daugiau kaip 3 kartus.</w:t>
      </w:r>
    </w:p>
    <w:p w:rsidR="00943487" w:rsidRDefault="009E0A62" w:rsidP="006B329E">
      <w:pPr>
        <w:pStyle w:val="Sraopastraipa"/>
        <w:tabs>
          <w:tab w:val="left" w:pos="142"/>
          <w:tab w:val="left" w:pos="567"/>
          <w:tab w:val="left" w:pos="993"/>
        </w:tabs>
        <w:spacing w:after="0" w:line="360" w:lineRule="auto"/>
        <w:ind w:left="0"/>
        <w:jc w:val="both"/>
      </w:pPr>
      <w:r>
        <w:tab/>
      </w:r>
      <w:r>
        <w:tab/>
      </w:r>
      <w:r w:rsidR="00943487">
        <w:t>Mirčių dėl atsitiktinio paskendimo 2016–2018 m. laikotarpiu Molėtų rajono savivaldybėje buvo daugiau (11 paskendimų) nei kitose Utenos apskrities savivaldybėse, kuriose nėra 20 tūkst. gyventojų.</w:t>
      </w:r>
      <w:r w:rsidR="00943487" w:rsidRPr="003A38CE">
        <w:t xml:space="preserve">: </w:t>
      </w:r>
      <w:r w:rsidR="00943487" w:rsidRPr="00916B58">
        <w:t>Zarasų</w:t>
      </w:r>
      <w:r w:rsidR="00943487" w:rsidRPr="003A38CE">
        <w:t xml:space="preserve"> </w:t>
      </w:r>
      <w:r w:rsidR="00943487" w:rsidRPr="00916B58">
        <w:t>rajone 6,5/100 000 gyv</w:t>
      </w:r>
      <w:r w:rsidR="00943487">
        <w:t>.</w:t>
      </w:r>
      <w:r w:rsidR="00943487" w:rsidRPr="00916B58">
        <w:t>, Ignalinos</w:t>
      </w:r>
      <w:r w:rsidR="00943487">
        <w:t xml:space="preserve"> rajone 6,6/100 000 gyv. Molėtų rajono savivaldybės mirtingumo dėl atsitiktinio paskendimo rodiklis (28,3/100 000 gyv.) Lietuvos vidurkį (5,5/100 000 gyv.) viršija keturis kartus, todėl patenka į</w:t>
      </w:r>
      <w:r w:rsidR="00C47FD9">
        <w:t xml:space="preserve"> prasčiausią savivaldybių kvintilių grupę (raudonoji zona)</w:t>
      </w:r>
      <w:r w:rsidR="00943487">
        <w:t xml:space="preserve">. </w:t>
      </w:r>
    </w:p>
    <w:p w:rsidR="00943487" w:rsidRPr="00770D9D" w:rsidRDefault="00943487" w:rsidP="00943487">
      <w:pPr>
        <w:pStyle w:val="Sraopastraipa"/>
        <w:tabs>
          <w:tab w:val="left" w:pos="567"/>
          <w:tab w:val="left" w:pos="709"/>
        </w:tabs>
        <w:spacing w:line="360" w:lineRule="auto"/>
        <w:ind w:left="0"/>
        <w:jc w:val="both"/>
      </w:pPr>
      <w:r>
        <w:tab/>
        <w:t>2018 m. laikotarpiu, daugiau paskendusių buvo tarp vyrų 47,1/100 000 gyv. (4</w:t>
      </w:r>
      <w:r w:rsidR="009E0A62">
        <w:t>atvejai</w:t>
      </w:r>
      <w:r>
        <w:t>) nei tarp moterų 10,9/100 000 gyv. (1</w:t>
      </w:r>
      <w:r w:rsidR="009E0A62">
        <w:t xml:space="preserve"> atvejis</w:t>
      </w:r>
      <w:r>
        <w:t xml:space="preserve">). </w:t>
      </w:r>
      <w:r w:rsidRPr="00151F66">
        <w:t xml:space="preserve">Daugiausiai paskendusiųjų </w:t>
      </w:r>
      <w:r>
        <w:t xml:space="preserve">vyrų </w:t>
      </w:r>
      <w:r w:rsidR="006B329E">
        <w:t>buvo 55–59 m. amžiaus grupėje (1</w:t>
      </w:r>
      <w:r w:rsidRPr="00151F66">
        <w:t xml:space="preserve"> pav.).</w:t>
      </w:r>
      <w:r>
        <w:t xml:space="preserve"> </w:t>
      </w:r>
      <w:r w:rsidRPr="00DA13A1">
        <w:t>Vienintelė paskendusi moteris buvo kaimo gyventoja ir pateko į 70-74 m. amžiaus grupę.</w:t>
      </w:r>
      <w:r>
        <w:t xml:space="preserve"> </w:t>
      </w:r>
      <w:r w:rsidR="00F40744">
        <w:t xml:space="preserve">2016–2017 </w:t>
      </w:r>
      <w:r w:rsidRPr="00BD4156">
        <w:t xml:space="preserve">m. paskendusių Molėtų rajono savivaldybės moterų nebuvo. </w:t>
      </w:r>
      <w:r>
        <w:t xml:space="preserve">Mirtingumo dėl atsitiktinio paskendimo rodiklis tarp miesto gyventojų vyrų (80,3/100 000 gyv.) </w:t>
      </w:r>
      <w:r w:rsidRPr="003A38CE">
        <w:t>2018 m</w:t>
      </w:r>
      <w:r w:rsidRPr="00770D9D">
        <w:t xml:space="preserve">. </w:t>
      </w:r>
      <w:r>
        <w:t>buvo 2,</w:t>
      </w:r>
      <w:r w:rsidRPr="00770D9D">
        <w:t>4 karto</w:t>
      </w:r>
      <w:r w:rsidRPr="003A38CE">
        <w:t xml:space="preserve"> </w:t>
      </w:r>
      <w:r w:rsidRPr="00770D9D">
        <w:t>didesnis</w:t>
      </w:r>
      <w:r w:rsidRPr="003A38CE">
        <w:t xml:space="preserve"> u</w:t>
      </w:r>
      <w:r>
        <w:t xml:space="preserve">ž kaime gyvenančių vyrų – 33,3/100 000 gyv. </w:t>
      </w:r>
    </w:p>
    <w:p w:rsidR="00943487" w:rsidRDefault="00943487" w:rsidP="00943487">
      <w:pPr>
        <w:pStyle w:val="Sraopastraipa"/>
        <w:tabs>
          <w:tab w:val="left" w:pos="567"/>
          <w:tab w:val="left" w:pos="709"/>
        </w:tabs>
        <w:spacing w:line="360" w:lineRule="auto"/>
        <w:ind w:left="0"/>
        <w:jc w:val="both"/>
      </w:pPr>
    </w:p>
    <w:p w:rsidR="00943487" w:rsidRDefault="00943487" w:rsidP="00943487">
      <w:pPr>
        <w:pStyle w:val="Sraopastraipa"/>
        <w:tabs>
          <w:tab w:val="left" w:pos="142"/>
          <w:tab w:val="left" w:pos="567"/>
          <w:tab w:val="left" w:pos="993"/>
        </w:tabs>
        <w:spacing w:line="360" w:lineRule="auto"/>
        <w:ind w:left="0"/>
        <w:jc w:val="center"/>
      </w:pPr>
      <w:r>
        <w:rPr>
          <w:noProof/>
          <w:lang w:eastAsia="lt-LT"/>
        </w:rPr>
        <w:drawing>
          <wp:inline distT="0" distB="0" distL="0" distR="0" wp14:anchorId="631AE27A" wp14:editId="196F562A">
            <wp:extent cx="4752975" cy="1838325"/>
            <wp:effectExtent l="0" t="0" r="9525"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3487" w:rsidRPr="00E96968" w:rsidRDefault="006B329E" w:rsidP="00943487">
      <w:pPr>
        <w:pStyle w:val="Sraopastraipa"/>
        <w:tabs>
          <w:tab w:val="left" w:pos="142"/>
          <w:tab w:val="left" w:pos="567"/>
          <w:tab w:val="left" w:pos="993"/>
        </w:tabs>
        <w:spacing w:line="360" w:lineRule="auto"/>
        <w:ind w:left="0"/>
        <w:jc w:val="center"/>
        <w:rPr>
          <w:szCs w:val="24"/>
        </w:rPr>
      </w:pPr>
      <w:r w:rsidRPr="00E96968">
        <w:rPr>
          <w:b/>
          <w:szCs w:val="24"/>
        </w:rPr>
        <w:t>1</w:t>
      </w:r>
      <w:r w:rsidR="00943487" w:rsidRPr="00E96968">
        <w:rPr>
          <w:b/>
          <w:szCs w:val="24"/>
        </w:rPr>
        <w:t xml:space="preserve"> pav.</w:t>
      </w:r>
      <w:r w:rsidR="00943487" w:rsidRPr="00E96968">
        <w:rPr>
          <w:szCs w:val="24"/>
        </w:rPr>
        <w:t xml:space="preserve"> Absoliutus paskendusių vyrų skaičiaus pasiskirstymas amžiaus grupėse 2016–2018 m. Molėtų rajono savivaldybėje</w:t>
      </w:r>
    </w:p>
    <w:p w:rsidR="00943487" w:rsidRPr="00626409" w:rsidRDefault="00943487" w:rsidP="00626409">
      <w:pPr>
        <w:tabs>
          <w:tab w:val="left" w:pos="567"/>
        </w:tabs>
        <w:spacing w:after="0" w:line="360" w:lineRule="auto"/>
        <w:jc w:val="right"/>
        <w:rPr>
          <w:sz w:val="20"/>
        </w:rPr>
      </w:pPr>
      <w:r w:rsidRPr="00FD457F">
        <w:rPr>
          <w:sz w:val="20"/>
        </w:rPr>
        <w:t xml:space="preserve">Šaltinis: HISIC Mirties atvejų ir jų priežasčių </w:t>
      </w:r>
      <w:r w:rsidR="00626409">
        <w:rPr>
          <w:sz w:val="20"/>
        </w:rPr>
        <w:t>valstybės registras</w:t>
      </w:r>
    </w:p>
    <w:p w:rsidR="009E0A62" w:rsidRDefault="009E0A62" w:rsidP="009E0A62">
      <w:pPr>
        <w:tabs>
          <w:tab w:val="left" w:pos="142"/>
          <w:tab w:val="left" w:pos="567"/>
        </w:tabs>
        <w:spacing w:after="0" w:line="360" w:lineRule="auto"/>
        <w:jc w:val="both"/>
      </w:pPr>
      <w:r>
        <w:lastRenderedPageBreak/>
        <w:tab/>
      </w:r>
      <w:r>
        <w:tab/>
      </w:r>
      <w:r w:rsidR="00E80601" w:rsidRPr="00E80601">
        <w:t>Atkreiptinas dėmesys, kad šis rodiklis rodo, kokios savivaldybės gyventojai nuskendo, tačiau nerodo įvykio vietos.</w:t>
      </w:r>
      <w:r w:rsidRPr="009E0A62">
        <w:t xml:space="preserve"> </w:t>
      </w:r>
      <w:r w:rsidR="00FD2E92">
        <w:t xml:space="preserve">Giliau analizuojant problemą ir vykdant prevencines priemones, į šį aspektą būtina atkreipti dėmesį, taip pat vertėtų paanalizuoti išgelbėtų gyventojų </w:t>
      </w:r>
      <w:r>
        <w:t>skaičių.</w:t>
      </w:r>
    </w:p>
    <w:p w:rsidR="00943487" w:rsidRPr="00C427EE" w:rsidRDefault="009E0A62" w:rsidP="009E0A62">
      <w:pPr>
        <w:tabs>
          <w:tab w:val="left" w:pos="142"/>
          <w:tab w:val="left" w:pos="567"/>
        </w:tabs>
        <w:spacing w:after="0" w:line="360" w:lineRule="auto"/>
        <w:jc w:val="both"/>
      </w:pPr>
      <w:r>
        <w:tab/>
      </w:r>
      <w:r>
        <w:tab/>
      </w:r>
      <w:r w:rsidR="00943487">
        <w:t>Molėtų rajono savivaldybės standartizu</w:t>
      </w:r>
      <w:r w:rsidR="00A976B0">
        <w:t>otas mirtingumo dėl paskendimų</w:t>
      </w:r>
      <w:r w:rsidR="00943487">
        <w:t xml:space="preserve"> rodiklis (19,6/100 000 gyv.) Lietuvos vidurkį  (4,9/1</w:t>
      </w:r>
      <w:r w:rsidR="006B329E">
        <w:t xml:space="preserve">00 000 gyv.) viršija 4 kartus. </w:t>
      </w:r>
    </w:p>
    <w:p w:rsidR="00943487" w:rsidRDefault="00943487" w:rsidP="00943487">
      <w:pPr>
        <w:pStyle w:val="Sraopastraipa"/>
        <w:tabs>
          <w:tab w:val="left" w:pos="567"/>
        </w:tabs>
        <w:spacing w:line="360" w:lineRule="auto"/>
        <w:ind w:left="0"/>
        <w:jc w:val="both"/>
      </w:pPr>
      <w:r>
        <w:tab/>
        <w:t>2018 m. mirtys dėl</w:t>
      </w:r>
      <w:r w:rsidRPr="00457B07">
        <w:t xml:space="preserve"> nukritimų (W00-W19) </w:t>
      </w:r>
      <w:r>
        <w:t xml:space="preserve">šalyje </w:t>
      </w:r>
      <w:r w:rsidRPr="00457B07">
        <w:t xml:space="preserve">sudaro </w:t>
      </w:r>
      <w:r>
        <w:t>11,1</w:t>
      </w:r>
      <w:r w:rsidRPr="00457B07">
        <w:t xml:space="preserve"> proc. visų mirusiųjų nuo išorinių mirties (V01-Y98) priežasčių. </w:t>
      </w:r>
      <w:r>
        <w:t>2016</w:t>
      </w:r>
      <w:r w:rsidRPr="00457B07">
        <w:t>–2018 m. laikotarpiu Molėtų rajono savivaldybėje buvo 15</w:t>
      </w:r>
      <w:r>
        <w:t>-ka (21,6/100 000 gyv.)</w:t>
      </w:r>
      <w:r w:rsidRPr="00457B07">
        <w:t xml:space="preserve"> dėl nukritimų mirusių </w:t>
      </w:r>
      <w:r>
        <w:t>ž</w:t>
      </w:r>
      <w:r w:rsidRPr="00457B07">
        <w:t xml:space="preserve">monių. </w:t>
      </w:r>
      <w:r>
        <w:t>Kitose Utenos apskrities savivaldybėse, kurių rodikliams taip pat skaičiuojamas 3 metų vidurkis, mirusių nuo šių priežasčių skaičius buvo panašus: po 13-ka (25,8/100 000 gyv.) Visagino ir Ignalinos rajono savivaldybėse (17,6/100 000 gyv.) bei dešimt (18,3/100 000 gyv.</w:t>
      </w:r>
      <w:r w:rsidR="00FD2E92">
        <w:t xml:space="preserve">) Zarasų rajono savivaldybėje. </w:t>
      </w:r>
    </w:p>
    <w:p w:rsidR="00943487" w:rsidRDefault="00943487" w:rsidP="00943487">
      <w:pPr>
        <w:pStyle w:val="Sraopastraipa"/>
        <w:tabs>
          <w:tab w:val="left" w:pos="567"/>
        </w:tabs>
        <w:spacing w:line="360" w:lineRule="auto"/>
        <w:ind w:left="0"/>
        <w:jc w:val="both"/>
      </w:pPr>
      <w:r>
        <w:tab/>
        <w:t xml:space="preserve">Analizuojant mirtis dėl nukritimų tarp vyrų ir moterų Molėtų rajono savivaldybėje 2018 m., vyrų mirtingumo rodiklis buvo 35,3/100 000 gyv., moterų – 32,8/100 000 gyv. </w:t>
      </w:r>
      <w:r w:rsidRPr="00FD2E92">
        <w:t>Tarp vyrų mirtys buvo registruotos tik kaimo vietovėse</w:t>
      </w:r>
      <w:r w:rsidR="009E0A62" w:rsidRPr="00FD2E92">
        <w:t xml:space="preserve"> </w:t>
      </w:r>
      <w:r w:rsidRPr="00FD2E92">
        <w:t xml:space="preserve">– 49,9/100 000 gyv., tarp mieste gyvenančių vyrų mirčių dėl nukritimo nebuvo. </w:t>
      </w:r>
      <w:r w:rsidRPr="003A38CE">
        <w:t xml:space="preserve">Tarp </w:t>
      </w:r>
      <w:r>
        <w:t>kaime</w:t>
      </w:r>
      <w:r w:rsidRPr="00F24970">
        <w:t xml:space="preserve"> gyvenančių</w:t>
      </w:r>
      <w:r>
        <w:t xml:space="preserve"> moterų 55-59 m. amžiaus grupėje rodiklis siekė 16,5/100 000 gyv. Mieste gyvenančių moterų mirtingumo rodiklis buvo </w:t>
      </w:r>
      <w:r w:rsidRPr="00515B43">
        <w:t>beveik 4 kartus didesnis</w:t>
      </w:r>
      <w:r w:rsidRPr="003A38CE">
        <w:t xml:space="preserve"> 65,1/100 000 </w:t>
      </w:r>
      <w:r w:rsidRPr="00515B43">
        <w:t xml:space="preserve">gyv., nors </w:t>
      </w:r>
      <w:r w:rsidR="007C3D15">
        <w:t xml:space="preserve">registruoti </w:t>
      </w:r>
      <w:r>
        <w:t>2 mirties atvejai 65-69 m. ir 75-79 m. amžiaus grupėse. Analizuojant 2016</w:t>
      </w:r>
      <w:r w:rsidRPr="00457B07">
        <w:t>–</w:t>
      </w:r>
      <w:r>
        <w:t>2018 m. duomenis, pastebima, jog mirtys dėl nukritimų buvo dažnesnės tarp vyresnių senyvo amžiaus moterų: nuo 75-79 m. iki 90-9</w:t>
      </w:r>
      <w:r w:rsidR="00350F52">
        <w:t>4 m. amžiaus grupės</w:t>
      </w:r>
      <w:r w:rsidR="00350F52" w:rsidRPr="007C3D15">
        <w:rPr>
          <w:color w:val="E36C0A" w:themeColor="accent6" w:themeShade="BF"/>
        </w:rPr>
        <w:t xml:space="preserve">. </w:t>
      </w:r>
      <w:r w:rsidR="007C3D15" w:rsidRPr="00FD2E92">
        <w:t>Mirties atvejų dėl nukritimų</w:t>
      </w:r>
      <w:r w:rsidRPr="00FD2E92">
        <w:t xml:space="preserve"> pasiskirstymas </w:t>
      </w:r>
      <w:r w:rsidR="00FD2E92" w:rsidRPr="00FD2E92">
        <w:t xml:space="preserve">tarp vyrų </w:t>
      </w:r>
      <w:r w:rsidRPr="00FD2E92">
        <w:t>yra netolygus (po vieną mirties atvejį): 45-49 m., 50-54 m., 65-69 m., 70-74 m., 85-89</w:t>
      </w:r>
      <w:r w:rsidR="00626409" w:rsidRPr="00FD2E92">
        <w:t xml:space="preserve"> m., 90-94 m. amžiaus grupėse. </w:t>
      </w:r>
      <w:r w:rsidRPr="00FD2E92">
        <w:t>Stan</w:t>
      </w:r>
      <w:r>
        <w:t>dartizuotas mirtingumas dėl nukritimų (21,6/100 000 gyv.) Molėtų rajono savivaldybėje yra 1,4 karto didesnis už bendrą Lietuv</w:t>
      </w:r>
      <w:r w:rsidR="00F0278C">
        <w:t>os rodiklį (15,3/100 000 gyv.).</w:t>
      </w:r>
    </w:p>
    <w:p w:rsidR="00943487" w:rsidRPr="00D074F5" w:rsidRDefault="00D074F5" w:rsidP="00D074F5">
      <w:pPr>
        <w:pStyle w:val="Antrat1"/>
      </w:pPr>
      <w:bookmarkStart w:id="7" w:name="_Toc30164262"/>
      <w:r w:rsidRPr="00D074F5">
        <w:t>2.2. MIRTINGUMAS NUO KRAUJOTAKOS SIS</w:t>
      </w:r>
      <w:r w:rsidR="00626409">
        <w:t xml:space="preserve">TEMOS LIGŲ (I00-I99) 100 000 </w:t>
      </w:r>
      <w:bookmarkEnd w:id="7"/>
      <w:r w:rsidR="003D0AFC">
        <w:t>GYV.</w:t>
      </w:r>
    </w:p>
    <w:p w:rsidR="00943487" w:rsidRPr="00EE0512" w:rsidRDefault="00943487" w:rsidP="00943487"/>
    <w:p w:rsidR="00943487" w:rsidRDefault="00943487" w:rsidP="004B6025">
      <w:pPr>
        <w:tabs>
          <w:tab w:val="left" w:pos="567"/>
        </w:tabs>
        <w:spacing w:after="0" w:line="360" w:lineRule="auto"/>
        <w:jc w:val="both"/>
      </w:pPr>
      <w:r>
        <w:tab/>
        <w:t xml:space="preserve">Šalies gyventojų mirtingumas nuo kraujotakos sistemos ligų </w:t>
      </w:r>
      <w:r w:rsidR="00D074F5">
        <w:t>bei piktybinių navikų jau daugelį metų išlieka vienos</w:t>
      </w:r>
      <w:r>
        <w:t xml:space="preserve"> iš pagrindinių mirties priežasčių. </w:t>
      </w:r>
      <w:r w:rsidR="00D074F5">
        <w:t xml:space="preserve">Todėl siekiant mažinti mirtingumą nuo šių ligų, reikia ypatingą dėmesį skirti lėtinių neinfekcinių ligų prevencijai ir kontrolei. </w:t>
      </w:r>
      <w:r w:rsidR="00FD2E92" w:rsidRPr="00FD2E92">
        <w:t xml:space="preserve">2018 m. dėl kraujotakos sistemos ligų Lietuvoje mirė 21 922 gyventojai (mirtingumo rodiklis – </w:t>
      </w:r>
      <w:r w:rsidR="004B6025" w:rsidRPr="00FD2E92">
        <w:t>782,5/100 000 gyv., t</w:t>
      </w:r>
      <w:r w:rsidR="00FD2E92" w:rsidRPr="00FD2E92">
        <w:t xml:space="preserve">. y. 23 mirtimis 100 000 gyv. mažiau nei 2017 </w:t>
      </w:r>
      <w:r w:rsidR="004B6025" w:rsidRPr="00FD2E92">
        <w:t xml:space="preserve">m.). </w:t>
      </w:r>
      <w:r>
        <w:t xml:space="preserve">Molėtų rajono savivaldybės gyventojų mirtingumo rodiklis (1 190,7/100 000 gyv.) nuo kraujotakos sistemos ligų bendrą šalies vidurkį (782,5/100 000 gyv.) lenkia 1,52 karto. Situacija dar prastesnė yra kitose 20 tūkst. gyventojų neturinčiose Utenos apskrities savivaldybėse – Ignalinos rajono savivaldybės gyventojų mirtingumo </w:t>
      </w:r>
      <w:r>
        <w:lastRenderedPageBreak/>
        <w:t>rodiklis 1 372,3/100 000 gyv., Zarasų rajono savivaldybės – 1 305,6/100 000 gyv., Visagino savivaldybės rodiklis 625/100 000 gyv.</w:t>
      </w:r>
    </w:p>
    <w:p w:rsidR="00943487" w:rsidRDefault="00943487" w:rsidP="00943487">
      <w:pPr>
        <w:tabs>
          <w:tab w:val="left" w:pos="567"/>
        </w:tabs>
        <w:spacing w:after="0" w:line="360" w:lineRule="auto"/>
        <w:jc w:val="both"/>
      </w:pPr>
      <w:r>
        <w:tab/>
        <w:t>2018 m. daugiau nei pusė (55,1 proc.</w:t>
      </w:r>
      <w:r w:rsidR="00634A06">
        <w:t xml:space="preserve"> – 218 gyventojų</w:t>
      </w:r>
      <w:r>
        <w:t>) Molėtų rajono savivaldybės gyventojų mirė nuo kraujotakos sistemos ligų. Tarp kaime gyvenančių žmonių mirtingumo rodiklis (1 456,7/100 000 gyv.) buvo 1,9 karto didesnis už miesto gyventojų mirtingumo rodiklį (755,0/100 000 gyv.)</w:t>
      </w:r>
      <w:r w:rsidR="00317389">
        <w:t>.</w:t>
      </w:r>
      <w:r>
        <w:t xml:space="preserve"> </w:t>
      </w:r>
      <w:r w:rsidRPr="003A38CE">
        <w:t>Moter</w:t>
      </w:r>
      <w:r>
        <w:t xml:space="preserve">ų mirtingumo rodiklis (1 465,1/100 000 gyv.) nuo šių ligų buvo didesnis už vyrų (988,2/100 000 gyv.) mirtingumo rodiklį. Analizuojant rodiklį išsamiau, labai dideli mirtingumo netolygumai stebimi tarp moterų, kurios gyveno mieste ir kaime. </w:t>
      </w:r>
      <w:r w:rsidRPr="004B045F">
        <w:t>Pastarųjų mirtingumo rodiklis (1 877,2/100 000 gyv.) buvo 2,8 karto didesnis</w:t>
      </w:r>
      <w:r w:rsidRPr="003A38CE">
        <w:t xml:space="preserve"> </w:t>
      </w:r>
      <w:r w:rsidRPr="004B045F">
        <w:t>už mieste gyvenusių mirtingumo rodiklį</w:t>
      </w:r>
      <w:r w:rsidRPr="003A38CE">
        <w:t xml:space="preserve"> (650,8/100 000 gyv</w:t>
      </w:r>
      <w:r w:rsidRPr="004B045F">
        <w:t>.).</w:t>
      </w:r>
      <w:r>
        <w:t xml:space="preserve"> Kaimo vietovėse</w:t>
      </w:r>
      <w:r w:rsidRPr="00BE61B4">
        <w:t xml:space="preserve"> daugiausiai mirusiųjų buvo 85-89 m. ir 90-94 m. amžiaus grupėse. Molėtų</w:t>
      </w:r>
      <w:r>
        <w:t xml:space="preserve"> mieste moterų mirtingumo amžiaus</w:t>
      </w:r>
      <w:r w:rsidRPr="00BE61B4">
        <w:t xml:space="preserve"> struktūra buvo panaši – 75-79 m. ir  85-89 m. </w:t>
      </w:r>
      <w:r>
        <w:t xml:space="preserve">2016–2018 m. laikotarpiu stebimas moterų, gyvenančių kaimo vietovėse, mirtingumo rodiklio nuo kraujotakos sistemos ligų didėjimas nuo 1 648,3/100 000 </w:t>
      </w:r>
      <w:r w:rsidR="00E96968">
        <w:t>gyv. iki 1 877,2/100 000 gyv. (2</w:t>
      </w:r>
      <w:r>
        <w:t xml:space="preserve"> pav.).</w:t>
      </w:r>
    </w:p>
    <w:p w:rsidR="00943487" w:rsidRDefault="00943487" w:rsidP="00943487">
      <w:pPr>
        <w:tabs>
          <w:tab w:val="left" w:pos="567"/>
        </w:tabs>
        <w:spacing w:after="0" w:line="360" w:lineRule="auto"/>
        <w:jc w:val="both"/>
      </w:pPr>
      <w:r w:rsidRPr="008A6BFE">
        <w:tab/>
      </w:r>
      <w:r w:rsidRPr="00D074F5">
        <w:t>Vyrų, kurie gyveno kaimo vietovėse</w:t>
      </w:r>
      <w:r w:rsidR="00D074F5" w:rsidRPr="00D074F5">
        <w:t xml:space="preserve"> 20</w:t>
      </w:r>
      <w:r w:rsidR="00E96968">
        <w:t xml:space="preserve">18 m., </w:t>
      </w:r>
      <w:r w:rsidRPr="00D074F5">
        <w:t>mirtingumo rodiklis</w:t>
      </w:r>
      <w:r w:rsidR="00D074F5" w:rsidRPr="00D074F5">
        <w:t xml:space="preserve">, nuo kraujotakos sistemos ligų </w:t>
      </w:r>
      <w:r w:rsidRPr="00D074F5">
        <w:t xml:space="preserve">buvo didesnis 1031,7/100 000 gyv. už mieste gyvenusių vyrų – 883,4/100 000 gyv. </w:t>
      </w:r>
      <w:r w:rsidR="009B6CE9">
        <w:t xml:space="preserve">Miesto vyrų mirtingumo </w:t>
      </w:r>
      <w:r w:rsidR="009B6CE9" w:rsidRPr="009B6CE9">
        <w:t>amžiaus</w:t>
      </w:r>
      <w:r w:rsidRPr="009B6CE9">
        <w:t xml:space="preserve"> </w:t>
      </w:r>
      <w:r>
        <w:t xml:space="preserve">struktūroje, daugiausiai mirusiųjų buvo 65-69 m., 70-74 m. bei 80-84 m. amžiaus grupėse. </w:t>
      </w:r>
      <w:r w:rsidRPr="00AE68C9">
        <w:t xml:space="preserve">Tarp kaimo gyventojų – 60-64 m., 75-79 m., 85-89 m., 90-94 m. amžiaus grupėse. </w:t>
      </w:r>
    </w:p>
    <w:p w:rsidR="00943487" w:rsidRDefault="00943487" w:rsidP="00943487">
      <w:pPr>
        <w:tabs>
          <w:tab w:val="left" w:pos="567"/>
        </w:tabs>
        <w:spacing w:after="0" w:line="360" w:lineRule="auto"/>
        <w:jc w:val="both"/>
      </w:pPr>
      <w:r>
        <w:tab/>
        <w:t>2016–2018 m. laikotarpiu Molėtų miesto ir kaimo gyventojų vyrų mirtin</w:t>
      </w:r>
      <w:r w:rsidR="009B6CE9">
        <w:t>gumo rodiklis buvo nepastovus (2</w:t>
      </w:r>
      <w:r>
        <w:t xml:space="preserve"> pav.).</w:t>
      </w:r>
    </w:p>
    <w:p w:rsidR="00943487" w:rsidRDefault="00943487" w:rsidP="00943487">
      <w:pPr>
        <w:tabs>
          <w:tab w:val="left" w:pos="567"/>
        </w:tabs>
        <w:spacing w:after="0" w:line="360" w:lineRule="auto"/>
        <w:jc w:val="both"/>
      </w:pPr>
      <w:r>
        <w:tab/>
        <w:t>Molėtų rajono savivaldybės standartizuotas mirtingumo rodiklis nuo kraujotakos sist</w:t>
      </w:r>
      <w:r w:rsidR="009B6CE9">
        <w:t xml:space="preserve">emos ligų skyrėsi 1,2 </w:t>
      </w:r>
      <w:r w:rsidR="009B6CE9" w:rsidRPr="009B6CE9">
        <w:t xml:space="preserve">karto lyginant su </w:t>
      </w:r>
      <w:r w:rsidRPr="009B6CE9">
        <w:t xml:space="preserve">Lietuvos </w:t>
      </w:r>
      <w:r>
        <w:t>rodiklio 782,5/100 000 gyv.</w:t>
      </w:r>
    </w:p>
    <w:p w:rsidR="00943487" w:rsidRPr="00BE61B4" w:rsidRDefault="00943487" w:rsidP="00943487">
      <w:pPr>
        <w:tabs>
          <w:tab w:val="left" w:pos="567"/>
        </w:tabs>
        <w:spacing w:after="0" w:line="360" w:lineRule="auto"/>
        <w:jc w:val="both"/>
      </w:pPr>
    </w:p>
    <w:p w:rsidR="00943487" w:rsidRDefault="00943487" w:rsidP="00943487">
      <w:pPr>
        <w:tabs>
          <w:tab w:val="left" w:pos="567"/>
        </w:tabs>
        <w:spacing w:line="360" w:lineRule="auto"/>
        <w:jc w:val="center"/>
      </w:pPr>
      <w:r>
        <w:rPr>
          <w:noProof/>
          <w:lang w:eastAsia="lt-LT"/>
        </w:rPr>
        <w:drawing>
          <wp:inline distT="0" distB="0" distL="0" distR="0" wp14:anchorId="46FF070F" wp14:editId="40BE978D">
            <wp:extent cx="5324475" cy="2133600"/>
            <wp:effectExtent l="0" t="0" r="9525" b="1905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3487" w:rsidRPr="00E96968" w:rsidRDefault="009B6CE9" w:rsidP="00943487">
      <w:pPr>
        <w:tabs>
          <w:tab w:val="left" w:pos="567"/>
        </w:tabs>
        <w:spacing w:after="0" w:line="360" w:lineRule="auto"/>
        <w:jc w:val="both"/>
        <w:rPr>
          <w:szCs w:val="24"/>
        </w:rPr>
      </w:pPr>
      <w:r w:rsidRPr="00E96968">
        <w:rPr>
          <w:b/>
          <w:szCs w:val="24"/>
        </w:rPr>
        <w:t>2</w:t>
      </w:r>
      <w:r w:rsidR="00943487" w:rsidRPr="00E96968">
        <w:rPr>
          <w:b/>
          <w:szCs w:val="24"/>
        </w:rPr>
        <w:t xml:space="preserve"> pav.</w:t>
      </w:r>
      <w:r w:rsidR="00943487" w:rsidRPr="00E96968">
        <w:rPr>
          <w:szCs w:val="24"/>
        </w:rPr>
        <w:t xml:space="preserve"> Molėtų rajono savivaldybės </w:t>
      </w:r>
      <w:r w:rsidRPr="00E96968">
        <w:rPr>
          <w:szCs w:val="24"/>
        </w:rPr>
        <w:t xml:space="preserve">miesto/kaimo </w:t>
      </w:r>
      <w:r w:rsidR="00943487" w:rsidRPr="00E96968">
        <w:rPr>
          <w:szCs w:val="24"/>
        </w:rPr>
        <w:t>gyventojų</w:t>
      </w:r>
      <w:r w:rsidRPr="00E96968">
        <w:rPr>
          <w:szCs w:val="24"/>
        </w:rPr>
        <w:t xml:space="preserve"> </w:t>
      </w:r>
      <w:r w:rsidR="00943487" w:rsidRPr="00E96968">
        <w:rPr>
          <w:szCs w:val="24"/>
        </w:rPr>
        <w:t>mirtingumo rodiklis nuo kraujotakos sistemos ligų 100 000 gyv. 2016–2018 m</w:t>
      </w:r>
      <w:r w:rsidRPr="00E96968">
        <w:rPr>
          <w:szCs w:val="24"/>
        </w:rPr>
        <w:t>.</w:t>
      </w:r>
    </w:p>
    <w:p w:rsidR="00943487" w:rsidRDefault="00943487" w:rsidP="00943487">
      <w:pPr>
        <w:tabs>
          <w:tab w:val="left" w:pos="567"/>
        </w:tabs>
        <w:spacing w:after="0" w:line="360" w:lineRule="auto"/>
        <w:jc w:val="right"/>
        <w:rPr>
          <w:sz w:val="20"/>
        </w:rPr>
      </w:pPr>
      <w:r w:rsidRPr="00FD457F">
        <w:rPr>
          <w:sz w:val="20"/>
        </w:rPr>
        <w:t>Šaltinis: HISIC Mirties atvejų ir jų priežasčių valstybės registras</w:t>
      </w:r>
    </w:p>
    <w:p w:rsidR="009B6CE9" w:rsidRDefault="00423AE8" w:rsidP="009B6CE9">
      <w:pPr>
        <w:tabs>
          <w:tab w:val="left" w:pos="567"/>
        </w:tabs>
        <w:spacing w:after="0" w:line="360" w:lineRule="auto"/>
        <w:jc w:val="both"/>
      </w:pPr>
      <w:r>
        <w:lastRenderedPageBreak/>
        <w:tab/>
      </w:r>
      <w:r w:rsidR="009B6CE9">
        <w:t>Cerebrovaskulinės ligos (</w:t>
      </w:r>
      <w:r>
        <w:t xml:space="preserve">I60-I69), kurios apima </w:t>
      </w:r>
      <w:r w:rsidR="009B6CE9" w:rsidRPr="001A5F52">
        <w:t>smegenų infarkt</w:t>
      </w:r>
      <w:r>
        <w:t>ą</w:t>
      </w:r>
      <w:r w:rsidR="009B6CE9" w:rsidRPr="001A5F52">
        <w:t>, intracerebrini</w:t>
      </w:r>
      <w:r>
        <w:t>us</w:t>
      </w:r>
      <w:r w:rsidR="009B6CE9" w:rsidRPr="001A5F52">
        <w:t xml:space="preserve"> kraujavim</w:t>
      </w:r>
      <w:r>
        <w:t>us</w:t>
      </w:r>
      <w:r w:rsidR="009B6CE9" w:rsidRPr="001A5F52">
        <w:t>, smegenų arterijų užsikimšim</w:t>
      </w:r>
      <w:r>
        <w:t>ą</w:t>
      </w:r>
      <w:r w:rsidR="009B6CE9" w:rsidRPr="001A5F52">
        <w:t xml:space="preserve"> ir kt. lig</w:t>
      </w:r>
      <w:r>
        <w:t>ų,</w:t>
      </w:r>
      <w:r w:rsidR="00626409">
        <w:t xml:space="preserve"> 2018 m.</w:t>
      </w:r>
      <w:r>
        <w:t xml:space="preserve"> </w:t>
      </w:r>
      <w:r w:rsidR="009B6CE9">
        <w:t>Lietuvoje</w:t>
      </w:r>
      <w:r>
        <w:t xml:space="preserve"> nusinešė</w:t>
      </w:r>
      <w:r w:rsidR="009B6CE9">
        <w:t xml:space="preserve"> </w:t>
      </w:r>
      <w:r>
        <w:t>5 352 žmonių gyvybes (</w:t>
      </w:r>
      <w:r w:rsidR="009B6CE9">
        <w:t>mirti</w:t>
      </w:r>
      <w:r>
        <w:t xml:space="preserve">ngumo rodiklis 191/100 000 gyv.). </w:t>
      </w:r>
      <w:r w:rsidR="009B6CE9">
        <w:t>Molėtų rajono savivaldybės gyventojų mirtingumo rodiklis nuo cerebrovaskulin</w:t>
      </w:r>
      <w:r w:rsidR="003D0AFC">
        <w:t>ių ligų buvo 459,4/100 000 gyv.</w:t>
      </w:r>
      <w:r w:rsidR="009B6CE9">
        <w:t xml:space="preserve"> Kitose Utenos apskrities savivaldybėse, kuriose gyventojų skaičius nesiekia 20 tūkst., situacija yra šiek tiek geresnė – Ignalinos rajono savivaldybė – 296,6/100 000 gyv., Zarasų rajono savivaldybėje mirtingumo rodiklis nuo cerebrovaskulinių ligų buvo 211,6/100 000 gyv., o Visagino savivaldybėje – 224,3/100 000 gyv. </w:t>
      </w:r>
    </w:p>
    <w:p w:rsidR="009B6CE9" w:rsidRDefault="009B6CE9" w:rsidP="009B6CE9">
      <w:pPr>
        <w:tabs>
          <w:tab w:val="left" w:pos="567"/>
        </w:tabs>
        <w:spacing w:after="0" w:line="360" w:lineRule="auto"/>
        <w:jc w:val="both"/>
      </w:pPr>
      <w:r>
        <w:tab/>
        <w:t>Analizuotu laikotarpiu, Molėtų rajono moterų mirtingumo rodiklis sumažėjo nuo 639/100 000 gyv. (2016 m.) iki 470,2/100 000 gyv. (2018 m.). Molėtų rajono vyrų mirtingumo rodiklis 2016</w:t>
      </w:r>
      <w:r w:rsidRPr="00C75ACA">
        <w:rPr>
          <w:sz w:val="22"/>
        </w:rPr>
        <w:t>–</w:t>
      </w:r>
      <w:r>
        <w:t>2018 m. laikotarpiu sumažėjo nuo 637,6/100 000 gyv. iki 329,4/100 000 gyv. Vertinant mirtingumo rodiklį tarp miesto ir kaimo gyventojų, mirtingumo rodiklis yra didesnis tarp kaimo (557,5/100 000 gyv.) gyventųjų nei tarp miesto (350,7/100 000 gyv.). Dideli mirtingumo rodiklių netolygumai stebimi tarp miesto ir kaimo tos pači</w:t>
      </w:r>
      <w:r w:rsidR="00423AE8">
        <w:t>os lyties gyventojų (3</w:t>
      </w:r>
      <w:r>
        <w:t xml:space="preserve"> pav.). 2017 m. moterų mirtingumo rodiklis buvo 713,8/100 000 – 2,4 karto didesnis už vyrų mirtingumo rodiklį (292,5/100 000 gyv.) nuo cerebrovaskulinių ligų.  </w:t>
      </w:r>
    </w:p>
    <w:p w:rsidR="009B6CE9" w:rsidRPr="003A38CE" w:rsidRDefault="009B6CE9" w:rsidP="009B6CE9">
      <w:pPr>
        <w:tabs>
          <w:tab w:val="left" w:pos="567"/>
        </w:tabs>
        <w:spacing w:after="0" w:line="360" w:lineRule="auto"/>
        <w:jc w:val="both"/>
      </w:pPr>
      <w:r>
        <w:tab/>
        <w:t xml:space="preserve">Vertinant standartizuotą mirtingumo rodiklį nuo cerebrovaskulinių ligų, Molėtų rajono savivaldybės rodiklis (351,1/100 000 gyv.), buvo 1,9 karto  didesnis už Lietuvos rodiklį – 181,8/100 000 gyv. </w:t>
      </w:r>
    </w:p>
    <w:p w:rsidR="009B6CE9" w:rsidRDefault="009B6CE9" w:rsidP="009B6CE9">
      <w:pPr>
        <w:tabs>
          <w:tab w:val="left" w:pos="567"/>
        </w:tabs>
        <w:spacing w:line="360" w:lineRule="auto"/>
        <w:jc w:val="center"/>
        <w:rPr>
          <w:lang w:val="en-US"/>
        </w:rPr>
      </w:pPr>
      <w:r>
        <w:rPr>
          <w:noProof/>
          <w:lang w:eastAsia="lt-LT"/>
        </w:rPr>
        <w:drawing>
          <wp:inline distT="0" distB="0" distL="0" distR="0" wp14:anchorId="1988295A" wp14:editId="17A7124A">
            <wp:extent cx="4572000" cy="2743200"/>
            <wp:effectExtent l="0" t="0" r="19050" b="1905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6CE9" w:rsidRPr="003D0AFC" w:rsidRDefault="00423AE8" w:rsidP="009B6CE9">
      <w:pPr>
        <w:tabs>
          <w:tab w:val="left" w:pos="567"/>
        </w:tabs>
        <w:spacing w:line="360" w:lineRule="auto"/>
        <w:jc w:val="both"/>
        <w:rPr>
          <w:szCs w:val="24"/>
        </w:rPr>
      </w:pPr>
      <w:r w:rsidRPr="003D0AFC">
        <w:rPr>
          <w:b/>
          <w:szCs w:val="24"/>
          <w:lang w:val="en-US"/>
        </w:rPr>
        <w:t xml:space="preserve">3 </w:t>
      </w:r>
      <w:r w:rsidR="009B6CE9" w:rsidRPr="003D0AFC">
        <w:rPr>
          <w:b/>
          <w:szCs w:val="24"/>
          <w:lang w:val="en-US"/>
        </w:rPr>
        <w:t>pav.</w:t>
      </w:r>
      <w:r w:rsidR="009E0A62">
        <w:rPr>
          <w:szCs w:val="24"/>
          <w:lang w:val="en-US"/>
        </w:rPr>
        <w:t xml:space="preserve"> </w:t>
      </w:r>
      <w:r w:rsidR="009B6CE9" w:rsidRPr="003D0AFC">
        <w:rPr>
          <w:szCs w:val="24"/>
        </w:rPr>
        <w:t xml:space="preserve">Molėtų rajono savivaldybės </w:t>
      </w:r>
      <w:r w:rsidR="003D0AFC" w:rsidRPr="003D0AFC">
        <w:rPr>
          <w:szCs w:val="24"/>
        </w:rPr>
        <w:t>miesto/kaimo</w:t>
      </w:r>
      <w:r w:rsidR="009B6CE9" w:rsidRPr="003D0AFC">
        <w:rPr>
          <w:szCs w:val="24"/>
        </w:rPr>
        <w:t xml:space="preserve"> </w:t>
      </w:r>
      <w:r w:rsidR="003D0AFC" w:rsidRPr="003D0AFC">
        <w:rPr>
          <w:szCs w:val="24"/>
        </w:rPr>
        <w:t xml:space="preserve">gyventojų </w:t>
      </w:r>
      <w:r w:rsidR="009B6CE9" w:rsidRPr="003D0AFC">
        <w:rPr>
          <w:szCs w:val="24"/>
        </w:rPr>
        <w:t xml:space="preserve">mirtingumo rodiklis nuo cerebrovaskulinių ligų 100 000 gyv. </w:t>
      </w:r>
      <w:r w:rsidR="003D0AFC" w:rsidRPr="003D0AFC">
        <w:rPr>
          <w:szCs w:val="24"/>
        </w:rPr>
        <w:t>2016–2018 m</w:t>
      </w:r>
      <w:r w:rsidR="003E1BF6">
        <w:rPr>
          <w:szCs w:val="24"/>
        </w:rPr>
        <w:t>.</w:t>
      </w:r>
    </w:p>
    <w:p w:rsidR="00E80601" w:rsidRPr="00AE68C9" w:rsidRDefault="009B6CE9" w:rsidP="00AE68C9">
      <w:pPr>
        <w:tabs>
          <w:tab w:val="left" w:pos="567"/>
        </w:tabs>
        <w:spacing w:line="360" w:lineRule="auto"/>
        <w:jc w:val="right"/>
        <w:rPr>
          <w:sz w:val="20"/>
        </w:rPr>
      </w:pPr>
      <w:r w:rsidRPr="00FD457F">
        <w:rPr>
          <w:sz w:val="20"/>
        </w:rPr>
        <w:t>Šaltinis: HISIC Mirties atvejų ir j</w:t>
      </w:r>
      <w:r w:rsidR="00626409">
        <w:rPr>
          <w:sz w:val="20"/>
        </w:rPr>
        <w:t>ų priežasčių valstybės registras</w:t>
      </w:r>
      <w:bookmarkStart w:id="8" w:name="_Toc30164263"/>
    </w:p>
    <w:p w:rsidR="00943487" w:rsidRPr="00F0278C" w:rsidRDefault="009B6CE9" w:rsidP="009B6CE9">
      <w:pPr>
        <w:pStyle w:val="Antrat1"/>
      </w:pPr>
      <w:r>
        <w:lastRenderedPageBreak/>
        <w:t xml:space="preserve">2.3. </w:t>
      </w:r>
      <w:r w:rsidRPr="00F0278C">
        <w:t>MIRTINGUMAS NUO PIKTYBI</w:t>
      </w:r>
      <w:r w:rsidR="00626409">
        <w:t xml:space="preserve">NIŲ NAVIKŲ (C00-C96) 100 000 </w:t>
      </w:r>
      <w:bookmarkEnd w:id="8"/>
      <w:r w:rsidR="003D0AFC">
        <w:t>GYV.</w:t>
      </w:r>
    </w:p>
    <w:p w:rsidR="00943487" w:rsidRDefault="00943487" w:rsidP="00943487">
      <w:pPr>
        <w:jc w:val="both"/>
      </w:pPr>
    </w:p>
    <w:p w:rsidR="00943487" w:rsidRDefault="00943487" w:rsidP="00943487">
      <w:pPr>
        <w:tabs>
          <w:tab w:val="left" w:pos="567"/>
        </w:tabs>
        <w:spacing w:after="0" w:line="360" w:lineRule="auto"/>
        <w:jc w:val="both"/>
      </w:pPr>
      <w:r>
        <w:tab/>
        <w:t xml:space="preserve">Piktybiniai navikai yra antra pagal dažnumą mirties priežastis Lietuvoje. 2018 m. nuo piktybinių navikų šalyje mirė </w:t>
      </w:r>
      <w:r w:rsidRPr="00E30ED1">
        <w:t>8 028 gyventojai</w:t>
      </w:r>
      <w:r>
        <w:t xml:space="preserve"> – mirtingumo rodiklis 286,6/100 000 gyv. Molėtų rajono gyventojų mirtingumo rodiklis siekė 351/100 000 gyv. Kitose Utenos apskrities savivaldybėse, kuriose nėra 20 tūkst. gyventojų, mirtingumo rodikliai nuo piktybinių navikų taip pat buvo aukšti – Ignalinos rajono savivaldybė – 407,6/100 000 gyv., šiek tiek mažesni Visagino savivaldybėje (249,3/100 000 gyv.) bei Zarasų rajono savivaldybėje ( 320,1/100 000 gyv.).</w:t>
      </w:r>
    </w:p>
    <w:p w:rsidR="00943487" w:rsidRDefault="00943487" w:rsidP="00943487">
      <w:pPr>
        <w:tabs>
          <w:tab w:val="left" w:pos="567"/>
        </w:tabs>
        <w:spacing w:after="0" w:line="360" w:lineRule="auto"/>
        <w:jc w:val="both"/>
      </w:pPr>
      <w:r>
        <w:tab/>
        <w:t>Analizuojant vyrų ir moterų mirtingumo rodiklius nuo piktybinių navikų, 2016–2017 m. laikotarpiu, stebimas vyrų mirtingumo rodiklių atotrūkis nuo moterų mirt</w:t>
      </w:r>
      <w:r w:rsidR="00423AE8">
        <w:t>ingumo rodiklio, ypač 2016 m. (4</w:t>
      </w:r>
      <w:r>
        <w:t xml:space="preserve"> pav.). 2017 m. daugiau buvo mirusių tarp kaimo gyventojų (385,3/100 000 gyv.) nei tarp miesto gyventojų (229,2/100 000 gyv.) 2018 m. moterų mirtingumo rodiklis mieste (423/100 000 gyv.) buvo didesnis už miesto vyrų mirtingumo rodiklį (321,2/100 000 gyv.). Tarp kaime gyvenančių moterų (428,1/100 000 gyv.), mirtingumo rodiklis buvo didesnis nei vyrų mirtingumo rodiklis (366,1/100 000 gyv.). 2018 m. daugiausiai mirusių nuo piktybinių navikų tarp moterų, gyvenančių kaime, buvo 80-85 m. amžiaus grupėje. Tarp vyrų, daugiausiai mirė 70-74 m. amžiaus grupėje. </w:t>
      </w:r>
    </w:p>
    <w:p w:rsidR="00943487" w:rsidRDefault="00943487" w:rsidP="00943487">
      <w:pPr>
        <w:tabs>
          <w:tab w:val="left" w:pos="567"/>
        </w:tabs>
        <w:spacing w:line="360" w:lineRule="auto"/>
        <w:jc w:val="center"/>
        <w:rPr>
          <w:lang w:val="en-US"/>
        </w:rPr>
      </w:pPr>
      <w:r>
        <w:rPr>
          <w:noProof/>
          <w:lang w:eastAsia="lt-LT"/>
        </w:rPr>
        <w:drawing>
          <wp:inline distT="0" distB="0" distL="0" distR="0" wp14:anchorId="03F3E6F6" wp14:editId="3EF0261D">
            <wp:extent cx="4572000" cy="274320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3487" w:rsidRPr="003D0AFC" w:rsidRDefault="00423AE8" w:rsidP="00943487">
      <w:pPr>
        <w:tabs>
          <w:tab w:val="left" w:pos="567"/>
        </w:tabs>
        <w:spacing w:after="0" w:line="360" w:lineRule="auto"/>
        <w:jc w:val="both"/>
        <w:rPr>
          <w:szCs w:val="24"/>
        </w:rPr>
      </w:pPr>
      <w:r w:rsidRPr="003D0AFC">
        <w:rPr>
          <w:b/>
          <w:szCs w:val="24"/>
          <w:lang w:val="en-US"/>
        </w:rPr>
        <w:t>4</w:t>
      </w:r>
      <w:r w:rsidR="00943487" w:rsidRPr="003D0AFC">
        <w:rPr>
          <w:b/>
          <w:szCs w:val="24"/>
          <w:lang w:val="en-US"/>
        </w:rPr>
        <w:t xml:space="preserve"> pav.</w:t>
      </w:r>
      <w:r w:rsidR="00943487" w:rsidRPr="003D0AFC">
        <w:rPr>
          <w:szCs w:val="24"/>
          <w:lang w:val="en-US"/>
        </w:rPr>
        <w:t xml:space="preserve"> </w:t>
      </w:r>
      <w:r w:rsidR="00943487" w:rsidRPr="003D0AFC">
        <w:rPr>
          <w:szCs w:val="24"/>
        </w:rPr>
        <w:t xml:space="preserve">Molėtų rajono savivaldybės </w:t>
      </w:r>
      <w:r w:rsidR="003D0AFC" w:rsidRPr="003D0AFC">
        <w:rPr>
          <w:szCs w:val="24"/>
        </w:rPr>
        <w:t>miesto/kaimo gyventojų</w:t>
      </w:r>
      <w:r w:rsidR="00943487" w:rsidRPr="003D0AFC">
        <w:rPr>
          <w:szCs w:val="24"/>
        </w:rPr>
        <w:t xml:space="preserve"> mirtingumo rodiklis nuo piktybinių navikų 100 000 gyv. 2016–2018 m.</w:t>
      </w:r>
    </w:p>
    <w:p w:rsidR="003D20CA" w:rsidRDefault="00943487" w:rsidP="003D20CA">
      <w:pPr>
        <w:tabs>
          <w:tab w:val="left" w:pos="567"/>
        </w:tabs>
        <w:spacing w:after="0" w:line="360" w:lineRule="auto"/>
        <w:jc w:val="right"/>
        <w:rPr>
          <w:sz w:val="20"/>
        </w:rPr>
      </w:pPr>
      <w:r w:rsidRPr="00FD457F">
        <w:rPr>
          <w:sz w:val="20"/>
        </w:rPr>
        <w:t>Šaltinis: HISIC Mirties atvejų ir jų priežasčių valstybės registras</w:t>
      </w:r>
    </w:p>
    <w:p w:rsidR="003D20CA" w:rsidRPr="003D20CA" w:rsidRDefault="003D20CA" w:rsidP="003D20CA">
      <w:pPr>
        <w:tabs>
          <w:tab w:val="left" w:pos="567"/>
        </w:tabs>
        <w:spacing w:after="0" w:line="360" w:lineRule="auto"/>
        <w:jc w:val="right"/>
        <w:rPr>
          <w:sz w:val="20"/>
        </w:rPr>
      </w:pPr>
    </w:p>
    <w:p w:rsidR="003D0AFC" w:rsidRPr="003D0AFC" w:rsidRDefault="003D0AFC" w:rsidP="003D0AFC">
      <w:bookmarkStart w:id="9" w:name="_Toc30164264"/>
    </w:p>
    <w:p w:rsidR="00AE68C9" w:rsidRDefault="00AE68C9" w:rsidP="003D20CA">
      <w:pPr>
        <w:pStyle w:val="Antrat1"/>
      </w:pPr>
    </w:p>
    <w:p w:rsidR="00227F47" w:rsidRDefault="00227F47" w:rsidP="003D20CA">
      <w:pPr>
        <w:pStyle w:val="Antrat1"/>
      </w:pPr>
      <w:r w:rsidRPr="008B0C30">
        <w:t>3. SUAUGUSIŲJŲ GYVENSENOS TYRIMO DUOMENYS</w:t>
      </w:r>
      <w:bookmarkEnd w:id="9"/>
    </w:p>
    <w:p w:rsidR="003D20CA" w:rsidRPr="003D20CA" w:rsidRDefault="003D20CA" w:rsidP="003D20CA"/>
    <w:p w:rsidR="00227F47" w:rsidRPr="008B0C30" w:rsidRDefault="00227F47" w:rsidP="000F0DDF">
      <w:pPr>
        <w:autoSpaceDE w:val="0"/>
        <w:autoSpaceDN w:val="0"/>
        <w:adjustRightInd w:val="0"/>
        <w:spacing w:after="0" w:line="360" w:lineRule="auto"/>
        <w:ind w:firstLine="567"/>
        <w:jc w:val="both"/>
        <w:rPr>
          <w:rFonts w:cs="Times New Roman"/>
          <w:bCs/>
          <w:szCs w:val="24"/>
        </w:rPr>
      </w:pPr>
      <w:r w:rsidRPr="008B0C30">
        <w:rPr>
          <w:rFonts w:cs="Times New Roman"/>
          <w:bCs/>
          <w:szCs w:val="24"/>
        </w:rPr>
        <w:t xml:space="preserve">2018 m. kovo–gegužės mėn. </w:t>
      </w:r>
      <w:r w:rsidR="00DA3B05">
        <w:rPr>
          <w:rFonts w:cs="Times New Roman"/>
          <w:bCs/>
          <w:szCs w:val="24"/>
        </w:rPr>
        <w:t xml:space="preserve">buvo </w:t>
      </w:r>
      <w:r w:rsidRPr="008B0C30">
        <w:rPr>
          <w:rFonts w:cs="Times New Roman"/>
          <w:bCs/>
          <w:szCs w:val="24"/>
        </w:rPr>
        <w:t>atliktas pirmasis savivaldybių suaugusių gyventojų gyvensenos tyrimas.</w:t>
      </w:r>
      <w:r w:rsidRPr="008B0C30">
        <w:t xml:space="preserve"> </w:t>
      </w:r>
      <w:r w:rsidRPr="008B0C30">
        <w:rPr>
          <w:rFonts w:cs="Times New Roman"/>
          <w:bCs/>
          <w:szCs w:val="24"/>
        </w:rPr>
        <w:t>Tyrime dalyvavo 24 889 (18 metų ir vyresni) asmenys iš 60 savivaldybių, kuriose formuotos reprezentatyvios imtys, atsižvelgiant į gyventojų skaičių, pasiskirstymą pagal lytį ir gyvenamąją vietovę. Apklausas vykdė savivaldy</w:t>
      </w:r>
      <w:r>
        <w:rPr>
          <w:rFonts w:cs="Times New Roman"/>
          <w:bCs/>
          <w:szCs w:val="24"/>
        </w:rPr>
        <w:t xml:space="preserve">bių visuomenės sveikatos </w:t>
      </w:r>
      <w:r w:rsidRPr="00C05277">
        <w:rPr>
          <w:rFonts w:cs="Times New Roman"/>
          <w:bCs/>
          <w:szCs w:val="24"/>
        </w:rPr>
        <w:t>biurų visuomenės sveikatos specialistai.</w:t>
      </w:r>
    </w:p>
    <w:p w:rsidR="00227F47" w:rsidRPr="008B0C30" w:rsidRDefault="00227F47" w:rsidP="000F0DDF">
      <w:pPr>
        <w:autoSpaceDE w:val="0"/>
        <w:autoSpaceDN w:val="0"/>
        <w:adjustRightInd w:val="0"/>
        <w:spacing w:after="0" w:line="360" w:lineRule="auto"/>
        <w:ind w:firstLine="567"/>
        <w:jc w:val="both"/>
        <w:rPr>
          <w:rFonts w:cs="Times New Roman"/>
          <w:szCs w:val="24"/>
        </w:rPr>
      </w:pPr>
      <w:r>
        <w:rPr>
          <w:rFonts w:cs="Times New Roman"/>
          <w:szCs w:val="24"/>
        </w:rPr>
        <w:t xml:space="preserve">Molėtų rajone apklausta 413 respondentų, 18 metų ir vyresni Molėtų </w:t>
      </w:r>
      <w:r w:rsidRPr="008B0C30">
        <w:rPr>
          <w:rFonts w:cs="Times New Roman"/>
          <w:szCs w:val="24"/>
        </w:rPr>
        <w:t>rajono gyventojai</w:t>
      </w:r>
      <w:r>
        <w:rPr>
          <w:rFonts w:cs="Times New Roman"/>
          <w:szCs w:val="24"/>
        </w:rPr>
        <w:t>. Iš jų 176 (42,6 proc.) vyrai ir 237 (57</w:t>
      </w:r>
      <w:r w:rsidRPr="008B0C30">
        <w:rPr>
          <w:rFonts w:cs="Times New Roman"/>
          <w:szCs w:val="24"/>
        </w:rPr>
        <w:t>,</w:t>
      </w:r>
      <w:r>
        <w:rPr>
          <w:rFonts w:cs="Times New Roman"/>
          <w:szCs w:val="24"/>
        </w:rPr>
        <w:t>4 proc.) motery</w:t>
      </w:r>
      <w:r w:rsidRPr="008B0C30">
        <w:rPr>
          <w:rFonts w:cs="Times New Roman"/>
          <w:szCs w:val="24"/>
        </w:rPr>
        <w:t xml:space="preserve">s, </w:t>
      </w:r>
      <w:r>
        <w:rPr>
          <w:rFonts w:cs="Times New Roman"/>
          <w:szCs w:val="24"/>
        </w:rPr>
        <w:t>245 (59,3 proc.) kaimo, 46 (11,1 proc.) miestelio ir 122 (29</w:t>
      </w:r>
      <w:r w:rsidRPr="008B0C30">
        <w:rPr>
          <w:rFonts w:cs="Times New Roman"/>
          <w:szCs w:val="24"/>
        </w:rPr>
        <w:t xml:space="preserve">,5 proc.) miesto gyventojai. </w:t>
      </w:r>
    </w:p>
    <w:p w:rsidR="00227F47" w:rsidRPr="008B0C30" w:rsidRDefault="00227F47" w:rsidP="000F0DDF">
      <w:pPr>
        <w:autoSpaceDE w:val="0"/>
        <w:autoSpaceDN w:val="0"/>
        <w:adjustRightInd w:val="0"/>
        <w:spacing w:after="0" w:line="360" w:lineRule="auto"/>
        <w:ind w:firstLine="567"/>
        <w:jc w:val="both"/>
        <w:rPr>
          <w:rFonts w:cs="Times New Roman"/>
          <w:szCs w:val="24"/>
        </w:rPr>
      </w:pPr>
      <w:r w:rsidRPr="008B0C30">
        <w:rPr>
          <w:rFonts w:cs="Times New Roman"/>
          <w:szCs w:val="24"/>
        </w:rPr>
        <w:t>Tyrimo rezultatai pristatomi pagal 16 suaugusiųjų gyvensenos stebėsenos rodiklių, patvirtintų 2018 m. gruodžio 7 d. įsakymu Nr. V-1407 ,,Dėl Lietuvos Respublikos sveikatos apsaugos ministro 2003 m. rugpjūčio 11. d. įsakymo Nr. V-488 ,,Dėl Bendrųjų savivaldybių visuomenės sveikatos stebėsenos nuostatų patvirtinimo“ pakeitimo</w:t>
      </w:r>
      <w:r>
        <w:rPr>
          <w:rFonts w:cs="Times New Roman"/>
          <w:szCs w:val="24"/>
        </w:rPr>
        <w:t>“</w:t>
      </w:r>
      <w:r w:rsidRPr="008B0C30">
        <w:rPr>
          <w:rFonts w:cs="Times New Roman"/>
          <w:szCs w:val="24"/>
        </w:rPr>
        <w:t>.</w:t>
      </w:r>
    </w:p>
    <w:p w:rsidR="00227F47" w:rsidRPr="008B0C30" w:rsidRDefault="00227F47" w:rsidP="00227F47">
      <w:pPr>
        <w:autoSpaceDE w:val="0"/>
        <w:autoSpaceDN w:val="0"/>
        <w:adjustRightInd w:val="0"/>
        <w:spacing w:after="0" w:line="360" w:lineRule="auto"/>
        <w:ind w:firstLine="851"/>
        <w:jc w:val="both"/>
        <w:rPr>
          <w:rFonts w:cs="Times New Roman"/>
          <w:szCs w:val="24"/>
        </w:rPr>
      </w:pPr>
      <w:r w:rsidRPr="008B0C30">
        <w:rPr>
          <w:rFonts w:cs="Times New Roman"/>
          <w:szCs w:val="24"/>
        </w:rPr>
        <w:t>Rodikliai suskirstyti į 3 grupes:</w:t>
      </w:r>
    </w:p>
    <w:p w:rsidR="00227F47" w:rsidRPr="008B0C30" w:rsidRDefault="00227F47" w:rsidP="00227F47">
      <w:pPr>
        <w:numPr>
          <w:ilvl w:val="0"/>
          <w:numId w:val="10"/>
        </w:numPr>
        <w:autoSpaceDE w:val="0"/>
        <w:autoSpaceDN w:val="0"/>
        <w:adjustRightInd w:val="0"/>
        <w:spacing w:after="0" w:line="360" w:lineRule="auto"/>
        <w:contextualSpacing/>
        <w:jc w:val="both"/>
        <w:rPr>
          <w:rFonts w:cs="Times New Roman"/>
          <w:i/>
          <w:szCs w:val="24"/>
        </w:rPr>
      </w:pPr>
      <w:r w:rsidRPr="008B0C30">
        <w:rPr>
          <w:rFonts w:cs="Times New Roman"/>
          <w:i/>
          <w:szCs w:val="24"/>
        </w:rPr>
        <w:t>gyvenimo kokybės, sveikatos būklės, laimingumo vertinimas, prislėgta nuotaika, bendravimas;</w:t>
      </w:r>
    </w:p>
    <w:p w:rsidR="00227F47" w:rsidRPr="008B0C30" w:rsidRDefault="00227F47" w:rsidP="00227F47">
      <w:pPr>
        <w:numPr>
          <w:ilvl w:val="0"/>
          <w:numId w:val="10"/>
        </w:numPr>
        <w:autoSpaceDE w:val="0"/>
        <w:autoSpaceDN w:val="0"/>
        <w:adjustRightInd w:val="0"/>
        <w:spacing w:after="0" w:line="360" w:lineRule="auto"/>
        <w:contextualSpacing/>
        <w:jc w:val="both"/>
        <w:rPr>
          <w:rFonts w:cs="Times New Roman"/>
          <w:bCs/>
          <w:i/>
          <w:szCs w:val="24"/>
        </w:rPr>
      </w:pPr>
      <w:r w:rsidRPr="008B0C30">
        <w:rPr>
          <w:rFonts w:cs="Times New Roman"/>
          <w:bCs/>
          <w:i/>
          <w:szCs w:val="24"/>
        </w:rPr>
        <w:t>sveikatos elgsena (fizinis aktyvumas, daržovių, vaisių, druskos vartojimas);</w:t>
      </w:r>
    </w:p>
    <w:p w:rsidR="00227F47" w:rsidRPr="008B0C30" w:rsidRDefault="00227F47" w:rsidP="00227F47">
      <w:pPr>
        <w:numPr>
          <w:ilvl w:val="0"/>
          <w:numId w:val="10"/>
        </w:numPr>
        <w:autoSpaceDE w:val="0"/>
        <w:autoSpaceDN w:val="0"/>
        <w:adjustRightInd w:val="0"/>
        <w:spacing w:after="0" w:line="360" w:lineRule="auto"/>
        <w:contextualSpacing/>
        <w:jc w:val="both"/>
        <w:rPr>
          <w:rFonts w:cs="Times New Roman"/>
          <w:bCs/>
          <w:i/>
          <w:szCs w:val="24"/>
        </w:rPr>
      </w:pPr>
      <w:r w:rsidRPr="008B0C30">
        <w:rPr>
          <w:rFonts w:cs="Times New Roman"/>
          <w:bCs/>
          <w:i/>
          <w:szCs w:val="24"/>
        </w:rPr>
        <w:t>rizikingas elgesys (tabako, elektroninių cigarečių rūkymas, alkoholio vartojimas, narkotinių medžiagų vartojimas).</w:t>
      </w:r>
    </w:p>
    <w:p w:rsidR="00227F47" w:rsidRPr="008B0C30" w:rsidRDefault="00227F47" w:rsidP="00227F47">
      <w:pPr>
        <w:autoSpaceDE w:val="0"/>
        <w:autoSpaceDN w:val="0"/>
        <w:adjustRightInd w:val="0"/>
        <w:spacing w:after="0" w:line="360" w:lineRule="auto"/>
        <w:jc w:val="right"/>
        <w:rPr>
          <w:rFonts w:cs="Times New Roman"/>
          <w:bCs/>
          <w:szCs w:val="24"/>
        </w:rPr>
      </w:pPr>
      <w:r w:rsidRPr="008B0C30">
        <w:rPr>
          <w:rFonts w:cs="Times New Roman"/>
          <w:bCs/>
          <w:szCs w:val="24"/>
        </w:rPr>
        <w:t>2 lentelė</w:t>
      </w:r>
    </w:p>
    <w:p w:rsidR="00227F47" w:rsidRPr="008B0C30" w:rsidRDefault="00227F47" w:rsidP="00227F47">
      <w:pPr>
        <w:autoSpaceDE w:val="0"/>
        <w:autoSpaceDN w:val="0"/>
        <w:adjustRightInd w:val="0"/>
        <w:spacing w:after="0" w:line="360" w:lineRule="auto"/>
        <w:jc w:val="center"/>
        <w:rPr>
          <w:rFonts w:cs="Times New Roman"/>
          <w:bCs/>
          <w:szCs w:val="24"/>
        </w:rPr>
      </w:pPr>
      <w:r>
        <w:rPr>
          <w:rFonts w:cs="Times New Roman"/>
          <w:b/>
          <w:bCs/>
          <w:szCs w:val="24"/>
        </w:rPr>
        <w:t xml:space="preserve">Molėtų </w:t>
      </w:r>
      <w:r w:rsidRPr="008B0C30">
        <w:rPr>
          <w:rFonts w:cs="Times New Roman"/>
          <w:b/>
          <w:bCs/>
          <w:szCs w:val="24"/>
        </w:rPr>
        <w:t>rajono savivaldybės suaugusiųjų gyvensenos rodikliai</w:t>
      </w:r>
      <w:r w:rsidRPr="008B0C30">
        <w:rPr>
          <w:rFonts w:cs="Times New Roman"/>
          <w:bCs/>
          <w:szCs w:val="24"/>
        </w:rPr>
        <w:t xml:space="preserve">       </w:t>
      </w:r>
    </w:p>
    <w:tbl>
      <w:tblPr>
        <w:tblStyle w:val="Lentelstinklelis1"/>
        <w:tblW w:w="10774" w:type="dxa"/>
        <w:tblInd w:w="-743" w:type="dxa"/>
        <w:tblLayout w:type="fixed"/>
        <w:tblLook w:val="04A0" w:firstRow="1" w:lastRow="0" w:firstColumn="1" w:lastColumn="0" w:noHBand="0" w:noVBand="1"/>
      </w:tblPr>
      <w:tblGrid>
        <w:gridCol w:w="5495"/>
        <w:gridCol w:w="1701"/>
        <w:gridCol w:w="1843"/>
        <w:gridCol w:w="1735"/>
      </w:tblGrid>
      <w:tr w:rsidR="00201595" w:rsidRPr="00201595" w:rsidTr="00FD2E92">
        <w:tc>
          <w:tcPr>
            <w:tcW w:w="5495" w:type="dxa"/>
            <w:shd w:val="clear" w:color="auto" w:fill="D9D9D9" w:themeFill="background1" w:themeFillShade="D9"/>
            <w:vAlign w:val="center"/>
          </w:tcPr>
          <w:p w:rsidR="00201595" w:rsidRPr="00201595" w:rsidRDefault="00201595" w:rsidP="00201595">
            <w:pPr>
              <w:autoSpaceDE w:val="0"/>
              <w:autoSpaceDN w:val="0"/>
              <w:adjustRightInd w:val="0"/>
              <w:spacing w:after="0" w:line="240" w:lineRule="auto"/>
              <w:jc w:val="center"/>
              <w:rPr>
                <w:rFonts w:cs="Times New Roman"/>
                <w:bCs/>
                <w:szCs w:val="24"/>
              </w:rPr>
            </w:pPr>
            <w:r w:rsidRPr="00201595">
              <w:rPr>
                <w:rFonts w:cs="Times New Roman"/>
                <w:bCs/>
                <w:szCs w:val="24"/>
              </w:rPr>
              <w:t>Rodiklio pavadinimas</w:t>
            </w:r>
          </w:p>
        </w:tc>
        <w:tc>
          <w:tcPr>
            <w:tcW w:w="1701" w:type="dxa"/>
            <w:shd w:val="clear" w:color="auto" w:fill="D9D9D9" w:themeFill="background1" w:themeFillShade="D9"/>
          </w:tcPr>
          <w:p w:rsidR="00201595" w:rsidRPr="00201595" w:rsidRDefault="00201595" w:rsidP="00201595">
            <w:pPr>
              <w:autoSpaceDE w:val="0"/>
              <w:autoSpaceDN w:val="0"/>
              <w:adjustRightInd w:val="0"/>
              <w:spacing w:after="0" w:line="240" w:lineRule="auto"/>
              <w:jc w:val="center"/>
              <w:rPr>
                <w:rFonts w:cs="Times New Roman"/>
                <w:bCs/>
                <w:szCs w:val="24"/>
              </w:rPr>
            </w:pPr>
            <w:r w:rsidRPr="00201595">
              <w:rPr>
                <w:rFonts w:cs="Times New Roman"/>
                <w:bCs/>
                <w:szCs w:val="24"/>
              </w:rPr>
              <w:t>Savivaldybės rodiklio reikšmė</w:t>
            </w:r>
          </w:p>
        </w:tc>
        <w:tc>
          <w:tcPr>
            <w:tcW w:w="1843" w:type="dxa"/>
            <w:shd w:val="clear" w:color="auto" w:fill="D9D9D9" w:themeFill="background1" w:themeFillShade="D9"/>
          </w:tcPr>
          <w:p w:rsidR="00201595" w:rsidRPr="00201595" w:rsidRDefault="00201595" w:rsidP="00201595">
            <w:pPr>
              <w:autoSpaceDE w:val="0"/>
              <w:autoSpaceDN w:val="0"/>
              <w:adjustRightInd w:val="0"/>
              <w:spacing w:after="0" w:line="240" w:lineRule="auto"/>
              <w:jc w:val="center"/>
              <w:rPr>
                <w:rFonts w:cs="Times New Roman"/>
                <w:bCs/>
                <w:szCs w:val="24"/>
              </w:rPr>
            </w:pPr>
            <w:r w:rsidRPr="00201595">
              <w:rPr>
                <w:rFonts w:cs="Times New Roman"/>
                <w:bCs/>
                <w:szCs w:val="24"/>
              </w:rPr>
              <w:t>Lietuvos rodiklio reikšmė</w:t>
            </w:r>
          </w:p>
        </w:tc>
        <w:tc>
          <w:tcPr>
            <w:tcW w:w="1735" w:type="dxa"/>
            <w:shd w:val="clear" w:color="auto" w:fill="D9D9D9" w:themeFill="background1" w:themeFillShade="D9"/>
          </w:tcPr>
          <w:p w:rsidR="00201595" w:rsidRPr="00201595" w:rsidRDefault="00201595" w:rsidP="00201595">
            <w:pPr>
              <w:autoSpaceDE w:val="0"/>
              <w:autoSpaceDN w:val="0"/>
              <w:adjustRightInd w:val="0"/>
              <w:spacing w:after="0" w:line="240" w:lineRule="auto"/>
              <w:ind w:right="286"/>
              <w:jc w:val="center"/>
              <w:rPr>
                <w:rFonts w:cs="Times New Roman"/>
                <w:bCs/>
                <w:szCs w:val="24"/>
              </w:rPr>
            </w:pPr>
            <w:r w:rsidRPr="00201595">
              <w:rPr>
                <w:rFonts w:cs="Times New Roman"/>
                <w:bCs/>
                <w:szCs w:val="24"/>
              </w:rPr>
              <w:t>Santykis savivaldybė/Lietuva</w:t>
            </w:r>
          </w:p>
        </w:tc>
      </w:tr>
      <w:tr w:rsidR="00201595" w:rsidRPr="00201595" w:rsidTr="00FD2E92">
        <w:tc>
          <w:tcPr>
            <w:tcW w:w="10774" w:type="dxa"/>
            <w:gridSpan w:val="4"/>
          </w:tcPr>
          <w:p w:rsidR="00201595" w:rsidRPr="00201595" w:rsidRDefault="00201595" w:rsidP="00201595">
            <w:pPr>
              <w:autoSpaceDE w:val="0"/>
              <w:autoSpaceDN w:val="0"/>
              <w:adjustRightInd w:val="0"/>
              <w:spacing w:after="0" w:line="360" w:lineRule="auto"/>
              <w:jc w:val="both"/>
              <w:rPr>
                <w:rFonts w:cs="Times New Roman"/>
                <w:b/>
                <w:bCs/>
                <w:szCs w:val="24"/>
              </w:rPr>
            </w:pPr>
            <w:r w:rsidRPr="00201595">
              <w:rPr>
                <w:rFonts w:cs="Times New Roman"/>
                <w:b/>
                <w:bCs/>
                <w:szCs w:val="24"/>
              </w:rPr>
              <w:t>1.Gyvenimo kokybės, sveikatos, laimingumo vertinimas, prislėgta nuotaika, bendravimas</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savo gyvenimo kokybę vertina kaip gerą ir labai gerą,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61,1</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61,8</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 xml:space="preserve">1,0 </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vertina savo sveikatą kaip gerą ir labai gerą,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55,4</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58,1</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 xml:space="preserve">1,0 </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jaučiasi laimingi ir labai laimingi,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50,1</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58,1</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 xml:space="preserve">0,9 </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kuriuos per praėjusį mėnesį buvo apėmusi prislėgta nuotaika, nerimas labiau nei ankščiau,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24,7</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16,6</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1,5</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Dalis suaugusiųjų, kurie bent kelis kartus per mėnesį bendrauja su šeimos nariais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94,9</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94,2</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1,0</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lastRenderedPageBreak/>
              <w:t>Dalis suaugusiųjų, kurie bent kelis kartus per mėnesį bendrauja su giminaičiais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76,7</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77,2</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1,0</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Dalis suaugusiųjų, kurie bent kelis kartus per mėnesį bendrauja su draugais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83,7</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83,5</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1,0</w:t>
            </w:r>
          </w:p>
        </w:tc>
      </w:tr>
      <w:tr w:rsidR="00201595" w:rsidRPr="00201595" w:rsidTr="00FD2E92">
        <w:tc>
          <w:tcPr>
            <w:tcW w:w="10774" w:type="dxa"/>
            <w:gridSpan w:val="4"/>
          </w:tcPr>
          <w:p w:rsidR="00201595" w:rsidRPr="00201595" w:rsidRDefault="00201595" w:rsidP="00201595">
            <w:pPr>
              <w:autoSpaceDE w:val="0"/>
              <w:autoSpaceDN w:val="0"/>
              <w:adjustRightInd w:val="0"/>
              <w:spacing w:after="0" w:line="360" w:lineRule="auto"/>
              <w:jc w:val="both"/>
              <w:rPr>
                <w:rFonts w:cs="Times New Roman"/>
                <w:b/>
                <w:bCs/>
                <w:szCs w:val="24"/>
              </w:rPr>
            </w:pPr>
            <w:r w:rsidRPr="00201595">
              <w:rPr>
                <w:rFonts w:cs="Times New Roman"/>
                <w:b/>
                <w:bCs/>
                <w:szCs w:val="24"/>
              </w:rPr>
              <w:t>2. Fizinis aktyvumas ir mitybos įpročiai</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užsiima aktyvia fizine veikla bent po 30 min.5 dienas per savaitę ar dažniau,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39,5</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40,5</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1,0</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bent kartą per dieną valgo daržoves (neįskaitant bulvių),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41,5</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42,0</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1,0</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bent kartą per dieną valgo vaisius,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36,7</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34,7</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1,1</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papildomai nededa druskos į paruoštą maistą,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46,1</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43,8</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1,1</w:t>
            </w:r>
          </w:p>
        </w:tc>
      </w:tr>
      <w:tr w:rsidR="00201595" w:rsidRPr="00201595" w:rsidTr="00FD2E92">
        <w:tc>
          <w:tcPr>
            <w:tcW w:w="10774" w:type="dxa"/>
            <w:gridSpan w:val="4"/>
          </w:tcPr>
          <w:p w:rsidR="00201595" w:rsidRPr="00201595" w:rsidRDefault="00201595" w:rsidP="00201595">
            <w:pPr>
              <w:autoSpaceDE w:val="0"/>
              <w:autoSpaceDN w:val="0"/>
              <w:adjustRightInd w:val="0"/>
              <w:spacing w:after="0" w:line="360" w:lineRule="auto"/>
              <w:jc w:val="both"/>
              <w:rPr>
                <w:rFonts w:cs="Times New Roman"/>
                <w:b/>
                <w:bCs/>
                <w:szCs w:val="24"/>
              </w:rPr>
            </w:pPr>
            <w:r w:rsidRPr="00201595">
              <w:rPr>
                <w:rFonts w:cs="Times New Roman"/>
                <w:b/>
                <w:bCs/>
                <w:szCs w:val="24"/>
              </w:rPr>
              <w:t xml:space="preserve">3. Rizikingas elgesys </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per paskutines 30 dienų kasdien rūkė tabako gaminius,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11,0</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17,3</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0,6</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per paskutines 30 dienų kasdien rūkė elektronines cigaretes,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1,2</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1,1</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1,1</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per paskutines 30 dienų kasdien vartojo alkoholinius gėrimus,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0,3</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1,5</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0,2</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per paskutines 30 dienų kasdien vartojo alkoholinius gėrimus kartą per savaitę ir dažniau,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22,9</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22,0</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1,0</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per paskutinius 12 mėnesių vartojo alkoholinius gėrimus kartą per savaitę ir dažniau,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13,1</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15,7</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0,8</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per paskutines 30 dienų bent kartą vartojo narkotinių ar psichotropinių medžiagų be gydytojo paskyrimo,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2,7</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2,1</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1,3</w:t>
            </w:r>
          </w:p>
        </w:tc>
      </w:tr>
      <w:tr w:rsidR="00201595" w:rsidRPr="00201595" w:rsidTr="00FD2E92">
        <w:tc>
          <w:tcPr>
            <w:tcW w:w="5495" w:type="dxa"/>
          </w:tcPr>
          <w:p w:rsidR="00201595" w:rsidRPr="00201595" w:rsidRDefault="00201595" w:rsidP="00201595">
            <w:pPr>
              <w:autoSpaceDE w:val="0"/>
              <w:autoSpaceDN w:val="0"/>
              <w:adjustRightInd w:val="0"/>
              <w:spacing w:after="0" w:line="240" w:lineRule="auto"/>
              <w:jc w:val="both"/>
              <w:rPr>
                <w:rFonts w:cs="Times New Roman"/>
                <w:bCs/>
                <w:szCs w:val="24"/>
              </w:rPr>
            </w:pPr>
            <w:r w:rsidRPr="00201595">
              <w:rPr>
                <w:rFonts w:cs="Times New Roman"/>
                <w:bCs/>
                <w:szCs w:val="24"/>
              </w:rPr>
              <w:t>Suaugusiųjų, kurie per paskutinius 12 mėnesių bent kartą vartojo narkotinių ar psichotropinių medžiagų be gydytojo paskyrimo, dalis (proc.)</w:t>
            </w:r>
          </w:p>
        </w:tc>
        <w:tc>
          <w:tcPr>
            <w:tcW w:w="1701"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5,1</w:t>
            </w:r>
          </w:p>
        </w:tc>
        <w:tc>
          <w:tcPr>
            <w:tcW w:w="1843"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3,2</w:t>
            </w:r>
          </w:p>
        </w:tc>
        <w:tc>
          <w:tcPr>
            <w:tcW w:w="1735" w:type="dxa"/>
          </w:tcPr>
          <w:p w:rsidR="00201595" w:rsidRPr="00201595" w:rsidRDefault="00201595" w:rsidP="00201595">
            <w:pPr>
              <w:autoSpaceDE w:val="0"/>
              <w:autoSpaceDN w:val="0"/>
              <w:adjustRightInd w:val="0"/>
              <w:spacing w:after="0" w:line="360" w:lineRule="auto"/>
              <w:jc w:val="center"/>
              <w:rPr>
                <w:rFonts w:cs="Times New Roman"/>
                <w:bCs/>
                <w:szCs w:val="24"/>
              </w:rPr>
            </w:pPr>
            <w:r w:rsidRPr="00201595">
              <w:rPr>
                <w:rFonts w:cs="Times New Roman"/>
                <w:bCs/>
                <w:szCs w:val="24"/>
              </w:rPr>
              <w:t>1,6</w:t>
            </w:r>
          </w:p>
        </w:tc>
      </w:tr>
    </w:tbl>
    <w:p w:rsidR="00227F47" w:rsidRPr="008B0C30" w:rsidRDefault="00227F47" w:rsidP="00227F47">
      <w:pPr>
        <w:autoSpaceDE w:val="0"/>
        <w:autoSpaceDN w:val="0"/>
        <w:adjustRightInd w:val="0"/>
        <w:spacing w:after="0" w:line="240" w:lineRule="auto"/>
        <w:rPr>
          <w:rFonts w:cs="Times New Roman"/>
          <w:b/>
          <w:bCs/>
          <w:szCs w:val="24"/>
        </w:rPr>
      </w:pPr>
    </w:p>
    <w:p w:rsidR="00227F47" w:rsidRDefault="00227F47" w:rsidP="00227F47">
      <w:pPr>
        <w:autoSpaceDE w:val="0"/>
        <w:autoSpaceDN w:val="0"/>
        <w:adjustRightInd w:val="0"/>
        <w:spacing w:after="0" w:line="360" w:lineRule="auto"/>
        <w:ind w:firstLine="851"/>
        <w:jc w:val="both"/>
        <w:rPr>
          <w:rFonts w:cs="Times New Roman"/>
          <w:bCs/>
          <w:szCs w:val="24"/>
        </w:rPr>
      </w:pPr>
      <w:r w:rsidRPr="008B0C30">
        <w:rPr>
          <w:rFonts w:cs="Times New Roman"/>
          <w:bCs/>
          <w:szCs w:val="24"/>
        </w:rPr>
        <w:t xml:space="preserve">Iš 2 lentelės pateiktų rodiklių matyti, kad </w:t>
      </w:r>
      <w:r>
        <w:rPr>
          <w:rFonts w:cs="Times New Roman"/>
          <w:bCs/>
          <w:szCs w:val="24"/>
        </w:rPr>
        <w:t xml:space="preserve">Molėtų </w:t>
      </w:r>
      <w:r w:rsidRPr="008B0C30">
        <w:rPr>
          <w:rFonts w:cs="Times New Roman"/>
          <w:bCs/>
          <w:szCs w:val="24"/>
        </w:rPr>
        <w:t xml:space="preserve">rajono gyventojų gyvenimo kokybės, sveikatos būklės, bendravimo su šeimos nariais, artimaisiais ir draugais vertinimas </w:t>
      </w:r>
      <w:r>
        <w:rPr>
          <w:rFonts w:cs="Times New Roman"/>
          <w:bCs/>
          <w:szCs w:val="24"/>
        </w:rPr>
        <w:t xml:space="preserve">atitinka Lietuvos vidurkį. Kas ketvirtas respondentas Molėtų rajone nurodė, kad per praėjusį mėnesį buvo apėmusi prislėgta nuotaika, nerimas, tuo tarpų Lietuvoje per minėtą laikotarpį, tokį atsakymą nurodė kas šeštas respondentas. </w:t>
      </w:r>
    </w:p>
    <w:p w:rsidR="00227F47" w:rsidRDefault="00227F47" w:rsidP="000F0DDF">
      <w:pPr>
        <w:autoSpaceDE w:val="0"/>
        <w:autoSpaceDN w:val="0"/>
        <w:adjustRightInd w:val="0"/>
        <w:spacing w:after="0" w:line="360" w:lineRule="auto"/>
        <w:ind w:firstLine="567"/>
        <w:jc w:val="both"/>
        <w:rPr>
          <w:rFonts w:cs="Times New Roman"/>
          <w:bCs/>
          <w:szCs w:val="24"/>
        </w:rPr>
      </w:pPr>
      <w:r>
        <w:rPr>
          <w:rFonts w:cs="Times New Roman"/>
          <w:bCs/>
          <w:szCs w:val="24"/>
        </w:rPr>
        <w:t xml:space="preserve">Molėtų rajone </w:t>
      </w:r>
      <w:r w:rsidRPr="008B0C30">
        <w:rPr>
          <w:rFonts w:cs="Times New Roman"/>
          <w:bCs/>
          <w:szCs w:val="24"/>
        </w:rPr>
        <w:t>fizinio aktyvumo vertinimas atitinka Lietuvos vidurkį</w:t>
      </w:r>
      <w:r>
        <w:rPr>
          <w:rFonts w:cs="Times New Roman"/>
          <w:bCs/>
          <w:szCs w:val="24"/>
        </w:rPr>
        <w:t xml:space="preserve">, o mitybos įpročių vertinimas </w:t>
      </w:r>
      <w:r w:rsidRPr="008B0C30">
        <w:rPr>
          <w:rFonts w:cs="Times New Roman"/>
          <w:bCs/>
          <w:szCs w:val="24"/>
        </w:rPr>
        <w:t>geresnis už Lietuvos vidurkį.</w:t>
      </w:r>
      <w:r>
        <w:rPr>
          <w:rFonts w:cs="Times New Roman"/>
          <w:bCs/>
          <w:szCs w:val="24"/>
        </w:rPr>
        <w:t xml:space="preserve"> </w:t>
      </w:r>
    </w:p>
    <w:p w:rsidR="00227F47" w:rsidRPr="003D20CA" w:rsidRDefault="00227F47" w:rsidP="000F0DDF">
      <w:pPr>
        <w:autoSpaceDE w:val="0"/>
        <w:autoSpaceDN w:val="0"/>
        <w:adjustRightInd w:val="0"/>
        <w:spacing w:after="0" w:line="360" w:lineRule="auto"/>
        <w:ind w:firstLine="567"/>
        <w:jc w:val="both"/>
        <w:rPr>
          <w:rFonts w:cs="Times New Roman"/>
          <w:bCs/>
          <w:szCs w:val="24"/>
        </w:rPr>
      </w:pPr>
      <w:r w:rsidRPr="008B0C30">
        <w:rPr>
          <w:rFonts w:cs="Times New Roman"/>
          <w:bCs/>
          <w:szCs w:val="24"/>
        </w:rPr>
        <w:t>Tyrimas parodė</w:t>
      </w:r>
      <w:r w:rsidRPr="008B0C30">
        <w:rPr>
          <w:rFonts w:cs="Times New Roman"/>
          <w:bCs/>
          <w:szCs w:val="24"/>
          <w14:textFill>
            <w14:gradFill>
              <w14:gsLst>
                <w14:gs w14:pos="0">
                  <w14:srgbClr w14:val="14CD68"/>
                </w14:gs>
                <w14:gs w14:pos="100000">
                  <w14:srgbClr w14:val="0B6E38"/>
                </w14:gs>
              </w14:gsLst>
              <w14:lin w14:ang="0" w14:scaled="0"/>
            </w14:gradFill>
          </w14:textFill>
        </w:rPr>
        <w:t xml:space="preserve"> </w:t>
      </w:r>
      <w:r w:rsidRPr="008B0C30">
        <w:rPr>
          <w:rFonts w:cs="Times New Roman"/>
          <w:bCs/>
          <w:szCs w:val="24"/>
        </w:rPr>
        <w:t>gana aukštus sveikatai rizikingo elgesio rodiklius</w:t>
      </w:r>
      <w:r w:rsidRPr="003626A5">
        <w:rPr>
          <w:rFonts w:cs="Times New Roman"/>
          <w:bCs/>
          <w:szCs w:val="24"/>
        </w:rPr>
        <w:t>:</w:t>
      </w:r>
      <w:r w:rsidRPr="008B0C30">
        <w:rPr>
          <w:rFonts w:cs="Times New Roman"/>
          <w:bCs/>
          <w:szCs w:val="24"/>
          <w14:textFill>
            <w14:gradFill>
              <w14:gsLst>
                <w14:gs w14:pos="0">
                  <w14:srgbClr w14:val="14CD68"/>
                </w14:gs>
                <w14:gs w14:pos="100000">
                  <w14:srgbClr w14:val="0B6E38"/>
                </w14:gs>
              </w14:gsLst>
              <w14:lin w14:ang="0" w14:scaled="0"/>
            </w14:gradFill>
          </w14:textFill>
        </w:rPr>
        <w:t xml:space="preserve"> </w:t>
      </w:r>
      <w:r w:rsidRPr="008B0C30">
        <w:rPr>
          <w:rFonts w:cs="Times New Roman"/>
          <w:bCs/>
          <w:szCs w:val="24"/>
        </w:rPr>
        <w:t>17,3 proc. respondentų Lietuvoje nurodė, kad per paskutines 30 d. kasdien rū</w:t>
      </w:r>
      <w:r>
        <w:rPr>
          <w:rFonts w:cs="Times New Roman"/>
          <w:bCs/>
          <w:szCs w:val="24"/>
        </w:rPr>
        <w:t>kė tabako gaminius, o 15,7</w:t>
      </w:r>
      <w:r w:rsidRPr="008B0C30">
        <w:rPr>
          <w:rFonts w:cs="Times New Roman"/>
          <w:bCs/>
          <w:color w:val="FF0000"/>
          <w:szCs w:val="24"/>
        </w:rPr>
        <w:t xml:space="preserve"> </w:t>
      </w:r>
      <w:r w:rsidRPr="008B0C30">
        <w:rPr>
          <w:rFonts w:cs="Times New Roman"/>
          <w:bCs/>
          <w:szCs w:val="24"/>
        </w:rPr>
        <w:t>proc. – kartą per savaitę</w:t>
      </w:r>
      <w:r w:rsidRPr="00A44F02">
        <w:t xml:space="preserve"> </w:t>
      </w:r>
      <w:r w:rsidRPr="00A44F02">
        <w:rPr>
          <w:rFonts w:cs="Times New Roman"/>
          <w:bCs/>
          <w:szCs w:val="24"/>
        </w:rPr>
        <w:t>ir dažniau</w:t>
      </w:r>
      <w:r>
        <w:rPr>
          <w:rFonts w:cs="Times New Roman"/>
          <w:bCs/>
          <w:szCs w:val="24"/>
        </w:rPr>
        <w:t>,</w:t>
      </w:r>
      <w:r w:rsidRPr="008B0C30">
        <w:rPr>
          <w:rFonts w:cs="Times New Roman"/>
          <w:bCs/>
          <w:szCs w:val="24"/>
        </w:rPr>
        <w:t xml:space="preserve"> </w:t>
      </w:r>
      <w:r>
        <w:rPr>
          <w:rFonts w:cs="Times New Roman"/>
          <w:bCs/>
          <w:szCs w:val="24"/>
        </w:rPr>
        <w:t xml:space="preserve">per paskutinius 12 mėnesių, </w:t>
      </w:r>
      <w:r w:rsidRPr="008B0C30">
        <w:rPr>
          <w:rFonts w:cs="Times New Roman"/>
          <w:bCs/>
          <w:szCs w:val="24"/>
        </w:rPr>
        <w:t xml:space="preserve">vartojo alkoholinius gėrimus. </w:t>
      </w:r>
      <w:r>
        <w:rPr>
          <w:rFonts w:cs="Times New Roman"/>
          <w:bCs/>
          <w:szCs w:val="24"/>
        </w:rPr>
        <w:t xml:space="preserve">Molėtų </w:t>
      </w:r>
      <w:r w:rsidRPr="008B0C30">
        <w:rPr>
          <w:rFonts w:cs="Times New Roman"/>
          <w:bCs/>
          <w:szCs w:val="24"/>
        </w:rPr>
        <w:t xml:space="preserve">rajone šie rodikliai pasiskirstė atitinkamai </w:t>
      </w:r>
      <w:r>
        <w:rPr>
          <w:rFonts w:cs="Times New Roman"/>
          <w:bCs/>
          <w:szCs w:val="24"/>
        </w:rPr>
        <w:t>11,0 proc. ir 13</w:t>
      </w:r>
      <w:r w:rsidRPr="008B0C30">
        <w:rPr>
          <w:rFonts w:cs="Times New Roman"/>
          <w:bCs/>
          <w:szCs w:val="24"/>
        </w:rPr>
        <w:t xml:space="preserve">,1 proc. ir </w:t>
      </w:r>
      <w:r>
        <w:rPr>
          <w:rFonts w:cs="Times New Roman"/>
          <w:bCs/>
          <w:szCs w:val="24"/>
        </w:rPr>
        <w:t>buvo mažesni už Lietuvos vidurkį.</w:t>
      </w:r>
      <w:r w:rsidRPr="008B0C30">
        <w:rPr>
          <w:rFonts w:cs="Times New Roman"/>
          <w:bCs/>
          <w:szCs w:val="24"/>
        </w:rPr>
        <w:t xml:space="preserve"> </w:t>
      </w:r>
      <w:r>
        <w:rPr>
          <w:rFonts w:cs="Times New Roman"/>
          <w:bCs/>
          <w:szCs w:val="24"/>
        </w:rPr>
        <w:t xml:space="preserve">Molėtų </w:t>
      </w:r>
      <w:r>
        <w:rPr>
          <w:rFonts w:cs="Times New Roman"/>
          <w:bCs/>
          <w:szCs w:val="24"/>
        </w:rPr>
        <w:lastRenderedPageBreak/>
        <w:t xml:space="preserve">rajono gyventojai, beveik du kartus dažniau nei Lietuvoje, per paskutinius 12 mėn. bent kartą </w:t>
      </w:r>
      <w:r w:rsidRPr="008B0C30">
        <w:rPr>
          <w:rFonts w:cs="Times New Roman"/>
          <w:bCs/>
          <w:szCs w:val="24"/>
        </w:rPr>
        <w:t>vartojo narkotines</w:t>
      </w:r>
      <w:r>
        <w:rPr>
          <w:rFonts w:cs="Times New Roman"/>
          <w:bCs/>
          <w:szCs w:val="24"/>
        </w:rPr>
        <w:t xml:space="preserve"> ir psichotropines medžiagas be gydytojo paskyrimo.</w:t>
      </w:r>
    </w:p>
    <w:p w:rsidR="003D20CA" w:rsidRDefault="003D20CA" w:rsidP="00943487">
      <w:pPr>
        <w:pStyle w:val="Antrat1"/>
      </w:pPr>
    </w:p>
    <w:p w:rsidR="003573B2" w:rsidRDefault="003573B2" w:rsidP="00943487">
      <w:pPr>
        <w:pStyle w:val="Antrat1"/>
      </w:pPr>
      <w:bookmarkStart w:id="10" w:name="_Toc30164265"/>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943487">
      <w:pPr>
        <w:pStyle w:val="Antrat1"/>
      </w:pPr>
    </w:p>
    <w:p w:rsidR="003573B2" w:rsidRDefault="003573B2" w:rsidP="003573B2"/>
    <w:p w:rsidR="003573B2" w:rsidRDefault="003573B2" w:rsidP="003573B2"/>
    <w:p w:rsidR="003573B2" w:rsidRDefault="003573B2" w:rsidP="003573B2"/>
    <w:p w:rsidR="003573B2" w:rsidRPr="003573B2" w:rsidRDefault="003573B2" w:rsidP="003573B2"/>
    <w:p w:rsidR="00201595" w:rsidRDefault="00201595" w:rsidP="00943487">
      <w:pPr>
        <w:pStyle w:val="Antrat1"/>
      </w:pPr>
    </w:p>
    <w:p w:rsidR="00201595" w:rsidRDefault="00201595" w:rsidP="00943487">
      <w:pPr>
        <w:pStyle w:val="Antrat1"/>
      </w:pPr>
    </w:p>
    <w:p w:rsidR="00201595" w:rsidRDefault="00201595" w:rsidP="00943487">
      <w:pPr>
        <w:pStyle w:val="Antrat1"/>
      </w:pPr>
    </w:p>
    <w:p w:rsidR="00201595" w:rsidRDefault="00201595" w:rsidP="00943487">
      <w:pPr>
        <w:pStyle w:val="Antrat1"/>
      </w:pPr>
    </w:p>
    <w:p w:rsidR="00201595" w:rsidRDefault="00201595" w:rsidP="00943487">
      <w:pPr>
        <w:pStyle w:val="Antrat1"/>
      </w:pPr>
    </w:p>
    <w:p w:rsidR="00201595" w:rsidRDefault="00201595" w:rsidP="00943487">
      <w:pPr>
        <w:pStyle w:val="Antrat1"/>
      </w:pPr>
    </w:p>
    <w:p w:rsidR="00201595" w:rsidRDefault="00201595" w:rsidP="00943487">
      <w:pPr>
        <w:pStyle w:val="Antrat1"/>
      </w:pPr>
    </w:p>
    <w:p w:rsidR="00201595" w:rsidRDefault="00201595" w:rsidP="00943487">
      <w:pPr>
        <w:pStyle w:val="Antrat1"/>
      </w:pPr>
    </w:p>
    <w:p w:rsidR="00201595" w:rsidRPr="00201595" w:rsidRDefault="00201595" w:rsidP="00201595"/>
    <w:p w:rsidR="00943487" w:rsidRDefault="00943487" w:rsidP="00943487">
      <w:pPr>
        <w:pStyle w:val="Antrat1"/>
      </w:pPr>
      <w:r>
        <w:lastRenderedPageBreak/>
        <w:t>IŠVADOS</w:t>
      </w:r>
      <w:bookmarkEnd w:id="10"/>
    </w:p>
    <w:p w:rsidR="00943487" w:rsidRPr="003741D8" w:rsidRDefault="00943487" w:rsidP="00943487"/>
    <w:p w:rsidR="00423AE8" w:rsidRDefault="00943487" w:rsidP="00DA16A7">
      <w:pPr>
        <w:pStyle w:val="Sraopastraipa"/>
        <w:numPr>
          <w:ilvl w:val="0"/>
          <w:numId w:val="11"/>
        </w:numPr>
        <w:tabs>
          <w:tab w:val="left" w:pos="567"/>
        </w:tabs>
        <w:spacing w:after="0" w:line="360" w:lineRule="auto"/>
        <w:jc w:val="both"/>
      </w:pPr>
      <w:r>
        <w:t>Molėtų rajono savivaldybės rodiklių reikšmės lyginant su Lietuvos vidurkio rodikliais pasiskirsto labai netolygiai, nes daugiau nei pusė (52 proc.)  patenka į Lietuvos vidurkį atitinkančią kvintilių grupę (</w:t>
      </w:r>
      <w:r w:rsidRPr="00DA16A7">
        <w:rPr>
          <w:shd w:val="clear" w:color="auto" w:fill="FFFF00"/>
        </w:rPr>
        <w:t>geltonoji zona</w:t>
      </w:r>
      <w:r>
        <w:t>). Prasčiausia savivaldybių rodiklių kvintilių grupė (</w:t>
      </w:r>
      <w:r w:rsidRPr="00DA16A7">
        <w:rPr>
          <w:shd w:val="clear" w:color="auto" w:fill="FF0000"/>
        </w:rPr>
        <w:t>raudonoji zona</w:t>
      </w:r>
      <w:r>
        <w:t>) apėmė daugiau nei trečdalį (38 proc.) Molėtų rajono savivaldybės rodiklių reikšmių. Likusi dalis rodiklių pateko į geresnę k</w:t>
      </w:r>
      <w:r w:rsidR="00227F47">
        <w:t>vintilių grupę (</w:t>
      </w:r>
      <w:r w:rsidR="00227F47" w:rsidRPr="00DA16A7">
        <w:rPr>
          <w:shd w:val="clear" w:color="auto" w:fill="00B050"/>
        </w:rPr>
        <w:t>žalioji zona</w:t>
      </w:r>
      <w:r w:rsidR="00227F47">
        <w:t>). Buvo p</w:t>
      </w:r>
      <w:r>
        <w:t xml:space="preserve">astebėti dideli rodiklių netolygumai tarp vyrų ir moterų, bei tarp miesto ir kaimo gyventojų. </w:t>
      </w:r>
    </w:p>
    <w:p w:rsidR="00E80601" w:rsidRPr="00E80601" w:rsidRDefault="00943487" w:rsidP="00E80601">
      <w:pPr>
        <w:pStyle w:val="Sraopastraipa"/>
        <w:numPr>
          <w:ilvl w:val="0"/>
          <w:numId w:val="11"/>
        </w:numPr>
        <w:autoSpaceDE w:val="0"/>
        <w:autoSpaceDN w:val="0"/>
        <w:adjustRightInd w:val="0"/>
        <w:spacing w:after="0" w:line="360" w:lineRule="auto"/>
        <w:jc w:val="both"/>
        <w:rPr>
          <w:rFonts w:cs="Times New Roman"/>
          <w:bCs/>
          <w:szCs w:val="24"/>
        </w:rPr>
      </w:pPr>
      <w:r>
        <w:t>Vertinant mirtingumo rodiklį nuo kraujotakos sistemos ligų, moterų mirtingumo rodiklis siekė 1 465,1/100 000 gyv.,</w:t>
      </w:r>
      <w:r w:rsidR="00B14AF6">
        <w:t xml:space="preserve"> ir buvo 1,5 karto didesnis už</w:t>
      </w:r>
      <w:r>
        <w:t xml:space="preserve"> vyrų</w:t>
      </w:r>
      <w:r w:rsidR="004B6025">
        <w:t xml:space="preserve"> mirtingumo rodiklį</w:t>
      </w:r>
      <w:r>
        <w:t xml:space="preserve"> </w:t>
      </w:r>
      <w:r w:rsidR="004B6025">
        <w:t>(</w:t>
      </w:r>
      <w:r>
        <w:t>988,2/100 000 gyv.</w:t>
      </w:r>
      <w:r w:rsidR="004B6025">
        <w:t>).</w:t>
      </w:r>
      <w:r>
        <w:t xml:space="preserve"> </w:t>
      </w:r>
      <w:r w:rsidR="00E80601" w:rsidRPr="00E80601">
        <w:t xml:space="preserve">Mirtingumas nuo cerebrovaskulinių ligų tarp kaimo (557,5/100 000 gyv.) ir miesto </w:t>
      </w:r>
      <w:r w:rsidR="004B6025">
        <w:t xml:space="preserve">gyventojų </w:t>
      </w:r>
      <w:r w:rsidR="00E80601" w:rsidRPr="00E80601">
        <w:t>(350,7/100 000 gyv.) skyrėsi pusantro karto.</w:t>
      </w:r>
    </w:p>
    <w:p w:rsidR="00E80601" w:rsidRPr="00E80601" w:rsidRDefault="00943487" w:rsidP="00350F52">
      <w:pPr>
        <w:pStyle w:val="Sraopastraipa"/>
        <w:numPr>
          <w:ilvl w:val="0"/>
          <w:numId w:val="11"/>
        </w:numPr>
        <w:autoSpaceDE w:val="0"/>
        <w:autoSpaceDN w:val="0"/>
        <w:adjustRightInd w:val="0"/>
        <w:spacing w:after="0" w:line="360" w:lineRule="auto"/>
        <w:jc w:val="both"/>
        <w:rPr>
          <w:rFonts w:cs="Times New Roman"/>
          <w:bCs/>
          <w:szCs w:val="24"/>
        </w:rPr>
      </w:pPr>
      <w:r>
        <w:t xml:space="preserve">Mirtingumo rodiklis dėl atsitiktinio paskendimo didesnis tarp vyrų (47,1/100 000 gyv.) nei tarp moterų (10,9/100 000 gyv.). </w:t>
      </w:r>
      <w:r w:rsidR="00350F52" w:rsidRPr="00350F52">
        <w:t>Standartizuotas mirtingumas dėl nukritimų (21,6/100 000 gyv.) Molėtų rajono savivaldybėje yra 1,4 karto didesnis už bendrą Lietuvos rodiklį (15,3/100 000 gyv.).</w:t>
      </w:r>
    </w:p>
    <w:p w:rsidR="00E80601" w:rsidRPr="00E80601" w:rsidRDefault="000041C3" w:rsidP="00E80601">
      <w:pPr>
        <w:pStyle w:val="Sraopastraipa"/>
        <w:numPr>
          <w:ilvl w:val="0"/>
          <w:numId w:val="11"/>
        </w:numPr>
        <w:autoSpaceDE w:val="0"/>
        <w:autoSpaceDN w:val="0"/>
        <w:adjustRightInd w:val="0"/>
        <w:spacing w:after="0" w:line="360" w:lineRule="auto"/>
        <w:jc w:val="both"/>
        <w:rPr>
          <w:rFonts w:cs="Times New Roman"/>
          <w:bCs/>
          <w:szCs w:val="24"/>
        </w:rPr>
      </w:pPr>
      <w:r>
        <w:t>Moterų mirtingumo rodiklis (426,4/100 000 gyv.) nuo piktybinių navikų buvo 1,2 karto didesnis už vyrų mirtingumo rodiklį (352,9/100 000 gyv.).</w:t>
      </w:r>
    </w:p>
    <w:p w:rsidR="006C129D" w:rsidRPr="00E80601" w:rsidRDefault="006C129D" w:rsidP="00E80601">
      <w:pPr>
        <w:pStyle w:val="Sraopastraipa"/>
        <w:numPr>
          <w:ilvl w:val="0"/>
          <w:numId w:val="11"/>
        </w:numPr>
        <w:autoSpaceDE w:val="0"/>
        <w:autoSpaceDN w:val="0"/>
        <w:adjustRightInd w:val="0"/>
        <w:spacing w:after="0" w:line="360" w:lineRule="auto"/>
        <w:jc w:val="both"/>
        <w:rPr>
          <w:rFonts w:cs="Times New Roman"/>
          <w:bCs/>
          <w:szCs w:val="24"/>
        </w:rPr>
      </w:pPr>
      <w:r>
        <w:t xml:space="preserve"> </w:t>
      </w:r>
      <w:r w:rsidRPr="00E80601">
        <w:rPr>
          <w:rFonts w:cs="Times New Roman"/>
          <w:bCs/>
          <w:szCs w:val="24"/>
        </w:rPr>
        <w:t xml:space="preserve">Molėtų rajone fizinio aktyvumo vertinimas atitinka Lietuvos vidurkį, o mitybos įpročių vertinimas geresnis už Lietuvos vidurkį. </w:t>
      </w:r>
    </w:p>
    <w:p w:rsidR="00943487" w:rsidRPr="00344B59" w:rsidRDefault="00943487" w:rsidP="00227F47">
      <w:pPr>
        <w:tabs>
          <w:tab w:val="left" w:pos="567"/>
        </w:tabs>
        <w:spacing w:after="0" w:line="360" w:lineRule="auto"/>
        <w:jc w:val="both"/>
      </w:pPr>
    </w:p>
    <w:p w:rsidR="00350F52" w:rsidRDefault="00350F52" w:rsidP="00943487">
      <w:pPr>
        <w:pStyle w:val="Antrat1"/>
      </w:pPr>
      <w:bookmarkStart w:id="11" w:name="_Toc30164266"/>
    </w:p>
    <w:p w:rsidR="00350F52" w:rsidRDefault="00350F52" w:rsidP="00943487">
      <w:pPr>
        <w:pStyle w:val="Antrat1"/>
      </w:pPr>
    </w:p>
    <w:p w:rsidR="00350F52" w:rsidRDefault="00350F52" w:rsidP="00943487">
      <w:pPr>
        <w:pStyle w:val="Antrat1"/>
      </w:pPr>
    </w:p>
    <w:p w:rsidR="00350F52" w:rsidRDefault="00350F52" w:rsidP="00943487">
      <w:pPr>
        <w:pStyle w:val="Antrat1"/>
      </w:pPr>
    </w:p>
    <w:p w:rsidR="00350F52" w:rsidRDefault="00350F52" w:rsidP="00943487">
      <w:pPr>
        <w:pStyle w:val="Antrat1"/>
      </w:pPr>
    </w:p>
    <w:p w:rsidR="00350F52" w:rsidRDefault="00350F52" w:rsidP="00943487">
      <w:pPr>
        <w:pStyle w:val="Antrat1"/>
      </w:pPr>
    </w:p>
    <w:p w:rsidR="00350F52" w:rsidRDefault="00350F52" w:rsidP="00943487">
      <w:pPr>
        <w:pStyle w:val="Antrat1"/>
      </w:pPr>
    </w:p>
    <w:p w:rsidR="00350F52" w:rsidRDefault="00350F52" w:rsidP="00943487">
      <w:pPr>
        <w:pStyle w:val="Antrat1"/>
      </w:pPr>
    </w:p>
    <w:p w:rsidR="00350F52" w:rsidRDefault="00350F52" w:rsidP="00943487">
      <w:pPr>
        <w:pStyle w:val="Antrat1"/>
      </w:pPr>
    </w:p>
    <w:p w:rsidR="00350F52" w:rsidRDefault="00350F52" w:rsidP="00943487">
      <w:pPr>
        <w:pStyle w:val="Antrat1"/>
      </w:pPr>
    </w:p>
    <w:p w:rsidR="00350F52" w:rsidRPr="00350F52" w:rsidRDefault="00350F52" w:rsidP="00350F52"/>
    <w:p w:rsidR="00943487" w:rsidRDefault="00943487" w:rsidP="00943487">
      <w:pPr>
        <w:pStyle w:val="Antrat1"/>
      </w:pPr>
      <w:r>
        <w:lastRenderedPageBreak/>
        <w:t>REKOMENDACIJOS</w:t>
      </w:r>
      <w:bookmarkEnd w:id="11"/>
    </w:p>
    <w:p w:rsidR="00943487" w:rsidRPr="00BE2119" w:rsidRDefault="00943487" w:rsidP="00943487"/>
    <w:p w:rsidR="00943487" w:rsidRPr="00F46732" w:rsidRDefault="00943487" w:rsidP="00423AE8">
      <w:pPr>
        <w:pStyle w:val="Sraopastraipa"/>
        <w:numPr>
          <w:ilvl w:val="0"/>
          <w:numId w:val="1"/>
        </w:numPr>
        <w:tabs>
          <w:tab w:val="left" w:pos="567"/>
        </w:tabs>
        <w:spacing w:line="360" w:lineRule="auto"/>
        <w:ind w:left="567" w:hanging="723"/>
        <w:jc w:val="both"/>
      </w:pPr>
      <w:r w:rsidRPr="00BE2119">
        <w:t xml:space="preserve">Siekiant sumažinti mirtingumą dėl </w:t>
      </w:r>
      <w:r w:rsidR="00423AE8">
        <w:t xml:space="preserve">atsitiktinių paskendimų, </w:t>
      </w:r>
      <w:r w:rsidRPr="00423AE8">
        <w:rPr>
          <w:rFonts w:cs="Times New Roman"/>
          <w:szCs w:val="24"/>
        </w:rPr>
        <w:t>didinti gyventojų informuotumą metodinėmis ir vaizdinėmis priemonėmis apie saugų elgesį prie vandens telkinių, kelyje;</w:t>
      </w:r>
    </w:p>
    <w:p w:rsidR="00943487" w:rsidRPr="00F46732" w:rsidRDefault="00943487" w:rsidP="00943487">
      <w:pPr>
        <w:pStyle w:val="Sraopastraipa"/>
        <w:numPr>
          <w:ilvl w:val="0"/>
          <w:numId w:val="1"/>
        </w:numPr>
        <w:tabs>
          <w:tab w:val="left" w:pos="567"/>
        </w:tabs>
        <w:spacing w:line="360" w:lineRule="auto"/>
        <w:ind w:left="567" w:hanging="723"/>
        <w:jc w:val="both"/>
      </w:pPr>
      <w:r>
        <w:rPr>
          <w:rFonts w:cs="Times New Roman"/>
          <w:szCs w:val="24"/>
        </w:rPr>
        <w:t>mokyti teikti pirmąją medicinos pagalbą;</w:t>
      </w:r>
    </w:p>
    <w:p w:rsidR="00943487" w:rsidRPr="00F46732" w:rsidRDefault="00943487" w:rsidP="00943487">
      <w:pPr>
        <w:pStyle w:val="Sraopastraipa"/>
        <w:numPr>
          <w:ilvl w:val="0"/>
          <w:numId w:val="1"/>
        </w:numPr>
        <w:tabs>
          <w:tab w:val="left" w:pos="567"/>
        </w:tabs>
        <w:spacing w:line="360" w:lineRule="auto"/>
        <w:ind w:left="567" w:hanging="723"/>
        <w:jc w:val="both"/>
      </w:pPr>
      <w:r w:rsidRPr="00F46732">
        <w:rPr>
          <w:rFonts w:cs="Times New Roman"/>
          <w:szCs w:val="24"/>
        </w:rPr>
        <w:t xml:space="preserve">skatinti gyventojus aktyviau dalyvauti širdies ir kraujagyslių ligų rizikos grupės asmenų sveikatos stiprinimo programoje; </w:t>
      </w:r>
    </w:p>
    <w:p w:rsidR="00943487" w:rsidRPr="00F46732" w:rsidRDefault="00943487" w:rsidP="00943487">
      <w:pPr>
        <w:pStyle w:val="Sraopastraipa"/>
        <w:numPr>
          <w:ilvl w:val="0"/>
          <w:numId w:val="1"/>
        </w:numPr>
        <w:tabs>
          <w:tab w:val="left" w:pos="567"/>
        </w:tabs>
        <w:spacing w:line="360" w:lineRule="auto"/>
        <w:ind w:left="567" w:hanging="723"/>
        <w:jc w:val="both"/>
      </w:pPr>
      <w:r w:rsidRPr="00F46732">
        <w:rPr>
          <w:rFonts w:cs="Times New Roman"/>
          <w:szCs w:val="24"/>
        </w:rPr>
        <w:t xml:space="preserve">informuoti apie kraujotakos sistemos ligas, jų rizikos veiksnius bei profilaktikos priemones: reguliariai tikrintis kraujo spaudimą, cholesterolio kiekį kraujyje, palaikyti normalų kūno masės indeksą; </w:t>
      </w:r>
    </w:p>
    <w:p w:rsidR="00943487" w:rsidRDefault="00943487" w:rsidP="00943487">
      <w:pPr>
        <w:pStyle w:val="Sraopastraipa"/>
        <w:numPr>
          <w:ilvl w:val="0"/>
          <w:numId w:val="1"/>
        </w:numPr>
        <w:tabs>
          <w:tab w:val="left" w:pos="567"/>
        </w:tabs>
        <w:spacing w:line="360" w:lineRule="auto"/>
        <w:ind w:left="567" w:hanging="723"/>
        <w:jc w:val="both"/>
      </w:pPr>
      <w:r>
        <w:t>aktyviau informuoti kaimo vietovėse gyvenančius žmones apie prevencines programas, sudaryti sąlygas žmonėms pasitikrinti;</w:t>
      </w:r>
    </w:p>
    <w:p w:rsidR="00943487" w:rsidRDefault="00943487" w:rsidP="00943487">
      <w:pPr>
        <w:pStyle w:val="Sraopastraipa"/>
        <w:numPr>
          <w:ilvl w:val="0"/>
          <w:numId w:val="1"/>
        </w:numPr>
        <w:tabs>
          <w:tab w:val="left" w:pos="567"/>
        </w:tabs>
        <w:spacing w:line="360" w:lineRule="auto"/>
        <w:ind w:left="567" w:hanging="723"/>
        <w:jc w:val="both"/>
      </w:pPr>
      <w:r>
        <w:t>organizuoti sveikos gyvensenos ugdymo bei profilaktikos renginius (seminarai, konferencijos, akcijos, mankštos, šiaurietiškojo ėjimo užsiėmimai ir kt.);</w:t>
      </w:r>
    </w:p>
    <w:p w:rsidR="00943487" w:rsidRPr="00BE2119" w:rsidRDefault="00943487" w:rsidP="00943487">
      <w:pPr>
        <w:pStyle w:val="Sraopastraipa"/>
        <w:numPr>
          <w:ilvl w:val="0"/>
          <w:numId w:val="1"/>
        </w:numPr>
        <w:tabs>
          <w:tab w:val="left" w:pos="567"/>
        </w:tabs>
        <w:spacing w:line="360" w:lineRule="auto"/>
        <w:ind w:left="567" w:hanging="723"/>
        <w:jc w:val="both"/>
      </w:pPr>
      <w:r>
        <w:t>gerinti tarpinstitucinį bendradarbiavimą tarp visuomenės sveikatos ir asmens sveikatos priežiūros įstaigų.</w:t>
      </w:r>
    </w:p>
    <w:p w:rsidR="00943487" w:rsidRPr="0045680F" w:rsidRDefault="00943487" w:rsidP="00943487">
      <w:pPr>
        <w:tabs>
          <w:tab w:val="left" w:pos="567"/>
        </w:tabs>
        <w:spacing w:line="360" w:lineRule="auto"/>
        <w:jc w:val="both"/>
      </w:pPr>
      <w:r>
        <w:tab/>
        <w:t xml:space="preserve">Siekiant pagerinti gyventojų sveikatos būklę atspindinčius rodiklius Molėtų rajono savivaldybėje, tiek ir visoje Lietuvoje, būtina didinti gyventojų sąmoningumą apie jų sveikatos būklę, apie atsakingą elgesį tiek prie vandens telkinių, tiek kelyje ir visur kitur. Niekas kitas nėra atsakingas už mūsų sveikatą, tik mes patys. Visuomenės nariai turėtų suprasti, kad glaudus bendradarbiavimas, atsakingas vartojimas yra labai svarbūs veiksniai, siekiant gyventi sveikoje ir stiprioje šalyje. </w:t>
      </w:r>
    </w:p>
    <w:p w:rsidR="00C6066C" w:rsidRDefault="00C6066C"/>
    <w:sectPr w:rsidR="00C6066C" w:rsidSect="003D20CA">
      <w:footerReference w:type="default" r:id="rId14"/>
      <w:pgSz w:w="11906" w:h="16838"/>
      <w:pgMar w:top="1560"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E92" w:rsidRDefault="00FD2E92">
      <w:pPr>
        <w:spacing w:after="0" w:line="240" w:lineRule="auto"/>
      </w:pPr>
      <w:r>
        <w:separator/>
      </w:r>
    </w:p>
  </w:endnote>
  <w:endnote w:type="continuationSeparator" w:id="0">
    <w:p w:rsidR="00FD2E92" w:rsidRDefault="00FD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134493"/>
      <w:docPartObj>
        <w:docPartGallery w:val="Page Numbers (Bottom of Page)"/>
        <w:docPartUnique/>
      </w:docPartObj>
    </w:sdtPr>
    <w:sdtEndPr/>
    <w:sdtContent>
      <w:p w:rsidR="00FD2E92" w:rsidRDefault="00FD2E92">
        <w:pPr>
          <w:pStyle w:val="Porat"/>
          <w:jc w:val="right"/>
        </w:pPr>
        <w:r>
          <w:fldChar w:fldCharType="begin"/>
        </w:r>
        <w:r>
          <w:instrText>PAGE   \* MERGEFORMAT</w:instrText>
        </w:r>
        <w:r>
          <w:fldChar w:fldCharType="separate"/>
        </w:r>
        <w:r w:rsidR="007947E8">
          <w:rPr>
            <w:noProof/>
          </w:rPr>
          <w:t>20</w:t>
        </w:r>
        <w:r>
          <w:fldChar w:fldCharType="end"/>
        </w:r>
      </w:p>
    </w:sdtContent>
  </w:sdt>
  <w:p w:rsidR="00FD2E92" w:rsidRDefault="00FD2E9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E92" w:rsidRDefault="00FD2E92">
      <w:pPr>
        <w:spacing w:after="0" w:line="240" w:lineRule="auto"/>
      </w:pPr>
      <w:r>
        <w:separator/>
      </w:r>
    </w:p>
  </w:footnote>
  <w:footnote w:type="continuationSeparator" w:id="0">
    <w:p w:rsidR="00FD2E92" w:rsidRDefault="00FD2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036"/>
    </w:sdtPr>
    <w:sdtEndPr/>
    <w:sdtContent>
      <w:p w:rsidR="00FD2E92" w:rsidRDefault="00FD2E92">
        <w:pPr>
          <w:pStyle w:val="Antrats"/>
          <w:jc w:val="center"/>
        </w:pPr>
        <w:r>
          <w:fldChar w:fldCharType="begin"/>
        </w:r>
        <w:r>
          <w:instrText xml:space="preserve"> PAGE   \* MERGEFORMAT </w:instrText>
        </w:r>
        <w:r>
          <w:fldChar w:fldCharType="separate"/>
        </w:r>
        <w:r w:rsidR="007947E8">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4C6"/>
    <w:multiLevelType w:val="multilevel"/>
    <w:tmpl w:val="007A04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8526FC"/>
    <w:multiLevelType w:val="multilevel"/>
    <w:tmpl w:val="0B8526FC"/>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 w15:restartNumberingAfterBreak="0">
    <w:nsid w:val="29A973DB"/>
    <w:multiLevelType w:val="hybridMultilevel"/>
    <w:tmpl w:val="5CE4F39E"/>
    <w:lvl w:ilvl="0" w:tplc="04270001">
      <w:start w:val="1"/>
      <w:numFmt w:val="bullet"/>
      <w:lvlText w:val=""/>
      <w:lvlJc w:val="left"/>
      <w:pPr>
        <w:ind w:left="1290" w:hanging="360"/>
      </w:pPr>
      <w:rPr>
        <w:rFonts w:ascii="Symbol" w:hAnsi="Symbol"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3" w15:restartNumberingAfterBreak="0">
    <w:nsid w:val="29B4298D"/>
    <w:multiLevelType w:val="hybridMultilevel"/>
    <w:tmpl w:val="DEFAC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21C7F56"/>
    <w:multiLevelType w:val="hybridMultilevel"/>
    <w:tmpl w:val="CDEA24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BBE0B39"/>
    <w:multiLevelType w:val="hybridMultilevel"/>
    <w:tmpl w:val="73F02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F9C4978"/>
    <w:multiLevelType w:val="hybridMultilevel"/>
    <w:tmpl w:val="1EB46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B3F44DD"/>
    <w:multiLevelType w:val="hybridMultilevel"/>
    <w:tmpl w:val="07DAAE8E"/>
    <w:lvl w:ilvl="0" w:tplc="04270001">
      <w:start w:val="1"/>
      <w:numFmt w:val="bullet"/>
      <w:lvlText w:val=""/>
      <w:lvlJc w:val="left"/>
      <w:pPr>
        <w:ind w:left="1290" w:hanging="360"/>
      </w:pPr>
      <w:rPr>
        <w:rFonts w:ascii="Symbol" w:hAnsi="Symbol"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8" w15:restartNumberingAfterBreak="0">
    <w:nsid w:val="6B4C117C"/>
    <w:multiLevelType w:val="multilevel"/>
    <w:tmpl w:val="6B4C117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7976041B"/>
    <w:multiLevelType w:val="hybridMultilevel"/>
    <w:tmpl w:val="81C26E52"/>
    <w:lvl w:ilvl="0" w:tplc="0427000F">
      <w:start w:val="1"/>
      <w:numFmt w:val="decimal"/>
      <w:lvlText w:val="%1."/>
      <w:lvlJc w:val="left"/>
      <w:pPr>
        <w:ind w:left="3600" w:hanging="360"/>
      </w:p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10" w15:restartNumberingAfterBreak="0">
    <w:nsid w:val="7ACF216F"/>
    <w:multiLevelType w:val="multilevel"/>
    <w:tmpl w:val="7ACF216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0"/>
  </w:num>
  <w:num w:numId="6">
    <w:abstractNumId w:val="4"/>
  </w:num>
  <w:num w:numId="7">
    <w:abstractNumId w:val="3"/>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B3"/>
    <w:rsid w:val="000041C3"/>
    <w:rsid w:val="000D7D52"/>
    <w:rsid w:val="000F073B"/>
    <w:rsid w:val="000F0DDF"/>
    <w:rsid w:val="001030D7"/>
    <w:rsid w:val="00125B69"/>
    <w:rsid w:val="0018664E"/>
    <w:rsid w:val="00195D33"/>
    <w:rsid w:val="001B7E43"/>
    <w:rsid w:val="00201595"/>
    <w:rsid w:val="00227F47"/>
    <w:rsid w:val="00233202"/>
    <w:rsid w:val="002667BB"/>
    <w:rsid w:val="002702C3"/>
    <w:rsid w:val="002A08B8"/>
    <w:rsid w:val="002C481A"/>
    <w:rsid w:val="00317389"/>
    <w:rsid w:val="00344B59"/>
    <w:rsid w:val="00350F52"/>
    <w:rsid w:val="003573B2"/>
    <w:rsid w:val="003B396F"/>
    <w:rsid w:val="003D0AFC"/>
    <w:rsid w:val="003D20CA"/>
    <w:rsid w:val="003E1BF6"/>
    <w:rsid w:val="00423AE8"/>
    <w:rsid w:val="0044219C"/>
    <w:rsid w:val="00475083"/>
    <w:rsid w:val="004B6025"/>
    <w:rsid w:val="00576797"/>
    <w:rsid w:val="00583C87"/>
    <w:rsid w:val="005C590D"/>
    <w:rsid w:val="0060537F"/>
    <w:rsid w:val="00626409"/>
    <w:rsid w:val="00634A06"/>
    <w:rsid w:val="00674D3B"/>
    <w:rsid w:val="006A3B04"/>
    <w:rsid w:val="006B329E"/>
    <w:rsid w:val="006C0BB3"/>
    <w:rsid w:val="006C129D"/>
    <w:rsid w:val="006F2953"/>
    <w:rsid w:val="00703475"/>
    <w:rsid w:val="0072157D"/>
    <w:rsid w:val="0075571E"/>
    <w:rsid w:val="007947E8"/>
    <w:rsid w:val="007C3D15"/>
    <w:rsid w:val="0080666A"/>
    <w:rsid w:val="00822192"/>
    <w:rsid w:val="008B7D2D"/>
    <w:rsid w:val="00943487"/>
    <w:rsid w:val="009B6CE9"/>
    <w:rsid w:val="009E0A62"/>
    <w:rsid w:val="00A30B9A"/>
    <w:rsid w:val="00A95FD8"/>
    <w:rsid w:val="00A976B0"/>
    <w:rsid w:val="00AE68C9"/>
    <w:rsid w:val="00B14AF6"/>
    <w:rsid w:val="00B900D6"/>
    <w:rsid w:val="00BB758C"/>
    <w:rsid w:val="00C47FD9"/>
    <w:rsid w:val="00C50B64"/>
    <w:rsid w:val="00C6066C"/>
    <w:rsid w:val="00C9050B"/>
    <w:rsid w:val="00CD356A"/>
    <w:rsid w:val="00D074F5"/>
    <w:rsid w:val="00DA16A7"/>
    <w:rsid w:val="00DA3B05"/>
    <w:rsid w:val="00E03569"/>
    <w:rsid w:val="00E06EC1"/>
    <w:rsid w:val="00E80601"/>
    <w:rsid w:val="00E96968"/>
    <w:rsid w:val="00F0278C"/>
    <w:rsid w:val="00F40744"/>
    <w:rsid w:val="00FD2E92"/>
    <w:rsid w:val="00FF63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88DD"/>
  <w15:docId w15:val="{0C1C7534-2212-448F-A929-1E62E672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3487"/>
    <w:pPr>
      <w:spacing w:after="160" w:line="259" w:lineRule="auto"/>
    </w:pPr>
    <w:rPr>
      <w:rFonts w:ascii="Times New Roman" w:hAnsi="Times New Roman"/>
      <w:sz w:val="24"/>
    </w:rPr>
  </w:style>
  <w:style w:type="paragraph" w:styleId="Antrat1">
    <w:name w:val="heading 1"/>
    <w:aliases w:val="PAGRINDINIAM PAVADINIMUI"/>
    <w:basedOn w:val="prastasis"/>
    <w:next w:val="prastasis"/>
    <w:link w:val="Antrat1Diagrama"/>
    <w:uiPriority w:val="9"/>
    <w:qFormat/>
    <w:rsid w:val="00227F47"/>
    <w:pPr>
      <w:keepNext/>
      <w:keepLines/>
      <w:spacing w:before="120" w:after="0"/>
      <w:jc w:val="center"/>
      <w:outlineLvl w:val="0"/>
    </w:pPr>
    <w:rPr>
      <w:rFonts w:eastAsiaTheme="majorEastAsia" w:cstheme="majorBidi"/>
      <w:b/>
      <w:szCs w:val="32"/>
    </w:rPr>
  </w:style>
  <w:style w:type="paragraph" w:styleId="Antrat2">
    <w:name w:val="heading 2"/>
    <w:basedOn w:val="prastasis"/>
    <w:next w:val="prastasis"/>
    <w:link w:val="Antrat2Diagrama"/>
    <w:uiPriority w:val="9"/>
    <w:unhideWhenUsed/>
    <w:qFormat/>
    <w:rsid w:val="00943487"/>
    <w:pPr>
      <w:keepNext/>
      <w:keepLines/>
      <w:spacing w:before="40" w:after="0"/>
      <w:jc w:val="center"/>
      <w:outlineLvl w:val="1"/>
    </w:pPr>
    <w:rPr>
      <w:rFonts w:eastAsiaTheme="majorEastAsia" w:cstheme="majorBidi"/>
      <w:b/>
      <w:szCs w:val="26"/>
    </w:rPr>
  </w:style>
  <w:style w:type="paragraph" w:styleId="Antrat3">
    <w:name w:val="heading 3"/>
    <w:basedOn w:val="prastasis"/>
    <w:next w:val="prastasis"/>
    <w:link w:val="Antrat3Diagrama"/>
    <w:uiPriority w:val="9"/>
    <w:unhideWhenUsed/>
    <w:qFormat/>
    <w:rsid w:val="00D074F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PAGRINDINIAM PAVADINIMUI Diagrama"/>
    <w:basedOn w:val="Numatytasispastraiposriftas"/>
    <w:link w:val="Antrat1"/>
    <w:uiPriority w:val="9"/>
    <w:rsid w:val="00227F47"/>
    <w:rPr>
      <w:rFonts w:ascii="Times New Roman" w:eastAsiaTheme="majorEastAsia" w:hAnsi="Times New Roman" w:cstheme="majorBidi"/>
      <w:b/>
      <w:sz w:val="24"/>
      <w:szCs w:val="32"/>
    </w:rPr>
  </w:style>
  <w:style w:type="character" w:customStyle="1" w:styleId="Antrat2Diagrama">
    <w:name w:val="Antraštė 2 Diagrama"/>
    <w:basedOn w:val="Numatytasispastraiposriftas"/>
    <w:link w:val="Antrat2"/>
    <w:uiPriority w:val="9"/>
    <w:rsid w:val="00943487"/>
    <w:rPr>
      <w:rFonts w:ascii="Times New Roman" w:eastAsiaTheme="majorEastAsia" w:hAnsi="Times New Roman" w:cstheme="majorBidi"/>
      <w:b/>
      <w:sz w:val="24"/>
      <w:szCs w:val="26"/>
    </w:rPr>
  </w:style>
  <w:style w:type="paragraph" w:styleId="Sraopastraipa">
    <w:name w:val="List Paragraph"/>
    <w:basedOn w:val="prastasis"/>
    <w:uiPriority w:val="34"/>
    <w:qFormat/>
    <w:rsid w:val="00943487"/>
    <w:pPr>
      <w:ind w:left="720"/>
      <w:contextualSpacing/>
    </w:pPr>
  </w:style>
  <w:style w:type="paragraph" w:styleId="Debesliotekstas">
    <w:name w:val="Balloon Text"/>
    <w:basedOn w:val="prastasis"/>
    <w:link w:val="DebesliotekstasDiagrama"/>
    <w:uiPriority w:val="99"/>
    <w:semiHidden/>
    <w:unhideWhenUsed/>
    <w:rsid w:val="0094348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43487"/>
    <w:rPr>
      <w:rFonts w:ascii="Segoe UI" w:hAnsi="Segoe UI" w:cs="Segoe UI"/>
      <w:sz w:val="18"/>
      <w:szCs w:val="18"/>
    </w:rPr>
  </w:style>
  <w:style w:type="paragraph" w:styleId="Antrats">
    <w:name w:val="header"/>
    <w:basedOn w:val="prastasis"/>
    <w:link w:val="AntratsDiagrama"/>
    <w:uiPriority w:val="99"/>
    <w:unhideWhenUsed/>
    <w:rsid w:val="0094348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943487"/>
    <w:rPr>
      <w:rFonts w:ascii="Times New Roman" w:hAnsi="Times New Roman"/>
      <w:sz w:val="24"/>
    </w:rPr>
  </w:style>
  <w:style w:type="paragraph" w:styleId="Porat">
    <w:name w:val="footer"/>
    <w:basedOn w:val="prastasis"/>
    <w:link w:val="PoratDiagrama"/>
    <w:uiPriority w:val="99"/>
    <w:unhideWhenUsed/>
    <w:rsid w:val="0094348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3487"/>
    <w:rPr>
      <w:rFonts w:ascii="Times New Roman" w:hAnsi="Times New Roman"/>
      <w:sz w:val="24"/>
    </w:rPr>
  </w:style>
  <w:style w:type="paragraph" w:styleId="Turinioantrat">
    <w:name w:val="TOC Heading"/>
    <w:basedOn w:val="Antrat1"/>
    <w:next w:val="prastasis"/>
    <w:uiPriority w:val="39"/>
    <w:unhideWhenUsed/>
    <w:qFormat/>
    <w:rsid w:val="00943487"/>
    <w:pPr>
      <w:jc w:val="left"/>
      <w:outlineLvl w:val="9"/>
    </w:pPr>
    <w:rPr>
      <w:rFonts w:asciiTheme="majorHAnsi" w:hAnsiTheme="majorHAnsi"/>
      <w:b w:val="0"/>
      <w:color w:val="365F91" w:themeColor="accent1" w:themeShade="BF"/>
      <w:sz w:val="32"/>
      <w:lang w:eastAsia="lt-LT"/>
    </w:rPr>
  </w:style>
  <w:style w:type="paragraph" w:styleId="Turinys1">
    <w:name w:val="toc 1"/>
    <w:basedOn w:val="prastasis"/>
    <w:next w:val="prastasis"/>
    <w:autoRedefine/>
    <w:uiPriority w:val="39"/>
    <w:unhideWhenUsed/>
    <w:rsid w:val="00943487"/>
    <w:pPr>
      <w:spacing w:after="100"/>
    </w:pPr>
  </w:style>
  <w:style w:type="paragraph" w:styleId="Turinys2">
    <w:name w:val="toc 2"/>
    <w:basedOn w:val="prastasis"/>
    <w:next w:val="prastasis"/>
    <w:autoRedefine/>
    <w:uiPriority w:val="39"/>
    <w:unhideWhenUsed/>
    <w:rsid w:val="00943487"/>
    <w:pPr>
      <w:spacing w:after="100"/>
      <w:ind w:left="240"/>
    </w:pPr>
  </w:style>
  <w:style w:type="character" w:styleId="Hipersaitas">
    <w:name w:val="Hyperlink"/>
    <w:basedOn w:val="Numatytasispastraiposriftas"/>
    <w:uiPriority w:val="99"/>
    <w:unhideWhenUsed/>
    <w:rsid w:val="00943487"/>
    <w:rPr>
      <w:color w:val="0000FF" w:themeColor="hyperlink"/>
      <w:u w:val="single"/>
    </w:rPr>
  </w:style>
  <w:style w:type="table" w:styleId="Lentelstinklelis">
    <w:name w:val="Table Grid"/>
    <w:basedOn w:val="prastojilentel"/>
    <w:uiPriority w:val="59"/>
    <w:qFormat/>
    <w:rsid w:val="0094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
    <w:rsid w:val="00D074F5"/>
    <w:rPr>
      <w:rFonts w:asciiTheme="majorHAnsi" w:eastAsiaTheme="majorEastAsia" w:hAnsiTheme="majorHAnsi" w:cstheme="majorBidi"/>
      <w:color w:val="243F60" w:themeColor="accent1" w:themeShade="7F"/>
      <w:sz w:val="24"/>
      <w:szCs w:val="24"/>
    </w:rPr>
  </w:style>
  <w:style w:type="table" w:customStyle="1" w:styleId="Lentelstinklelis1">
    <w:name w:val="Lentelės tinklelis1"/>
    <w:basedOn w:val="prastojilentel"/>
    <w:next w:val="Lentelstinklelis"/>
    <w:uiPriority w:val="59"/>
    <w:qFormat/>
    <w:rsid w:val="00201595"/>
    <w:pPr>
      <w:spacing w:after="0" w:line="240" w:lineRule="auto"/>
    </w:pPr>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URIAI\kiti\balciune\duomenys_ataskaita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RIAI\kiti\balciune\Utenos%20r.%20visuomenes%20sveikatos%20biuras\stebesenos_ataskaita\duomenys_ataskaita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RIAI\kiti\balciune\Utenos%20r.%20visuomenes%20sveikatos%20biuras\stebesenos_ataskaita\duomenys_ataskaita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RIAI\kiti\balciune\Utenos%20r.%20visuomenes%20sveikatos%20biuras\stebesenos_ataskaita\duomenys_ataskait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SKENDIMAI!$C$8:$C$18</c:f>
              <c:strCache>
                <c:ptCount val="10"/>
                <c:pt idx="0">
                  <c:v>30-34</c:v>
                </c:pt>
                <c:pt idx="1">
                  <c:v>35-39</c:v>
                </c:pt>
                <c:pt idx="2">
                  <c:v>40-44</c:v>
                </c:pt>
                <c:pt idx="3">
                  <c:v>45-49</c:v>
                </c:pt>
                <c:pt idx="4">
                  <c:v>50-54</c:v>
                </c:pt>
                <c:pt idx="5">
                  <c:v>55-59</c:v>
                </c:pt>
                <c:pt idx="6">
                  <c:v>60-64</c:v>
                </c:pt>
                <c:pt idx="7">
                  <c:v>65-69</c:v>
                </c:pt>
                <c:pt idx="8">
                  <c:v>70-74</c:v>
                </c:pt>
                <c:pt idx="9">
                  <c:v>75-79</c:v>
                </c:pt>
              </c:strCache>
            </c:strRef>
          </c:cat>
          <c:val>
            <c:numRef>
              <c:f>SKENDIMAI!$D$8:$D$18</c:f>
              <c:numCache>
                <c:formatCode>General</c:formatCode>
                <c:ptCount val="11"/>
                <c:pt idx="0">
                  <c:v>1</c:v>
                </c:pt>
                <c:pt idx="1">
                  <c:v>0</c:v>
                </c:pt>
                <c:pt idx="2">
                  <c:v>2</c:v>
                </c:pt>
                <c:pt idx="3">
                  <c:v>0</c:v>
                </c:pt>
                <c:pt idx="4">
                  <c:v>1</c:v>
                </c:pt>
                <c:pt idx="5">
                  <c:v>3</c:v>
                </c:pt>
                <c:pt idx="6">
                  <c:v>2</c:v>
                </c:pt>
                <c:pt idx="7">
                  <c:v>0</c:v>
                </c:pt>
                <c:pt idx="8">
                  <c:v>1</c:v>
                </c:pt>
                <c:pt idx="9">
                  <c:v>1</c:v>
                </c:pt>
              </c:numCache>
            </c:numRef>
          </c:val>
          <c:extLst>
            <c:ext xmlns:c16="http://schemas.microsoft.com/office/drawing/2014/chart" uri="{C3380CC4-5D6E-409C-BE32-E72D297353CC}">
              <c16:uniqueId val="{00000000-C067-4CFA-BECD-B565113FEF0C}"/>
            </c:ext>
          </c:extLst>
        </c:ser>
        <c:dLbls>
          <c:showLegendKey val="0"/>
          <c:showVal val="0"/>
          <c:showCatName val="0"/>
          <c:showSerName val="0"/>
          <c:showPercent val="0"/>
          <c:showBubbleSize val="0"/>
        </c:dLbls>
        <c:gapWidth val="219"/>
        <c:overlap val="-27"/>
        <c:axId val="118393472"/>
        <c:axId val="118555008"/>
      </c:barChart>
      <c:catAx>
        <c:axId val="11839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555008"/>
        <c:crosses val="autoZero"/>
        <c:auto val="1"/>
        <c:lblAlgn val="ctr"/>
        <c:lblOffset val="100"/>
        <c:noMultiLvlLbl val="0"/>
      </c:catAx>
      <c:valAx>
        <c:axId val="118555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393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'I00-I99'!$B$29</c:f>
              <c:strCache>
                <c:ptCount val="1"/>
                <c:pt idx="0">
                  <c:v>Vyrai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'I00-I99'!$C$27:$H$28</c:f>
              <c:multiLvlStrCache>
                <c:ptCount val="6"/>
                <c:lvl>
                  <c:pt idx="0">
                    <c:v>Miestas</c:v>
                  </c:pt>
                  <c:pt idx="1">
                    <c:v>Kaimas</c:v>
                  </c:pt>
                  <c:pt idx="2">
                    <c:v>Miestas</c:v>
                  </c:pt>
                  <c:pt idx="3">
                    <c:v>Kaimas</c:v>
                  </c:pt>
                  <c:pt idx="4">
                    <c:v>Miestas</c:v>
                  </c:pt>
                  <c:pt idx="5">
                    <c:v>Kaimas</c:v>
                  </c:pt>
                </c:lvl>
                <c:lvl>
                  <c:pt idx="0">
                    <c:v>2016</c:v>
                  </c:pt>
                  <c:pt idx="2">
                    <c:v>2017</c:v>
                  </c:pt>
                  <c:pt idx="4">
                    <c:v>2018</c:v>
                  </c:pt>
                </c:lvl>
              </c:multiLvlStrCache>
            </c:multiLvlStrRef>
          </c:cat>
          <c:val>
            <c:numRef>
              <c:f>'I00-I99'!$C$29:$H$29</c:f>
              <c:numCache>
                <c:formatCode>General</c:formatCode>
                <c:ptCount val="6"/>
                <c:pt idx="0">
                  <c:v>714</c:v>
                </c:pt>
                <c:pt idx="1">
                  <c:v>1083</c:v>
                </c:pt>
                <c:pt idx="2">
                  <c:v>392.3</c:v>
                </c:pt>
                <c:pt idx="3">
                  <c:v>991.1</c:v>
                </c:pt>
                <c:pt idx="4">
                  <c:v>883.4</c:v>
                </c:pt>
                <c:pt idx="5">
                  <c:v>1031.7</c:v>
                </c:pt>
              </c:numCache>
            </c:numRef>
          </c:val>
          <c:extLst>
            <c:ext xmlns:c16="http://schemas.microsoft.com/office/drawing/2014/chart" uri="{C3380CC4-5D6E-409C-BE32-E72D297353CC}">
              <c16:uniqueId val="{00000000-5839-4D68-9DDE-9419CFD290D7}"/>
            </c:ext>
          </c:extLst>
        </c:ser>
        <c:ser>
          <c:idx val="1"/>
          <c:order val="1"/>
          <c:tx>
            <c:strRef>
              <c:f>'I00-I99'!$B$30</c:f>
              <c:strCache>
                <c:ptCount val="1"/>
                <c:pt idx="0">
                  <c:v>Moterys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'I00-I99'!$C$27:$H$28</c:f>
              <c:multiLvlStrCache>
                <c:ptCount val="6"/>
                <c:lvl>
                  <c:pt idx="0">
                    <c:v>Miestas</c:v>
                  </c:pt>
                  <c:pt idx="1">
                    <c:v>Kaimas</c:v>
                  </c:pt>
                  <c:pt idx="2">
                    <c:v>Miestas</c:v>
                  </c:pt>
                  <c:pt idx="3">
                    <c:v>Kaimas</c:v>
                  </c:pt>
                  <c:pt idx="4">
                    <c:v>Miestas</c:v>
                  </c:pt>
                  <c:pt idx="5">
                    <c:v>Kaimas</c:v>
                  </c:pt>
                </c:lvl>
                <c:lvl>
                  <c:pt idx="0">
                    <c:v>2016</c:v>
                  </c:pt>
                  <c:pt idx="2">
                    <c:v>2017</c:v>
                  </c:pt>
                  <c:pt idx="4">
                    <c:v>2018</c:v>
                  </c:pt>
                </c:lvl>
              </c:multiLvlStrCache>
            </c:multiLvlStrRef>
          </c:cat>
          <c:val>
            <c:numRef>
              <c:f>'I00-I99'!$C$30:$H$30</c:f>
              <c:numCache>
                <c:formatCode>General</c:formatCode>
                <c:ptCount val="6"/>
                <c:pt idx="0">
                  <c:v>841</c:v>
                </c:pt>
                <c:pt idx="1">
                  <c:v>1648.3</c:v>
                </c:pt>
                <c:pt idx="2">
                  <c:v>896.3</c:v>
                </c:pt>
                <c:pt idx="3">
                  <c:v>1744.9</c:v>
                </c:pt>
                <c:pt idx="4">
                  <c:v>650.79999999999995</c:v>
                </c:pt>
                <c:pt idx="5">
                  <c:v>1877.2</c:v>
                </c:pt>
              </c:numCache>
            </c:numRef>
          </c:val>
          <c:extLst>
            <c:ext xmlns:c16="http://schemas.microsoft.com/office/drawing/2014/chart" uri="{C3380CC4-5D6E-409C-BE32-E72D297353CC}">
              <c16:uniqueId val="{00000001-5839-4D68-9DDE-9419CFD290D7}"/>
            </c:ext>
          </c:extLst>
        </c:ser>
        <c:dLbls>
          <c:showLegendKey val="0"/>
          <c:showVal val="0"/>
          <c:showCatName val="0"/>
          <c:showSerName val="0"/>
          <c:showPercent val="0"/>
          <c:showBubbleSize val="0"/>
        </c:dLbls>
        <c:gapWidth val="219"/>
        <c:overlap val="-27"/>
        <c:axId val="118581120"/>
        <c:axId val="118582656"/>
      </c:barChart>
      <c:catAx>
        <c:axId val="11858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582656"/>
        <c:crosses val="autoZero"/>
        <c:auto val="1"/>
        <c:lblAlgn val="ctr"/>
        <c:lblOffset val="100"/>
        <c:noMultiLvlLbl val="0"/>
      </c:catAx>
      <c:valAx>
        <c:axId val="118582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100</a:t>
                </a:r>
                <a:r>
                  <a:rPr lang="en-US" baseline="0"/>
                  <a:t> 000 gyv.</a:t>
                </a:r>
                <a:endParaRPr lang="lt-LT"/>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581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'I60-I69'!$B$15</c:f>
              <c:strCache>
                <c:ptCount val="1"/>
                <c:pt idx="0">
                  <c:v>Vyrai</c:v>
                </c:pt>
              </c:strCache>
            </c:strRef>
          </c:tx>
          <c:spPr>
            <a:solidFill>
              <a:schemeClr val="accent1"/>
            </a:solidFill>
            <a:ln>
              <a:noFill/>
            </a:ln>
            <a:effectLst/>
          </c:spPr>
          <c:invertIfNegative val="0"/>
          <c:dLbls>
            <c:dLbl>
              <c:idx val="0"/>
              <c:layout>
                <c:manualLayout>
                  <c:x val="-1.666666666666666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BD2-4478-953D-2D245B9CDB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'I60-I69'!$C$13:$H$14</c:f>
              <c:multiLvlStrCache>
                <c:ptCount val="6"/>
                <c:lvl>
                  <c:pt idx="0">
                    <c:v>Miestas</c:v>
                  </c:pt>
                  <c:pt idx="1">
                    <c:v>Kaimas</c:v>
                  </c:pt>
                  <c:pt idx="2">
                    <c:v>Miestas</c:v>
                  </c:pt>
                  <c:pt idx="3">
                    <c:v>Kaimas</c:v>
                  </c:pt>
                  <c:pt idx="4">
                    <c:v>Miestas</c:v>
                  </c:pt>
                  <c:pt idx="5">
                    <c:v>Kaimas</c:v>
                  </c:pt>
                </c:lvl>
                <c:lvl>
                  <c:pt idx="0">
                    <c:v>2016</c:v>
                  </c:pt>
                  <c:pt idx="2">
                    <c:v>2017</c:v>
                  </c:pt>
                  <c:pt idx="4">
                    <c:v>2018</c:v>
                  </c:pt>
                </c:lvl>
              </c:multiLvlStrCache>
            </c:multiLvlStrRef>
          </c:cat>
          <c:val>
            <c:numRef>
              <c:f>'I60-I69'!$C$15:$H$15</c:f>
              <c:numCache>
                <c:formatCode>General</c:formatCode>
                <c:ptCount val="6"/>
                <c:pt idx="0">
                  <c:v>451</c:v>
                </c:pt>
                <c:pt idx="1">
                  <c:v>716.7</c:v>
                </c:pt>
                <c:pt idx="2">
                  <c:v>117.7</c:v>
                </c:pt>
                <c:pt idx="3">
                  <c:v>292.5</c:v>
                </c:pt>
                <c:pt idx="4">
                  <c:v>522</c:v>
                </c:pt>
                <c:pt idx="5">
                  <c:v>249.6</c:v>
                </c:pt>
              </c:numCache>
            </c:numRef>
          </c:val>
          <c:extLst>
            <c:ext xmlns:c16="http://schemas.microsoft.com/office/drawing/2014/chart" uri="{C3380CC4-5D6E-409C-BE32-E72D297353CC}">
              <c16:uniqueId val="{00000001-FBD2-4478-953D-2D245B9CDBAD}"/>
            </c:ext>
          </c:extLst>
        </c:ser>
        <c:ser>
          <c:idx val="1"/>
          <c:order val="1"/>
          <c:tx>
            <c:strRef>
              <c:f>'I60-I69'!$B$16</c:f>
              <c:strCache>
                <c:ptCount val="1"/>
                <c:pt idx="0">
                  <c:v>Moterys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'I60-I69'!$C$13:$H$14</c:f>
              <c:multiLvlStrCache>
                <c:ptCount val="6"/>
                <c:lvl>
                  <c:pt idx="0">
                    <c:v>Miestas</c:v>
                  </c:pt>
                  <c:pt idx="1">
                    <c:v>Kaimas</c:v>
                  </c:pt>
                  <c:pt idx="2">
                    <c:v>Miestas</c:v>
                  </c:pt>
                  <c:pt idx="3">
                    <c:v>Kaimas</c:v>
                  </c:pt>
                  <c:pt idx="4">
                    <c:v>Miestas</c:v>
                  </c:pt>
                  <c:pt idx="5">
                    <c:v>Kaimas</c:v>
                  </c:pt>
                </c:lvl>
                <c:lvl>
                  <c:pt idx="0">
                    <c:v>2016</c:v>
                  </c:pt>
                  <c:pt idx="2">
                    <c:v>2017</c:v>
                  </c:pt>
                  <c:pt idx="4">
                    <c:v>2018</c:v>
                  </c:pt>
                </c:lvl>
              </c:multiLvlStrCache>
            </c:multiLvlStrRef>
          </c:cat>
          <c:val>
            <c:numRef>
              <c:f>'I60-I69'!$C$16:$H$16</c:f>
              <c:numCache>
                <c:formatCode>General</c:formatCode>
                <c:ptCount val="6"/>
                <c:pt idx="0">
                  <c:v>436.1</c:v>
                </c:pt>
                <c:pt idx="1">
                  <c:v>739.4</c:v>
                </c:pt>
                <c:pt idx="2">
                  <c:v>384.1</c:v>
                </c:pt>
                <c:pt idx="3">
                  <c:v>713.8</c:v>
                </c:pt>
                <c:pt idx="4">
                  <c:v>195.2</c:v>
                </c:pt>
                <c:pt idx="5">
                  <c:v>609.29999999999995</c:v>
                </c:pt>
              </c:numCache>
            </c:numRef>
          </c:val>
          <c:extLst>
            <c:ext xmlns:c16="http://schemas.microsoft.com/office/drawing/2014/chart" uri="{C3380CC4-5D6E-409C-BE32-E72D297353CC}">
              <c16:uniqueId val="{00000002-FBD2-4478-953D-2D245B9CDBAD}"/>
            </c:ext>
          </c:extLst>
        </c:ser>
        <c:dLbls>
          <c:showLegendKey val="0"/>
          <c:showVal val="0"/>
          <c:showCatName val="0"/>
          <c:showSerName val="0"/>
          <c:showPercent val="0"/>
          <c:showBubbleSize val="0"/>
        </c:dLbls>
        <c:gapWidth val="219"/>
        <c:overlap val="-27"/>
        <c:axId val="118651136"/>
        <c:axId val="118661120"/>
      </c:barChart>
      <c:catAx>
        <c:axId val="11865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661120"/>
        <c:crosses val="autoZero"/>
        <c:auto val="1"/>
        <c:lblAlgn val="ctr"/>
        <c:lblOffset val="100"/>
        <c:noMultiLvlLbl val="0"/>
      </c:catAx>
      <c:valAx>
        <c:axId val="118661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100</a:t>
                </a:r>
                <a:r>
                  <a:rPr lang="en-US" baseline="0"/>
                  <a:t> 000 gyv.</a:t>
                </a:r>
                <a:endParaRPr lang="lt-LT"/>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651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'C00-C96'!$L$14</c:f>
              <c:strCache>
                <c:ptCount val="1"/>
                <c:pt idx="0">
                  <c:v>Vyrai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'C00-C96'!$M$12:$R$13</c:f>
              <c:multiLvlStrCache>
                <c:ptCount val="6"/>
                <c:lvl>
                  <c:pt idx="0">
                    <c:v>Miestas</c:v>
                  </c:pt>
                  <c:pt idx="1">
                    <c:v>Kaimas</c:v>
                  </c:pt>
                  <c:pt idx="2">
                    <c:v>Miestas</c:v>
                  </c:pt>
                  <c:pt idx="3">
                    <c:v>Kaimas</c:v>
                  </c:pt>
                  <c:pt idx="4">
                    <c:v>Miestas</c:v>
                  </c:pt>
                  <c:pt idx="5">
                    <c:v>Kaimas</c:v>
                  </c:pt>
                </c:lvl>
                <c:lvl>
                  <c:pt idx="0">
                    <c:v>2016</c:v>
                  </c:pt>
                  <c:pt idx="2">
                    <c:v>2017</c:v>
                  </c:pt>
                  <c:pt idx="4">
                    <c:v>2018</c:v>
                  </c:pt>
                </c:lvl>
              </c:multiLvlStrCache>
            </c:multiLvlStrRef>
          </c:cat>
          <c:val>
            <c:numRef>
              <c:f>'C00-C96'!$M$14:$R$14</c:f>
              <c:numCache>
                <c:formatCode>General</c:formatCode>
                <c:ptCount val="6"/>
                <c:pt idx="0">
                  <c:v>488.5</c:v>
                </c:pt>
                <c:pt idx="1">
                  <c:v>1089.8</c:v>
                </c:pt>
                <c:pt idx="2">
                  <c:v>353.1</c:v>
                </c:pt>
                <c:pt idx="3">
                  <c:v>552.4</c:v>
                </c:pt>
                <c:pt idx="4">
                  <c:v>321.2</c:v>
                </c:pt>
                <c:pt idx="5">
                  <c:v>366.1</c:v>
                </c:pt>
              </c:numCache>
            </c:numRef>
          </c:val>
          <c:extLst>
            <c:ext xmlns:c16="http://schemas.microsoft.com/office/drawing/2014/chart" uri="{C3380CC4-5D6E-409C-BE32-E72D297353CC}">
              <c16:uniqueId val="{00000000-9B26-465F-9CFA-1AE61A695C36}"/>
            </c:ext>
          </c:extLst>
        </c:ser>
        <c:ser>
          <c:idx val="1"/>
          <c:order val="1"/>
          <c:tx>
            <c:strRef>
              <c:f>'C00-C96'!$L$15</c:f>
              <c:strCache>
                <c:ptCount val="1"/>
                <c:pt idx="0">
                  <c:v>Moterys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'C00-C96'!$M$12:$R$13</c:f>
              <c:multiLvlStrCache>
                <c:ptCount val="6"/>
                <c:lvl>
                  <c:pt idx="0">
                    <c:v>Miestas</c:v>
                  </c:pt>
                  <c:pt idx="1">
                    <c:v>Kaimas</c:v>
                  </c:pt>
                  <c:pt idx="2">
                    <c:v>Miestas</c:v>
                  </c:pt>
                  <c:pt idx="3">
                    <c:v>Kaimas</c:v>
                  </c:pt>
                  <c:pt idx="4">
                    <c:v>Miestas</c:v>
                  </c:pt>
                  <c:pt idx="5">
                    <c:v>Kaimas</c:v>
                  </c:pt>
                </c:lvl>
                <c:lvl>
                  <c:pt idx="0">
                    <c:v>2016</c:v>
                  </c:pt>
                  <c:pt idx="2">
                    <c:v>2017</c:v>
                  </c:pt>
                  <c:pt idx="4">
                    <c:v>2018</c:v>
                  </c:pt>
                </c:lvl>
              </c:multiLvlStrCache>
            </c:multiLvlStrRef>
          </c:cat>
          <c:val>
            <c:numRef>
              <c:f>'C00-C96'!$M$15:$R$15</c:f>
              <c:numCache>
                <c:formatCode>General</c:formatCode>
                <c:ptCount val="6"/>
                <c:pt idx="0">
                  <c:v>186.9</c:v>
                </c:pt>
                <c:pt idx="1">
                  <c:v>200.3</c:v>
                </c:pt>
                <c:pt idx="2">
                  <c:v>128</c:v>
                </c:pt>
                <c:pt idx="3">
                  <c:v>222.1</c:v>
                </c:pt>
                <c:pt idx="4">
                  <c:v>423</c:v>
                </c:pt>
                <c:pt idx="5">
                  <c:v>428.1</c:v>
                </c:pt>
              </c:numCache>
            </c:numRef>
          </c:val>
          <c:extLst>
            <c:ext xmlns:c16="http://schemas.microsoft.com/office/drawing/2014/chart" uri="{C3380CC4-5D6E-409C-BE32-E72D297353CC}">
              <c16:uniqueId val="{00000001-9B26-465F-9CFA-1AE61A695C36}"/>
            </c:ext>
          </c:extLst>
        </c:ser>
        <c:dLbls>
          <c:showLegendKey val="0"/>
          <c:showVal val="0"/>
          <c:showCatName val="0"/>
          <c:showSerName val="0"/>
          <c:showPercent val="0"/>
          <c:showBubbleSize val="0"/>
        </c:dLbls>
        <c:gapWidth val="219"/>
        <c:overlap val="-27"/>
        <c:axId val="118675712"/>
        <c:axId val="118677504"/>
      </c:barChart>
      <c:catAx>
        <c:axId val="1186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677504"/>
        <c:crosses val="autoZero"/>
        <c:auto val="1"/>
        <c:lblAlgn val="ctr"/>
        <c:lblOffset val="100"/>
        <c:noMultiLvlLbl val="0"/>
      </c:catAx>
      <c:valAx>
        <c:axId val="118677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100 000 gyv.</a:t>
                </a:r>
                <a:endParaRPr lang="lt-LT"/>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675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BA84-0CFD-4501-A2FE-1AB4E50F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Pages>
  <Words>23603</Words>
  <Characters>13455</Characters>
  <Application>Microsoft Office Word</Application>
  <DocSecurity>0</DocSecurity>
  <Lines>112</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Balčiunė Ugne</cp:lastModifiedBy>
  <cp:revision>6</cp:revision>
  <dcterms:created xsi:type="dcterms:W3CDTF">2020-01-27T11:43:00Z</dcterms:created>
  <dcterms:modified xsi:type="dcterms:W3CDTF">2020-02-18T08:47:00Z</dcterms:modified>
</cp:coreProperties>
</file>