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4C" w:rsidRDefault="00677B4C" w:rsidP="00746386">
      <w:pPr>
        <w:tabs>
          <w:tab w:val="num" w:pos="0"/>
          <w:tab w:val="left" w:pos="720"/>
        </w:tabs>
        <w:spacing w:line="360" w:lineRule="auto"/>
        <w:ind w:firstLine="360"/>
        <w:jc w:val="center"/>
        <w:rPr>
          <w:lang w:val="lt-LT"/>
        </w:rPr>
      </w:pPr>
      <w:r w:rsidRPr="00380E88">
        <w:rPr>
          <w:lang w:val="lt-LT"/>
        </w:rPr>
        <w:t>AIŠKINAMASIS RAŠTAS</w:t>
      </w:r>
    </w:p>
    <w:p w:rsidR="00677B4C" w:rsidRPr="00380E88" w:rsidRDefault="00677B4C" w:rsidP="00746386">
      <w:pPr>
        <w:tabs>
          <w:tab w:val="num" w:pos="0"/>
          <w:tab w:val="left" w:pos="720"/>
        </w:tabs>
        <w:spacing w:line="360" w:lineRule="auto"/>
        <w:ind w:firstLine="360"/>
        <w:jc w:val="center"/>
        <w:rPr>
          <w:lang w:val="lt-LT"/>
        </w:rPr>
      </w:pPr>
    </w:p>
    <w:p w:rsidR="00677B4C" w:rsidRDefault="00924940" w:rsidP="00045022">
      <w:pPr>
        <w:spacing w:line="360" w:lineRule="auto"/>
        <w:jc w:val="center"/>
        <w:rPr>
          <w:lang w:val="lt-LT"/>
        </w:rPr>
      </w:pPr>
      <w:r>
        <w:rPr>
          <w:lang w:val="lt-LT"/>
        </w:rPr>
        <w:t>D</w:t>
      </w:r>
      <w:r w:rsidRPr="00924940">
        <w:rPr>
          <w:lang w:val="lt-LT"/>
        </w:rPr>
        <w:t xml:space="preserve">ėl </w:t>
      </w:r>
      <w:r w:rsidR="00045022" w:rsidRPr="00045022">
        <w:rPr>
          <w:lang w:val="lt-LT"/>
        </w:rPr>
        <w:t>daugiabučių namų šildymo ir karšto vandens sistemų priežiūros (eksploatavi</w:t>
      </w:r>
      <w:r w:rsidR="00045022">
        <w:rPr>
          <w:lang w:val="lt-LT"/>
        </w:rPr>
        <w:t>mo) maksimalių tarifų nustatymo</w:t>
      </w:r>
    </w:p>
    <w:p w:rsidR="000B4CCC" w:rsidRPr="006A456C" w:rsidRDefault="000B4CCC" w:rsidP="00045022">
      <w:pPr>
        <w:spacing w:line="360" w:lineRule="auto"/>
        <w:jc w:val="center"/>
        <w:rPr>
          <w:lang w:val="lt-LT"/>
        </w:rPr>
      </w:pPr>
      <w:bookmarkStart w:id="0" w:name="_GoBack"/>
      <w:bookmarkEnd w:id="0"/>
    </w:p>
    <w:p w:rsidR="00677B4C" w:rsidRPr="00380E88" w:rsidRDefault="00677B4C" w:rsidP="00F3371E">
      <w:pPr>
        <w:tabs>
          <w:tab w:val="left" w:pos="720"/>
          <w:tab w:val="num" w:pos="3960"/>
        </w:tabs>
        <w:spacing w:line="360" w:lineRule="auto"/>
        <w:jc w:val="both"/>
        <w:rPr>
          <w:b/>
          <w:lang w:val="lt-LT"/>
        </w:rPr>
      </w:pPr>
      <w:r w:rsidRPr="00380E88">
        <w:rPr>
          <w:b/>
          <w:lang w:val="lt-LT"/>
        </w:rPr>
        <w:t>1. P</w:t>
      </w:r>
      <w:r w:rsidRPr="00380E88">
        <w:rPr>
          <w:b/>
          <w:lang w:val="pt-BR"/>
        </w:rPr>
        <w:t>arengto tarybos sprendimo projekto tikslai ir uždaviniai</w:t>
      </w:r>
      <w:r w:rsidRPr="00380E88">
        <w:rPr>
          <w:b/>
          <w:lang w:val="lt-LT"/>
        </w:rPr>
        <w:t xml:space="preserve"> </w:t>
      </w:r>
    </w:p>
    <w:p w:rsidR="006A60BD" w:rsidRDefault="00677B4C" w:rsidP="00F3371E">
      <w:pPr>
        <w:tabs>
          <w:tab w:val="left" w:pos="720"/>
          <w:tab w:val="num" w:pos="3960"/>
        </w:tabs>
        <w:spacing w:line="360" w:lineRule="auto"/>
        <w:jc w:val="both"/>
        <w:rPr>
          <w:lang w:val="lt-LT"/>
        </w:rPr>
      </w:pPr>
      <w:r w:rsidRPr="00380E88">
        <w:rPr>
          <w:b/>
          <w:lang w:val="lt-LT"/>
        </w:rPr>
        <w:tab/>
      </w:r>
      <w:r w:rsidR="006A60BD" w:rsidRPr="006A60BD">
        <w:rPr>
          <w:lang w:val="lt-LT"/>
        </w:rPr>
        <w:t xml:space="preserve">Nauji </w:t>
      </w:r>
      <w:r w:rsidR="003C292B" w:rsidRPr="003C292B">
        <w:rPr>
          <w:lang w:val="lt-LT"/>
        </w:rPr>
        <w:t>daugiabučių namų šildymo ir karšto vandens sistemų priežiūros (</w:t>
      </w:r>
      <w:r w:rsidR="003C292B">
        <w:rPr>
          <w:lang w:val="lt-LT"/>
        </w:rPr>
        <w:t xml:space="preserve">eksploatavimo) maksimalūs tarifai </w:t>
      </w:r>
      <w:r w:rsidR="001A44F3">
        <w:rPr>
          <w:lang w:val="lt-LT"/>
        </w:rPr>
        <w:t xml:space="preserve">(toliau – </w:t>
      </w:r>
      <w:r w:rsidR="003C292B">
        <w:rPr>
          <w:lang w:val="lt-LT"/>
        </w:rPr>
        <w:t>T</w:t>
      </w:r>
      <w:r w:rsidR="001A44F3">
        <w:rPr>
          <w:lang w:val="lt-LT"/>
        </w:rPr>
        <w:t>arifai)</w:t>
      </w:r>
      <w:r w:rsidR="0090537F" w:rsidRPr="0090537F">
        <w:rPr>
          <w:lang w:val="lt-LT"/>
        </w:rPr>
        <w:t xml:space="preserve"> </w:t>
      </w:r>
      <w:r w:rsidR="006A60BD" w:rsidRPr="006A60BD">
        <w:rPr>
          <w:lang w:val="lt-LT"/>
        </w:rPr>
        <w:t>turi būti patvirtinti dėl šių priežasčių:</w:t>
      </w:r>
    </w:p>
    <w:p w:rsidR="001F243E" w:rsidRDefault="00EA6218" w:rsidP="00EC57BD">
      <w:pPr>
        <w:pStyle w:val="Sraopastraipa"/>
        <w:numPr>
          <w:ilvl w:val="1"/>
          <w:numId w:val="2"/>
        </w:numPr>
        <w:tabs>
          <w:tab w:val="left" w:pos="720"/>
        </w:tabs>
        <w:spacing w:line="360" w:lineRule="auto"/>
        <w:jc w:val="both"/>
        <w:rPr>
          <w:lang w:val="lt-LT"/>
        </w:rPr>
      </w:pPr>
      <w:r>
        <w:rPr>
          <w:lang w:val="lt-LT"/>
        </w:rPr>
        <w:t xml:space="preserve"> T</w:t>
      </w:r>
      <w:r w:rsidR="001F243E">
        <w:rPr>
          <w:lang w:val="lt-LT"/>
        </w:rPr>
        <w:t xml:space="preserve">o reikalauja teisės aktai: </w:t>
      </w:r>
    </w:p>
    <w:p w:rsidR="001E591F" w:rsidRPr="00624C5B" w:rsidRDefault="001E591F" w:rsidP="00EC57BD">
      <w:pPr>
        <w:pStyle w:val="Sraopastraipa"/>
        <w:numPr>
          <w:ilvl w:val="2"/>
          <w:numId w:val="2"/>
        </w:numPr>
        <w:tabs>
          <w:tab w:val="left" w:pos="720"/>
        </w:tabs>
        <w:spacing w:line="360" w:lineRule="auto"/>
        <w:jc w:val="both"/>
        <w:rPr>
          <w:lang w:val="lt-LT"/>
        </w:rPr>
      </w:pPr>
      <w:r w:rsidRPr="001E591F">
        <w:t xml:space="preserve">Lietuvos </w:t>
      </w:r>
      <w:r w:rsidRPr="00624C5B">
        <w:rPr>
          <w:lang w:val="lt-LT"/>
        </w:rPr>
        <w:t>Respublikos vietos savivaldos įstatymas;</w:t>
      </w:r>
    </w:p>
    <w:p w:rsidR="001F243E" w:rsidRPr="00624C5B" w:rsidRDefault="001F243E" w:rsidP="00EC57BD">
      <w:pPr>
        <w:pStyle w:val="Sraopastraipa"/>
        <w:numPr>
          <w:ilvl w:val="2"/>
          <w:numId w:val="2"/>
        </w:numPr>
        <w:tabs>
          <w:tab w:val="left" w:pos="720"/>
        </w:tabs>
        <w:spacing w:line="360" w:lineRule="auto"/>
        <w:jc w:val="both"/>
        <w:rPr>
          <w:lang w:val="lt-LT"/>
        </w:rPr>
      </w:pPr>
      <w:r w:rsidRPr="00624C5B">
        <w:rPr>
          <w:lang w:val="lt-LT"/>
        </w:rPr>
        <w:t>Lietuvos Respublikos šilumos ūkio įstatymas</w:t>
      </w:r>
    </w:p>
    <w:p w:rsidR="001E591F" w:rsidRPr="00624C5B" w:rsidRDefault="001F243E" w:rsidP="00EC57BD">
      <w:pPr>
        <w:pStyle w:val="Sraopastraipa"/>
        <w:numPr>
          <w:ilvl w:val="2"/>
          <w:numId w:val="2"/>
        </w:numPr>
        <w:tabs>
          <w:tab w:val="left" w:pos="720"/>
        </w:tabs>
        <w:spacing w:line="360" w:lineRule="auto"/>
        <w:ind w:left="709" w:firstLine="11"/>
        <w:jc w:val="both"/>
        <w:rPr>
          <w:lang w:val="lt-LT"/>
        </w:rPr>
      </w:pPr>
      <w:r w:rsidRPr="00624C5B">
        <w:rPr>
          <w:lang w:val="lt-LT"/>
        </w:rPr>
        <w:t>Valstybės kainų ir energetikos kontrolės komisijos</w:t>
      </w:r>
      <w:r w:rsidR="001E591F" w:rsidRPr="00624C5B">
        <w:rPr>
          <w:lang w:val="lt-LT"/>
        </w:rPr>
        <w:t xml:space="preserve"> 2003 m. rugpjūčio 7 d. nutarimas</w:t>
      </w:r>
      <w:r w:rsidRPr="00624C5B">
        <w:rPr>
          <w:lang w:val="lt-LT"/>
        </w:rPr>
        <w:t xml:space="preserve"> „Dėl daugiabučių namų šildymo ir karšto vandens sistemų priežiūros maksimalių tarifų nustatymo metodikos patvirtinimo“</w:t>
      </w:r>
      <w:r w:rsidR="001E591F" w:rsidRPr="00624C5B">
        <w:rPr>
          <w:lang w:val="lt-LT"/>
        </w:rPr>
        <w:t>.</w:t>
      </w:r>
    </w:p>
    <w:p w:rsidR="00A35D27" w:rsidRPr="00EC57BD" w:rsidRDefault="00EC57BD" w:rsidP="00EC57BD">
      <w:pPr>
        <w:tabs>
          <w:tab w:val="left" w:pos="720"/>
        </w:tabs>
        <w:spacing w:line="360" w:lineRule="auto"/>
        <w:ind w:firstLine="426"/>
        <w:jc w:val="both"/>
        <w:rPr>
          <w:lang w:val="lt-LT"/>
        </w:rPr>
      </w:pPr>
      <w:r>
        <w:rPr>
          <w:lang w:val="lt-LT"/>
        </w:rPr>
        <w:t>1.2.</w:t>
      </w:r>
      <w:r w:rsidR="001E591F" w:rsidRPr="00EC57BD">
        <w:rPr>
          <w:lang w:val="lt-LT"/>
        </w:rPr>
        <w:t xml:space="preserve"> Tarifai </w:t>
      </w:r>
      <w:r w:rsidR="004B679A" w:rsidRPr="00EC57BD">
        <w:rPr>
          <w:lang w:val="lt-LT"/>
        </w:rPr>
        <w:t>bus</w:t>
      </w:r>
      <w:r w:rsidR="00245FC6" w:rsidRPr="00EC57BD">
        <w:rPr>
          <w:lang w:val="lt-LT"/>
        </w:rPr>
        <w:t xml:space="preserve"> diferencijuoti</w:t>
      </w:r>
      <w:r w:rsidR="00FB3AC4" w:rsidRPr="00EC57BD">
        <w:rPr>
          <w:lang w:val="lt-LT"/>
        </w:rPr>
        <w:t xml:space="preserve"> pagal konkreč</w:t>
      </w:r>
      <w:r w:rsidR="00245FC6" w:rsidRPr="00EC57BD">
        <w:rPr>
          <w:lang w:val="lt-LT"/>
        </w:rPr>
        <w:t>ius daugiabučių gyvenamųjų namų</w:t>
      </w:r>
      <w:r w:rsidR="001E591F" w:rsidRPr="00EC57BD">
        <w:rPr>
          <w:lang w:val="lt-LT"/>
        </w:rPr>
        <w:t xml:space="preserve"> ir </w:t>
      </w:r>
      <w:r w:rsidR="00AC7039" w:rsidRPr="00EC57BD">
        <w:rPr>
          <w:lang w:val="lt-LT"/>
        </w:rPr>
        <w:t>šilumos punktų</w:t>
      </w:r>
      <w:r w:rsidR="00245FC6" w:rsidRPr="00EC57BD">
        <w:rPr>
          <w:lang w:val="lt-LT"/>
        </w:rPr>
        <w:t>, šildymo sistemos vamzdynų i</w:t>
      </w:r>
      <w:r w:rsidR="00AC7039" w:rsidRPr="00EC57BD">
        <w:rPr>
          <w:lang w:val="lt-LT"/>
        </w:rPr>
        <w:t>r karšto vandens tiekimo sistemų</w:t>
      </w:r>
      <w:r w:rsidR="00245FC6" w:rsidRPr="00EC57BD">
        <w:rPr>
          <w:lang w:val="lt-LT"/>
        </w:rPr>
        <w:t xml:space="preserve"> vamzdynų </w:t>
      </w:r>
      <w:r w:rsidR="00AC7039" w:rsidRPr="00EC57BD">
        <w:rPr>
          <w:lang w:val="lt-LT"/>
        </w:rPr>
        <w:t>tipus</w:t>
      </w:r>
      <w:r w:rsidR="00A35D27" w:rsidRPr="00EC57BD">
        <w:rPr>
          <w:lang w:val="lt-LT"/>
        </w:rPr>
        <w:t>;</w:t>
      </w:r>
      <w:r w:rsidR="002116FA" w:rsidRPr="00EC57BD">
        <w:rPr>
          <w:lang w:val="lt-LT"/>
        </w:rPr>
        <w:t xml:space="preserve"> pastatų bendrąjį plotą (koeficientas k</w:t>
      </w:r>
      <w:r w:rsidR="002116FA" w:rsidRPr="00EC57BD">
        <w:rPr>
          <w:vertAlign w:val="subscript"/>
          <w:lang w:val="lt-LT"/>
        </w:rPr>
        <w:t>1</w:t>
      </w:r>
      <w:r w:rsidR="002116FA" w:rsidRPr="00EC57BD">
        <w:rPr>
          <w:lang w:val="lt-LT"/>
        </w:rPr>
        <w:t xml:space="preserve">), </w:t>
      </w:r>
      <w:r w:rsidR="00AC7039" w:rsidRPr="00EC57BD">
        <w:rPr>
          <w:lang w:val="lt-LT"/>
        </w:rPr>
        <w:t xml:space="preserve">eksploatavimo laiką po </w:t>
      </w:r>
      <w:r w:rsidR="002116FA" w:rsidRPr="00EC57BD">
        <w:rPr>
          <w:lang w:val="lt-LT"/>
        </w:rPr>
        <w:t xml:space="preserve">sistemos </w:t>
      </w:r>
      <w:r w:rsidR="00AC7039" w:rsidRPr="00EC57BD">
        <w:rPr>
          <w:lang w:val="lt-LT"/>
        </w:rPr>
        <w:t>įrengimo</w:t>
      </w:r>
      <w:r w:rsidR="002116FA" w:rsidRPr="00EC57BD">
        <w:rPr>
          <w:lang w:val="lt-LT"/>
        </w:rPr>
        <w:t xml:space="preserve"> arba atnaujinimo (koeficientas k</w:t>
      </w:r>
      <w:r w:rsidR="002116FA" w:rsidRPr="00EC57BD">
        <w:rPr>
          <w:vertAlign w:val="subscript"/>
          <w:lang w:val="lt-LT"/>
        </w:rPr>
        <w:t>2</w:t>
      </w:r>
      <w:r w:rsidR="002116FA" w:rsidRPr="00EC57BD">
        <w:rPr>
          <w:lang w:val="lt-LT"/>
        </w:rPr>
        <w:t>). Namų bendrojo ploto ir sistemų eksploatavimo laiko įtaka t</w:t>
      </w:r>
      <w:r w:rsidR="00A35D27" w:rsidRPr="00EC57BD">
        <w:rPr>
          <w:lang w:val="lt-LT"/>
        </w:rPr>
        <w:t xml:space="preserve">arifų </w:t>
      </w:r>
      <w:r w:rsidR="002116FA" w:rsidRPr="00EC57BD">
        <w:rPr>
          <w:lang w:val="lt-LT"/>
        </w:rPr>
        <w:t>dydžiui</w:t>
      </w:r>
      <w:r w:rsidR="00A35D27" w:rsidRPr="00EC57BD">
        <w:rPr>
          <w:lang w:val="lt-LT"/>
        </w:rPr>
        <w:t xml:space="preserve"> pateikiama lentelėje):</w:t>
      </w:r>
    </w:p>
    <w:tbl>
      <w:tblPr>
        <w:tblW w:w="9560" w:type="dxa"/>
        <w:tblInd w:w="91" w:type="dxa"/>
        <w:tblLook w:val="0000" w:firstRow="0" w:lastRow="0" w:firstColumn="0" w:lastColumn="0" w:noHBand="0" w:noVBand="0"/>
      </w:tblPr>
      <w:tblGrid>
        <w:gridCol w:w="2480"/>
        <w:gridCol w:w="1400"/>
        <w:gridCol w:w="1420"/>
        <w:gridCol w:w="1420"/>
        <w:gridCol w:w="1420"/>
        <w:gridCol w:w="1420"/>
      </w:tblGrid>
      <w:tr w:rsidR="00A35D27" w:rsidRPr="0036336E" w:rsidTr="00CF179F">
        <w:trPr>
          <w:trHeight w:val="660"/>
        </w:trPr>
        <w:tc>
          <w:tcPr>
            <w:tcW w:w="248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35D27" w:rsidRPr="004B679A" w:rsidRDefault="00A35D27" w:rsidP="00CF179F">
            <w:pPr>
              <w:jc w:val="center"/>
              <w:rPr>
                <w:bCs/>
                <w:color w:val="000000"/>
                <w:lang w:val="lt-LT"/>
              </w:rPr>
            </w:pPr>
            <w:r w:rsidRPr="004B679A">
              <w:rPr>
                <w:bCs/>
                <w:caps/>
                <w:lang w:val="lt-LT"/>
              </w:rPr>
              <w:t xml:space="preserve"> </w:t>
            </w:r>
            <w:r w:rsidRPr="004B679A">
              <w:rPr>
                <w:bCs/>
                <w:color w:val="000000"/>
                <w:lang w:val="lt-LT"/>
              </w:rPr>
              <w:t>Pastato bendrasis plotas, m</w:t>
            </w:r>
            <w:r w:rsidRPr="004B679A">
              <w:rPr>
                <w:bCs/>
                <w:color w:val="000000"/>
                <w:vertAlign w:val="superscript"/>
                <w:lang w:val="lt-LT"/>
              </w:rPr>
              <w:t>2</w:t>
            </w:r>
          </w:p>
        </w:tc>
        <w:tc>
          <w:tcPr>
            <w:tcW w:w="14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35D27" w:rsidRPr="004B679A" w:rsidRDefault="00A35D27" w:rsidP="00CF179F">
            <w:pPr>
              <w:jc w:val="center"/>
              <w:rPr>
                <w:color w:val="000000"/>
                <w:lang w:val="lt-LT"/>
              </w:rPr>
            </w:pPr>
            <w:r w:rsidRPr="004B679A">
              <w:rPr>
                <w:color w:val="000000"/>
                <w:lang w:val="lt-LT"/>
              </w:rPr>
              <w:t>Koeficiento k</w:t>
            </w:r>
            <w:r w:rsidRPr="004B679A">
              <w:rPr>
                <w:color w:val="000000"/>
                <w:vertAlign w:val="subscript"/>
                <w:lang w:val="lt-LT"/>
              </w:rPr>
              <w:t>1</w:t>
            </w:r>
            <w:r w:rsidRPr="004B679A">
              <w:rPr>
                <w:color w:val="000000"/>
                <w:lang w:val="lt-LT"/>
              </w:rPr>
              <w:t xml:space="preserve"> reikšmės</w:t>
            </w:r>
          </w:p>
        </w:tc>
        <w:tc>
          <w:tcPr>
            <w:tcW w:w="5680" w:type="dxa"/>
            <w:gridSpan w:val="4"/>
            <w:tcBorders>
              <w:top w:val="single" w:sz="8" w:space="0" w:color="auto"/>
              <w:left w:val="nil"/>
              <w:bottom w:val="single" w:sz="4" w:space="0" w:color="auto"/>
              <w:right w:val="single" w:sz="8" w:space="0" w:color="000000"/>
            </w:tcBorders>
            <w:shd w:val="clear" w:color="auto" w:fill="auto"/>
            <w:vAlign w:val="center"/>
          </w:tcPr>
          <w:p w:rsidR="00A35D27" w:rsidRPr="004B679A" w:rsidRDefault="00A35D27" w:rsidP="00CF179F">
            <w:pPr>
              <w:jc w:val="center"/>
              <w:rPr>
                <w:bCs/>
                <w:color w:val="000000"/>
                <w:lang w:val="lt-LT"/>
              </w:rPr>
            </w:pPr>
            <w:r w:rsidRPr="004B679A">
              <w:rPr>
                <w:bCs/>
                <w:color w:val="000000"/>
                <w:lang w:val="lt-LT"/>
              </w:rPr>
              <w:t xml:space="preserve"> Sistemos ar jos dalių eksploatavimo laikas po įrengimo arba atnaujinimo </w:t>
            </w:r>
          </w:p>
        </w:tc>
      </w:tr>
      <w:tr w:rsidR="00A35D27" w:rsidRPr="0036336E" w:rsidTr="00CF179F">
        <w:trPr>
          <w:trHeight w:val="1485"/>
        </w:trPr>
        <w:tc>
          <w:tcPr>
            <w:tcW w:w="2480" w:type="dxa"/>
            <w:vMerge/>
            <w:tcBorders>
              <w:top w:val="single" w:sz="8" w:space="0" w:color="auto"/>
              <w:left w:val="single" w:sz="8" w:space="0" w:color="auto"/>
              <w:bottom w:val="single" w:sz="4" w:space="0" w:color="auto"/>
              <w:right w:val="single" w:sz="4" w:space="0" w:color="auto"/>
            </w:tcBorders>
            <w:vAlign w:val="center"/>
          </w:tcPr>
          <w:p w:rsidR="00A35D27" w:rsidRPr="0036336E" w:rsidRDefault="00A35D27" w:rsidP="00CF179F">
            <w:pPr>
              <w:rPr>
                <w:b/>
                <w:bCs/>
                <w:color w:val="000000"/>
                <w:lang w:val="lt-LT"/>
              </w:rPr>
            </w:pPr>
          </w:p>
        </w:tc>
        <w:tc>
          <w:tcPr>
            <w:tcW w:w="1400" w:type="dxa"/>
            <w:vMerge/>
            <w:tcBorders>
              <w:top w:val="single" w:sz="8" w:space="0" w:color="auto"/>
              <w:left w:val="single" w:sz="4" w:space="0" w:color="auto"/>
              <w:bottom w:val="single" w:sz="4" w:space="0" w:color="auto"/>
              <w:right w:val="single" w:sz="4" w:space="0" w:color="auto"/>
            </w:tcBorders>
            <w:vAlign w:val="center"/>
          </w:tcPr>
          <w:p w:rsidR="00A35D27" w:rsidRPr="0036336E" w:rsidRDefault="00A35D27" w:rsidP="00CF179F">
            <w:pPr>
              <w:rPr>
                <w:color w:val="000000"/>
                <w:lang w:val="lt-LT"/>
              </w:rPr>
            </w:pPr>
          </w:p>
        </w:tc>
        <w:tc>
          <w:tcPr>
            <w:tcW w:w="1420" w:type="dxa"/>
            <w:tcBorders>
              <w:top w:val="nil"/>
              <w:left w:val="nil"/>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iki 10 metų</w:t>
            </w:r>
          </w:p>
        </w:tc>
        <w:tc>
          <w:tcPr>
            <w:tcW w:w="1420" w:type="dxa"/>
            <w:tcBorders>
              <w:top w:val="nil"/>
              <w:left w:val="nil"/>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10–20 metų</w:t>
            </w:r>
          </w:p>
        </w:tc>
        <w:tc>
          <w:tcPr>
            <w:tcW w:w="1420" w:type="dxa"/>
            <w:tcBorders>
              <w:top w:val="nil"/>
              <w:left w:val="nil"/>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20–30 metų (Karšto vandens sistemai – iki 25 metų)</w:t>
            </w:r>
          </w:p>
        </w:tc>
        <w:tc>
          <w:tcPr>
            <w:tcW w:w="1420" w:type="dxa"/>
            <w:tcBorders>
              <w:top w:val="nil"/>
              <w:left w:val="nil"/>
              <w:bottom w:val="single" w:sz="4" w:space="0" w:color="auto"/>
              <w:right w:val="single" w:sz="8"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 xml:space="preserve">virš 30 metų (Karšto vandens sistemai – virš </w:t>
            </w:r>
            <w:smartTag w:uri="urn:schemas-microsoft-com:office:smarttags" w:element="metricconverter">
              <w:smartTagPr>
                <w:attr w:name="ProductID" w:val="25 m"/>
              </w:smartTagPr>
              <w:r w:rsidRPr="0036336E">
                <w:rPr>
                  <w:color w:val="000000"/>
                  <w:lang w:val="lt-LT"/>
                </w:rPr>
                <w:t>25 m</w:t>
              </w:r>
            </w:smartTag>
            <w:r w:rsidRPr="0036336E">
              <w:rPr>
                <w:color w:val="000000"/>
                <w:lang w:val="lt-LT"/>
              </w:rPr>
              <w:t>.)</w:t>
            </w:r>
          </w:p>
        </w:tc>
      </w:tr>
      <w:tr w:rsidR="00A35D27" w:rsidRPr="0036336E" w:rsidTr="00CF179F">
        <w:trPr>
          <w:trHeight w:val="345"/>
        </w:trPr>
        <w:tc>
          <w:tcPr>
            <w:tcW w:w="2480" w:type="dxa"/>
            <w:vMerge/>
            <w:tcBorders>
              <w:top w:val="single" w:sz="8" w:space="0" w:color="auto"/>
              <w:left w:val="single" w:sz="8" w:space="0" w:color="auto"/>
              <w:bottom w:val="single" w:sz="4" w:space="0" w:color="auto"/>
              <w:right w:val="single" w:sz="4" w:space="0" w:color="auto"/>
            </w:tcBorders>
            <w:vAlign w:val="center"/>
          </w:tcPr>
          <w:p w:rsidR="00A35D27" w:rsidRPr="0036336E" w:rsidRDefault="00A35D27" w:rsidP="00CF179F">
            <w:pPr>
              <w:rPr>
                <w:b/>
                <w:bCs/>
                <w:color w:val="000000"/>
                <w:lang w:val="lt-LT"/>
              </w:rPr>
            </w:pPr>
          </w:p>
        </w:tc>
        <w:tc>
          <w:tcPr>
            <w:tcW w:w="1400" w:type="dxa"/>
            <w:vMerge/>
            <w:tcBorders>
              <w:top w:val="single" w:sz="8" w:space="0" w:color="auto"/>
              <w:left w:val="single" w:sz="4" w:space="0" w:color="auto"/>
              <w:bottom w:val="single" w:sz="4" w:space="0" w:color="auto"/>
              <w:right w:val="single" w:sz="4" w:space="0" w:color="auto"/>
            </w:tcBorders>
            <w:vAlign w:val="center"/>
          </w:tcPr>
          <w:p w:rsidR="00A35D27" w:rsidRPr="0036336E" w:rsidRDefault="00A35D27" w:rsidP="00CF179F">
            <w:pPr>
              <w:rPr>
                <w:color w:val="000000"/>
                <w:lang w:val="lt-LT"/>
              </w:rPr>
            </w:pPr>
          </w:p>
        </w:tc>
        <w:tc>
          <w:tcPr>
            <w:tcW w:w="5680" w:type="dxa"/>
            <w:gridSpan w:val="4"/>
            <w:tcBorders>
              <w:top w:val="single" w:sz="4" w:space="0" w:color="auto"/>
              <w:left w:val="nil"/>
              <w:bottom w:val="single" w:sz="4" w:space="0" w:color="auto"/>
              <w:right w:val="single" w:sz="8" w:space="0" w:color="000000"/>
            </w:tcBorders>
            <w:shd w:val="clear" w:color="auto" w:fill="auto"/>
            <w:vAlign w:val="center"/>
          </w:tcPr>
          <w:p w:rsidR="00A35D27" w:rsidRPr="0036336E" w:rsidRDefault="00A35D27" w:rsidP="00CF179F">
            <w:pPr>
              <w:jc w:val="center"/>
              <w:rPr>
                <w:color w:val="000000"/>
                <w:lang w:val="lt-LT"/>
              </w:rPr>
            </w:pPr>
            <w:r w:rsidRPr="0036336E">
              <w:rPr>
                <w:color w:val="000000"/>
                <w:lang w:val="lt-LT"/>
              </w:rPr>
              <w:t>Koeficiento k</w:t>
            </w:r>
            <w:r w:rsidRPr="0036336E">
              <w:rPr>
                <w:color w:val="000000"/>
                <w:vertAlign w:val="subscript"/>
                <w:lang w:val="lt-LT"/>
              </w:rPr>
              <w:t>2</w:t>
            </w:r>
            <w:r w:rsidRPr="0036336E">
              <w:rPr>
                <w:color w:val="000000"/>
                <w:lang w:val="lt-LT"/>
              </w:rPr>
              <w:t xml:space="preserve"> reikšmė</w:t>
            </w:r>
          </w:p>
        </w:tc>
      </w:tr>
      <w:tr w:rsidR="00A35D27" w:rsidRPr="0036336E" w:rsidTr="00CF179F">
        <w:trPr>
          <w:trHeight w:val="315"/>
        </w:trPr>
        <w:tc>
          <w:tcPr>
            <w:tcW w:w="2480" w:type="dxa"/>
            <w:vMerge/>
            <w:tcBorders>
              <w:top w:val="single" w:sz="8" w:space="0" w:color="auto"/>
              <w:left w:val="single" w:sz="8" w:space="0" w:color="auto"/>
              <w:bottom w:val="single" w:sz="4" w:space="0" w:color="auto"/>
              <w:right w:val="single" w:sz="4" w:space="0" w:color="auto"/>
            </w:tcBorders>
            <w:vAlign w:val="center"/>
          </w:tcPr>
          <w:p w:rsidR="00A35D27" w:rsidRPr="0036336E" w:rsidRDefault="00A35D27" w:rsidP="00CF179F">
            <w:pPr>
              <w:rPr>
                <w:b/>
                <w:bCs/>
                <w:color w:val="000000"/>
                <w:lang w:val="lt-LT"/>
              </w:rPr>
            </w:pPr>
          </w:p>
        </w:tc>
        <w:tc>
          <w:tcPr>
            <w:tcW w:w="1400" w:type="dxa"/>
            <w:vMerge/>
            <w:tcBorders>
              <w:top w:val="single" w:sz="8" w:space="0" w:color="auto"/>
              <w:left w:val="single" w:sz="4" w:space="0" w:color="auto"/>
              <w:bottom w:val="single" w:sz="4" w:space="0" w:color="auto"/>
              <w:right w:val="single" w:sz="4" w:space="0" w:color="auto"/>
            </w:tcBorders>
            <w:vAlign w:val="center"/>
          </w:tcPr>
          <w:p w:rsidR="00A35D27" w:rsidRPr="0036336E" w:rsidRDefault="00A35D27" w:rsidP="00CF179F">
            <w:pPr>
              <w:rPr>
                <w:color w:val="000000"/>
                <w:lang w:val="lt-LT"/>
              </w:rPr>
            </w:pPr>
          </w:p>
        </w:tc>
        <w:tc>
          <w:tcPr>
            <w:tcW w:w="1420" w:type="dxa"/>
            <w:tcBorders>
              <w:top w:val="nil"/>
              <w:left w:val="nil"/>
              <w:bottom w:val="nil"/>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0,9</w:t>
            </w:r>
          </w:p>
        </w:tc>
        <w:tc>
          <w:tcPr>
            <w:tcW w:w="1420" w:type="dxa"/>
            <w:tcBorders>
              <w:top w:val="nil"/>
              <w:left w:val="nil"/>
              <w:bottom w:val="nil"/>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1</w:t>
            </w:r>
          </w:p>
        </w:tc>
        <w:tc>
          <w:tcPr>
            <w:tcW w:w="1420" w:type="dxa"/>
            <w:tcBorders>
              <w:top w:val="nil"/>
              <w:left w:val="nil"/>
              <w:bottom w:val="nil"/>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1,1</w:t>
            </w:r>
          </w:p>
        </w:tc>
        <w:tc>
          <w:tcPr>
            <w:tcW w:w="1420" w:type="dxa"/>
            <w:tcBorders>
              <w:top w:val="nil"/>
              <w:left w:val="nil"/>
              <w:bottom w:val="nil"/>
              <w:right w:val="single" w:sz="8"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1,2</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iki 1000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1,2</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1,08</w:t>
            </w:r>
          </w:p>
        </w:tc>
        <w:tc>
          <w:tcPr>
            <w:tcW w:w="1420" w:type="dxa"/>
            <w:tcBorders>
              <w:top w:val="single" w:sz="8" w:space="0" w:color="auto"/>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1,2</w:t>
            </w:r>
          </w:p>
        </w:tc>
        <w:tc>
          <w:tcPr>
            <w:tcW w:w="1420" w:type="dxa"/>
            <w:tcBorders>
              <w:top w:val="single" w:sz="8" w:space="0" w:color="auto"/>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1,32</w:t>
            </w:r>
          </w:p>
        </w:tc>
        <w:tc>
          <w:tcPr>
            <w:tcW w:w="1420" w:type="dxa"/>
            <w:tcBorders>
              <w:top w:val="single" w:sz="8" w:space="0" w:color="auto"/>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1,44</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1001–2000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1,1</w:t>
            </w:r>
          </w:p>
        </w:tc>
        <w:tc>
          <w:tcPr>
            <w:tcW w:w="1420" w:type="dxa"/>
            <w:tcBorders>
              <w:top w:val="nil"/>
              <w:left w:val="single" w:sz="8" w:space="0" w:color="auto"/>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0,99</w:t>
            </w:r>
          </w:p>
        </w:tc>
        <w:tc>
          <w:tcPr>
            <w:tcW w:w="1420" w:type="dxa"/>
            <w:tcBorders>
              <w:top w:val="nil"/>
              <w:left w:val="nil"/>
              <w:bottom w:val="nil"/>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1,1</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1,21</w:t>
            </w:r>
          </w:p>
        </w:tc>
        <w:tc>
          <w:tcPr>
            <w:tcW w:w="1420" w:type="dxa"/>
            <w:tcBorders>
              <w:top w:val="nil"/>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1,32</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2001–3000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1</w:t>
            </w:r>
          </w:p>
        </w:tc>
        <w:tc>
          <w:tcPr>
            <w:tcW w:w="1420" w:type="dxa"/>
            <w:tcBorders>
              <w:top w:val="nil"/>
              <w:left w:val="single" w:sz="8" w:space="0" w:color="auto"/>
              <w:bottom w:val="single" w:sz="4" w:space="0" w:color="auto"/>
              <w:right w:val="nil"/>
            </w:tcBorders>
            <w:shd w:val="clear" w:color="auto" w:fill="auto"/>
            <w:noWrap/>
            <w:vAlign w:val="center"/>
          </w:tcPr>
          <w:p w:rsidR="00A35D27" w:rsidRPr="0036336E" w:rsidRDefault="00A35D27" w:rsidP="00CF179F">
            <w:pPr>
              <w:jc w:val="center"/>
              <w:rPr>
                <w:lang w:val="lt-LT"/>
              </w:rPr>
            </w:pPr>
            <w:r w:rsidRPr="0036336E">
              <w:rPr>
                <w:lang w:val="lt-LT"/>
              </w:rPr>
              <w:t>0,9</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35D27" w:rsidRPr="0036336E" w:rsidRDefault="00A35D27" w:rsidP="00CF179F">
            <w:pPr>
              <w:jc w:val="center"/>
              <w:rPr>
                <w:b/>
                <w:bCs/>
                <w:lang w:val="lt-LT"/>
              </w:rPr>
            </w:pPr>
            <w:r w:rsidRPr="0036336E">
              <w:rPr>
                <w:b/>
                <w:bCs/>
                <w:lang w:val="lt-LT"/>
              </w:rPr>
              <w:t>1</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1,1</w:t>
            </w:r>
          </w:p>
        </w:tc>
        <w:tc>
          <w:tcPr>
            <w:tcW w:w="1420" w:type="dxa"/>
            <w:tcBorders>
              <w:top w:val="nil"/>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1,2</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3001–4000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0,9</w:t>
            </w:r>
          </w:p>
        </w:tc>
        <w:tc>
          <w:tcPr>
            <w:tcW w:w="1420" w:type="dxa"/>
            <w:tcBorders>
              <w:top w:val="nil"/>
              <w:left w:val="single" w:sz="8" w:space="0" w:color="auto"/>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0,81</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0,9</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0,99</w:t>
            </w:r>
          </w:p>
        </w:tc>
        <w:tc>
          <w:tcPr>
            <w:tcW w:w="1420" w:type="dxa"/>
            <w:tcBorders>
              <w:top w:val="nil"/>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1,08</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4001–5000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0,8</w:t>
            </w:r>
          </w:p>
        </w:tc>
        <w:tc>
          <w:tcPr>
            <w:tcW w:w="1420" w:type="dxa"/>
            <w:tcBorders>
              <w:top w:val="nil"/>
              <w:left w:val="single" w:sz="8" w:space="0" w:color="auto"/>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0,72</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0,8</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0,88</w:t>
            </w:r>
          </w:p>
        </w:tc>
        <w:tc>
          <w:tcPr>
            <w:tcW w:w="1420" w:type="dxa"/>
            <w:tcBorders>
              <w:top w:val="nil"/>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0,96</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5001–6000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0,7</w:t>
            </w:r>
          </w:p>
        </w:tc>
        <w:tc>
          <w:tcPr>
            <w:tcW w:w="1420" w:type="dxa"/>
            <w:tcBorders>
              <w:top w:val="nil"/>
              <w:left w:val="single" w:sz="8" w:space="0" w:color="auto"/>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0,63</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0,7</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0,77</w:t>
            </w:r>
          </w:p>
        </w:tc>
        <w:tc>
          <w:tcPr>
            <w:tcW w:w="1420" w:type="dxa"/>
            <w:tcBorders>
              <w:top w:val="nil"/>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0,84</w:t>
            </w:r>
          </w:p>
        </w:tc>
      </w:tr>
      <w:tr w:rsidR="00A35D27" w:rsidRPr="0036336E" w:rsidTr="00CF179F">
        <w:trPr>
          <w:trHeight w:val="330"/>
        </w:trPr>
        <w:tc>
          <w:tcPr>
            <w:tcW w:w="2480" w:type="dxa"/>
            <w:tcBorders>
              <w:top w:val="nil"/>
              <w:left w:val="single" w:sz="8" w:space="0" w:color="auto"/>
              <w:bottom w:val="single" w:sz="4"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6001–7000</w:t>
            </w:r>
          </w:p>
        </w:tc>
        <w:tc>
          <w:tcPr>
            <w:tcW w:w="1400" w:type="dxa"/>
            <w:tcBorders>
              <w:top w:val="nil"/>
              <w:left w:val="nil"/>
              <w:bottom w:val="single" w:sz="4"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0,6</w:t>
            </w:r>
          </w:p>
        </w:tc>
        <w:tc>
          <w:tcPr>
            <w:tcW w:w="1420" w:type="dxa"/>
            <w:tcBorders>
              <w:top w:val="nil"/>
              <w:left w:val="single" w:sz="8" w:space="0" w:color="auto"/>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0,54</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0,6</w:t>
            </w:r>
          </w:p>
        </w:tc>
        <w:tc>
          <w:tcPr>
            <w:tcW w:w="1420" w:type="dxa"/>
            <w:tcBorders>
              <w:top w:val="nil"/>
              <w:left w:val="nil"/>
              <w:bottom w:val="single" w:sz="4"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0,66</w:t>
            </w:r>
          </w:p>
        </w:tc>
        <w:tc>
          <w:tcPr>
            <w:tcW w:w="1420" w:type="dxa"/>
            <w:tcBorders>
              <w:top w:val="nil"/>
              <w:left w:val="nil"/>
              <w:bottom w:val="single" w:sz="4"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0,72</w:t>
            </w:r>
          </w:p>
        </w:tc>
      </w:tr>
      <w:tr w:rsidR="00A35D27" w:rsidRPr="0036336E" w:rsidTr="00CF179F">
        <w:trPr>
          <w:trHeight w:val="315"/>
        </w:trPr>
        <w:tc>
          <w:tcPr>
            <w:tcW w:w="2480" w:type="dxa"/>
            <w:tcBorders>
              <w:top w:val="nil"/>
              <w:left w:val="single" w:sz="8" w:space="0" w:color="auto"/>
              <w:bottom w:val="single" w:sz="8" w:space="0" w:color="auto"/>
              <w:right w:val="single" w:sz="4" w:space="0" w:color="auto"/>
            </w:tcBorders>
            <w:shd w:val="clear" w:color="auto" w:fill="auto"/>
            <w:vAlign w:val="center"/>
          </w:tcPr>
          <w:p w:rsidR="00A35D27" w:rsidRPr="0036336E" w:rsidRDefault="00A35D27" w:rsidP="00CF179F">
            <w:pPr>
              <w:jc w:val="center"/>
              <w:rPr>
                <w:color w:val="000000"/>
                <w:lang w:val="lt-LT"/>
              </w:rPr>
            </w:pPr>
            <w:r w:rsidRPr="0036336E">
              <w:rPr>
                <w:color w:val="000000"/>
                <w:lang w:val="lt-LT"/>
              </w:rPr>
              <w:t>Daugiau kaip 7000</w:t>
            </w:r>
          </w:p>
        </w:tc>
        <w:tc>
          <w:tcPr>
            <w:tcW w:w="1400" w:type="dxa"/>
            <w:tcBorders>
              <w:top w:val="nil"/>
              <w:left w:val="nil"/>
              <w:bottom w:val="single" w:sz="8" w:space="0" w:color="auto"/>
              <w:right w:val="nil"/>
            </w:tcBorders>
            <w:shd w:val="clear" w:color="auto" w:fill="auto"/>
            <w:vAlign w:val="center"/>
          </w:tcPr>
          <w:p w:rsidR="00A35D27" w:rsidRPr="0036336E" w:rsidRDefault="00A35D27" w:rsidP="00CF179F">
            <w:pPr>
              <w:jc w:val="center"/>
              <w:rPr>
                <w:color w:val="000000"/>
                <w:lang w:val="lt-LT"/>
              </w:rPr>
            </w:pPr>
            <w:r w:rsidRPr="0036336E">
              <w:rPr>
                <w:color w:val="000000"/>
                <w:lang w:val="lt-LT"/>
              </w:rPr>
              <w:t>0,5</w:t>
            </w:r>
          </w:p>
        </w:tc>
        <w:tc>
          <w:tcPr>
            <w:tcW w:w="1420" w:type="dxa"/>
            <w:tcBorders>
              <w:top w:val="nil"/>
              <w:left w:val="single" w:sz="8" w:space="0" w:color="auto"/>
              <w:bottom w:val="single" w:sz="8"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0,45</w:t>
            </w:r>
          </w:p>
        </w:tc>
        <w:tc>
          <w:tcPr>
            <w:tcW w:w="1420" w:type="dxa"/>
            <w:tcBorders>
              <w:top w:val="nil"/>
              <w:left w:val="nil"/>
              <w:bottom w:val="single" w:sz="8"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0,5</w:t>
            </w:r>
          </w:p>
        </w:tc>
        <w:tc>
          <w:tcPr>
            <w:tcW w:w="1420" w:type="dxa"/>
            <w:tcBorders>
              <w:top w:val="nil"/>
              <w:left w:val="nil"/>
              <w:bottom w:val="single" w:sz="8" w:space="0" w:color="auto"/>
              <w:right w:val="single" w:sz="4" w:space="0" w:color="auto"/>
            </w:tcBorders>
            <w:shd w:val="clear" w:color="auto" w:fill="auto"/>
            <w:noWrap/>
            <w:vAlign w:val="center"/>
          </w:tcPr>
          <w:p w:rsidR="00A35D27" w:rsidRPr="0036336E" w:rsidRDefault="00A35D27" w:rsidP="00CF179F">
            <w:pPr>
              <w:jc w:val="center"/>
              <w:rPr>
                <w:lang w:val="lt-LT"/>
              </w:rPr>
            </w:pPr>
            <w:r w:rsidRPr="0036336E">
              <w:rPr>
                <w:lang w:val="lt-LT"/>
              </w:rPr>
              <w:t>0,55</w:t>
            </w:r>
          </w:p>
        </w:tc>
        <w:tc>
          <w:tcPr>
            <w:tcW w:w="1420" w:type="dxa"/>
            <w:tcBorders>
              <w:top w:val="nil"/>
              <w:left w:val="nil"/>
              <w:bottom w:val="single" w:sz="8" w:space="0" w:color="auto"/>
              <w:right w:val="single" w:sz="8" w:space="0" w:color="auto"/>
            </w:tcBorders>
            <w:shd w:val="clear" w:color="auto" w:fill="auto"/>
            <w:noWrap/>
            <w:vAlign w:val="center"/>
          </w:tcPr>
          <w:p w:rsidR="00A35D27" w:rsidRPr="0036336E" w:rsidRDefault="00A35D27" w:rsidP="00CF179F">
            <w:pPr>
              <w:jc w:val="center"/>
              <w:rPr>
                <w:lang w:val="lt-LT"/>
              </w:rPr>
            </w:pPr>
            <w:r w:rsidRPr="0036336E">
              <w:rPr>
                <w:lang w:val="lt-LT"/>
              </w:rPr>
              <w:t>0,6</w:t>
            </w:r>
          </w:p>
        </w:tc>
      </w:tr>
    </w:tbl>
    <w:p w:rsidR="004B679A" w:rsidRDefault="004B679A" w:rsidP="00EA6218">
      <w:pPr>
        <w:tabs>
          <w:tab w:val="left" w:pos="720"/>
        </w:tabs>
        <w:spacing w:line="360" w:lineRule="auto"/>
        <w:jc w:val="both"/>
        <w:rPr>
          <w:b/>
          <w:lang w:val="lt-LT"/>
        </w:rPr>
      </w:pPr>
    </w:p>
    <w:p w:rsidR="00CA6F26" w:rsidRDefault="00F44563" w:rsidP="00864D07">
      <w:pPr>
        <w:pStyle w:val="Sraopastraipa"/>
        <w:spacing w:line="360" w:lineRule="auto"/>
        <w:ind w:left="0" w:firstLine="426"/>
        <w:jc w:val="both"/>
        <w:rPr>
          <w:lang w:val="lt-LT"/>
        </w:rPr>
      </w:pPr>
      <w:r>
        <w:rPr>
          <w:lang w:val="lt-LT"/>
        </w:rPr>
        <w:t>1.3.</w:t>
      </w:r>
      <w:r w:rsidR="008E3788">
        <w:rPr>
          <w:lang w:val="lt-LT"/>
        </w:rPr>
        <w:t xml:space="preserve"> </w:t>
      </w:r>
      <w:r w:rsidR="00CD3794">
        <w:rPr>
          <w:lang w:val="lt-LT"/>
        </w:rPr>
        <w:t>P</w:t>
      </w:r>
      <w:r w:rsidR="006A35F1" w:rsidRPr="00CD3794">
        <w:rPr>
          <w:lang w:val="lt-LT"/>
        </w:rPr>
        <w:t xml:space="preserve">arengti trys </w:t>
      </w:r>
      <w:r w:rsidR="00CD3794">
        <w:rPr>
          <w:lang w:val="lt-LT"/>
        </w:rPr>
        <w:t xml:space="preserve">maksimalūs </w:t>
      </w:r>
      <w:r w:rsidR="006A35F1" w:rsidRPr="00CD3794">
        <w:rPr>
          <w:lang w:val="lt-LT"/>
        </w:rPr>
        <w:t>tarifai</w:t>
      </w:r>
      <w:r w:rsidR="00CD3794">
        <w:rPr>
          <w:lang w:val="lt-LT"/>
        </w:rPr>
        <w:t xml:space="preserve"> (</w:t>
      </w:r>
      <w:r w:rsidR="00CD3794" w:rsidRPr="00CD3794">
        <w:rPr>
          <w:lang w:val="lt-LT"/>
        </w:rPr>
        <w:t>šilumos pu</w:t>
      </w:r>
      <w:r w:rsidR="00CD3794">
        <w:rPr>
          <w:lang w:val="lt-LT"/>
        </w:rPr>
        <w:t xml:space="preserve">nkto priežiūros tarifas, </w:t>
      </w:r>
      <w:r w:rsidR="00CD3794" w:rsidRPr="00CD3794">
        <w:rPr>
          <w:lang w:val="lt-LT"/>
        </w:rPr>
        <w:t>šildymo sistemos vam</w:t>
      </w:r>
      <w:r w:rsidR="00CD3794">
        <w:rPr>
          <w:lang w:val="lt-LT"/>
        </w:rPr>
        <w:t xml:space="preserve">zdyno priežiūros tarifas ir </w:t>
      </w:r>
      <w:r w:rsidR="00CD3794" w:rsidRPr="00CD3794">
        <w:rPr>
          <w:lang w:val="lt-LT"/>
        </w:rPr>
        <w:t>karšto vandens tiekimo sistemos vamzdyno priežiūros tarifas</w:t>
      </w:r>
      <w:r w:rsidR="00CD3794">
        <w:rPr>
          <w:lang w:val="lt-LT"/>
        </w:rPr>
        <w:t xml:space="preserve">) konkrečiam daugiabučiam namui bus taikomi </w:t>
      </w:r>
      <w:r w:rsidR="00CD3794" w:rsidRPr="00CD3794">
        <w:rPr>
          <w:lang w:val="lt-LT"/>
        </w:rPr>
        <w:t>priklausomai n</w:t>
      </w:r>
      <w:r w:rsidR="00CD3794">
        <w:rPr>
          <w:lang w:val="lt-LT"/>
        </w:rPr>
        <w:t xml:space="preserve">uo to, kurios sistemos name yra įrengtos. </w:t>
      </w:r>
    </w:p>
    <w:p w:rsidR="00CA6F26" w:rsidRDefault="00CD3794" w:rsidP="00CA6F26">
      <w:pPr>
        <w:pStyle w:val="Sraopastraipa"/>
        <w:spacing w:line="360" w:lineRule="auto"/>
        <w:ind w:left="0"/>
        <w:jc w:val="both"/>
        <w:rPr>
          <w:lang w:val="lt-LT"/>
        </w:rPr>
      </w:pPr>
      <w:r>
        <w:rPr>
          <w:lang w:val="lt-LT"/>
        </w:rPr>
        <w:t xml:space="preserve">Jei name </w:t>
      </w:r>
      <w:r w:rsidR="00CA6F26">
        <w:rPr>
          <w:lang w:val="lt-LT"/>
        </w:rPr>
        <w:t xml:space="preserve">yra šilumos punktas, šildymo sistemos vamzdynai ir </w:t>
      </w:r>
      <w:r w:rsidR="00CA6F26" w:rsidRPr="00CA6F26">
        <w:rPr>
          <w:lang w:val="lt-LT"/>
        </w:rPr>
        <w:t>karšto v</w:t>
      </w:r>
      <w:r w:rsidR="00CA6F26">
        <w:rPr>
          <w:lang w:val="lt-LT"/>
        </w:rPr>
        <w:t xml:space="preserve">andens tiekimo sistemos vamzdynai, bus taikomi visi trys maksimalūs tarifai (1, 2 ir 3 lentelės). </w:t>
      </w:r>
    </w:p>
    <w:p w:rsidR="008A6049" w:rsidRPr="00CA6F26" w:rsidRDefault="00CA6F26" w:rsidP="00EC57BD">
      <w:pPr>
        <w:pStyle w:val="Sraopastraipa"/>
        <w:spacing w:line="360" w:lineRule="auto"/>
        <w:ind w:left="360" w:firstLine="936"/>
        <w:jc w:val="both"/>
        <w:rPr>
          <w:lang w:val="lt-LT"/>
        </w:rPr>
      </w:pPr>
      <w:r>
        <w:rPr>
          <w:lang w:val="lt-LT"/>
        </w:rPr>
        <w:t xml:space="preserve">Tokiu atveju </w:t>
      </w:r>
      <w:r w:rsidR="008A6049" w:rsidRPr="00CA6F26">
        <w:rPr>
          <w:lang w:val="lt-LT"/>
        </w:rPr>
        <w:t>šildymo ir karšto vandens sistemų priežiūros (ek</w:t>
      </w:r>
      <w:r>
        <w:rPr>
          <w:lang w:val="lt-LT"/>
        </w:rPr>
        <w:t>sploatavimo) maksimalus tarifas</w:t>
      </w:r>
    </w:p>
    <w:p w:rsidR="008A6049" w:rsidRPr="008A6049" w:rsidRDefault="008A6049" w:rsidP="008A6049">
      <w:pPr>
        <w:pStyle w:val="Sraopastraipa"/>
        <w:tabs>
          <w:tab w:val="left" w:pos="720"/>
        </w:tabs>
        <w:spacing w:line="360" w:lineRule="auto"/>
        <w:ind w:left="360"/>
        <w:jc w:val="both"/>
        <w:rPr>
          <w:lang w:val="lt-LT"/>
        </w:rPr>
      </w:pPr>
      <w:r>
        <w:rPr>
          <w:lang w:val="lt-LT"/>
        </w:rPr>
        <w:tab/>
      </w:r>
      <w:proofErr w:type="spellStart"/>
      <w:r w:rsidRPr="008A6049">
        <w:rPr>
          <w:lang w:val="lt-LT"/>
        </w:rPr>
        <w:t>S</w:t>
      </w:r>
      <w:r w:rsidRPr="008E3788">
        <w:rPr>
          <w:vertAlign w:val="subscript"/>
          <w:lang w:val="lt-LT"/>
        </w:rPr>
        <w:t>max</w:t>
      </w:r>
      <w:proofErr w:type="spellEnd"/>
      <w:r w:rsidRPr="008A6049">
        <w:rPr>
          <w:lang w:val="lt-LT"/>
        </w:rPr>
        <w:t xml:space="preserve"> = </w:t>
      </w:r>
      <w:proofErr w:type="spellStart"/>
      <w:r w:rsidRPr="008A6049">
        <w:rPr>
          <w:lang w:val="lt-LT"/>
        </w:rPr>
        <w:t>S</w:t>
      </w:r>
      <w:r w:rsidRPr="00CA6F26">
        <w:rPr>
          <w:vertAlign w:val="subscript"/>
          <w:lang w:val="lt-LT"/>
        </w:rPr>
        <w:t>Šp</w:t>
      </w:r>
      <w:proofErr w:type="spellEnd"/>
      <w:r w:rsidRPr="00CA6F26">
        <w:rPr>
          <w:vertAlign w:val="subscript"/>
          <w:lang w:val="lt-LT"/>
        </w:rPr>
        <w:t xml:space="preserve"> </w:t>
      </w:r>
      <w:proofErr w:type="spellStart"/>
      <w:r w:rsidRPr="00CA6F26">
        <w:rPr>
          <w:vertAlign w:val="subscript"/>
          <w:lang w:val="lt-LT"/>
        </w:rPr>
        <w:t>max</w:t>
      </w:r>
      <w:proofErr w:type="spellEnd"/>
      <w:r w:rsidRPr="00CA6F26">
        <w:rPr>
          <w:vertAlign w:val="subscript"/>
          <w:lang w:val="lt-LT"/>
        </w:rPr>
        <w:t xml:space="preserve"> </w:t>
      </w:r>
      <w:r w:rsidRPr="008A6049">
        <w:rPr>
          <w:lang w:val="lt-LT"/>
        </w:rPr>
        <w:t xml:space="preserve">+ </w:t>
      </w:r>
      <w:proofErr w:type="spellStart"/>
      <w:r w:rsidRPr="008A6049">
        <w:rPr>
          <w:lang w:val="lt-LT"/>
        </w:rPr>
        <w:t>S</w:t>
      </w:r>
      <w:r w:rsidRPr="00CA6F26">
        <w:rPr>
          <w:vertAlign w:val="subscript"/>
          <w:lang w:val="lt-LT"/>
        </w:rPr>
        <w:t>Šs</w:t>
      </w:r>
      <w:proofErr w:type="spellEnd"/>
      <w:r w:rsidRPr="00CA6F26">
        <w:rPr>
          <w:vertAlign w:val="subscript"/>
          <w:lang w:val="lt-LT"/>
        </w:rPr>
        <w:t xml:space="preserve"> </w:t>
      </w:r>
      <w:proofErr w:type="spellStart"/>
      <w:r w:rsidRPr="00CA6F26">
        <w:rPr>
          <w:vertAlign w:val="subscript"/>
          <w:lang w:val="lt-LT"/>
        </w:rPr>
        <w:t>max</w:t>
      </w:r>
      <w:proofErr w:type="spellEnd"/>
      <w:r w:rsidRPr="00CA6F26">
        <w:rPr>
          <w:vertAlign w:val="subscript"/>
          <w:lang w:val="lt-LT"/>
        </w:rPr>
        <w:t xml:space="preserve"> </w:t>
      </w:r>
      <w:r w:rsidRPr="008A6049">
        <w:rPr>
          <w:lang w:val="lt-LT"/>
        </w:rPr>
        <w:t xml:space="preserve">+ </w:t>
      </w:r>
      <w:proofErr w:type="spellStart"/>
      <w:r w:rsidRPr="008A6049">
        <w:rPr>
          <w:lang w:val="lt-LT"/>
        </w:rPr>
        <w:t>S</w:t>
      </w:r>
      <w:r w:rsidRPr="00CA6F26">
        <w:rPr>
          <w:vertAlign w:val="subscript"/>
          <w:lang w:val="lt-LT"/>
        </w:rPr>
        <w:t>Kvs</w:t>
      </w:r>
      <w:proofErr w:type="spellEnd"/>
      <w:r w:rsidRPr="00CA6F26">
        <w:rPr>
          <w:vertAlign w:val="subscript"/>
          <w:lang w:val="lt-LT"/>
        </w:rPr>
        <w:t xml:space="preserve"> </w:t>
      </w:r>
      <w:proofErr w:type="spellStart"/>
      <w:r w:rsidRPr="00CA6F26">
        <w:rPr>
          <w:vertAlign w:val="subscript"/>
          <w:lang w:val="lt-LT"/>
        </w:rPr>
        <w:t>max</w:t>
      </w:r>
      <w:proofErr w:type="spellEnd"/>
      <w:r w:rsidRPr="00CA6F26">
        <w:rPr>
          <w:vertAlign w:val="subscript"/>
          <w:lang w:val="lt-LT"/>
        </w:rPr>
        <w:t xml:space="preserve">    </w:t>
      </w:r>
      <w:r w:rsidRPr="008A6049">
        <w:rPr>
          <w:lang w:val="lt-LT"/>
        </w:rPr>
        <w:t>Eur/</w:t>
      </w:r>
      <w:r w:rsidR="00CA6F26" w:rsidRPr="00CA6F26">
        <w:t xml:space="preserve"> </w:t>
      </w:r>
      <w:r w:rsidR="00CA6F26" w:rsidRPr="00CA6F26">
        <w:rPr>
          <w:lang w:val="lt-LT"/>
        </w:rPr>
        <w:t>per mėnesį be PVM/1 m</w:t>
      </w:r>
      <w:r w:rsidR="00CA6F26" w:rsidRPr="00CA6F26">
        <w:rPr>
          <w:vertAlign w:val="superscript"/>
          <w:lang w:val="lt-LT"/>
        </w:rPr>
        <w:t>2</w:t>
      </w:r>
      <w:r w:rsidR="00CA6F26" w:rsidRPr="00CA6F26">
        <w:rPr>
          <w:lang w:val="lt-LT"/>
        </w:rPr>
        <w:t xml:space="preserve"> pastato naudingojo ploto </w:t>
      </w:r>
      <w:r w:rsidRPr="008A6049">
        <w:rPr>
          <w:lang w:val="lt-LT"/>
        </w:rPr>
        <w:t>metus;</w:t>
      </w:r>
    </w:p>
    <w:p w:rsidR="008A6049" w:rsidRPr="008A6049" w:rsidRDefault="008A6049" w:rsidP="008A6049">
      <w:pPr>
        <w:pStyle w:val="Sraopastraipa"/>
        <w:tabs>
          <w:tab w:val="left" w:pos="720"/>
        </w:tabs>
        <w:spacing w:line="360" w:lineRule="auto"/>
        <w:ind w:left="360"/>
        <w:jc w:val="both"/>
        <w:rPr>
          <w:lang w:val="lt-LT"/>
        </w:rPr>
      </w:pPr>
      <w:r w:rsidRPr="008A6049">
        <w:rPr>
          <w:lang w:val="lt-LT"/>
        </w:rPr>
        <w:t xml:space="preserve">čia: </w:t>
      </w:r>
      <w:proofErr w:type="spellStart"/>
      <w:r w:rsidRPr="008A6049">
        <w:rPr>
          <w:lang w:val="lt-LT"/>
        </w:rPr>
        <w:t>S</w:t>
      </w:r>
      <w:r w:rsidRPr="00CA6F26">
        <w:rPr>
          <w:vertAlign w:val="subscript"/>
          <w:lang w:val="lt-LT"/>
        </w:rPr>
        <w:t>Šp</w:t>
      </w:r>
      <w:proofErr w:type="spellEnd"/>
      <w:r w:rsidRPr="00CA6F26">
        <w:rPr>
          <w:vertAlign w:val="subscript"/>
          <w:lang w:val="lt-LT"/>
        </w:rPr>
        <w:t xml:space="preserve"> </w:t>
      </w:r>
      <w:proofErr w:type="spellStart"/>
      <w:r w:rsidRPr="00CA6F26">
        <w:rPr>
          <w:vertAlign w:val="subscript"/>
          <w:lang w:val="lt-LT"/>
        </w:rPr>
        <w:t>max</w:t>
      </w:r>
      <w:proofErr w:type="spellEnd"/>
      <w:r w:rsidRPr="00CA6F26">
        <w:rPr>
          <w:vertAlign w:val="subscript"/>
          <w:lang w:val="lt-LT"/>
        </w:rPr>
        <w:t xml:space="preserve"> </w:t>
      </w:r>
      <w:r w:rsidRPr="008A6049">
        <w:rPr>
          <w:lang w:val="lt-LT"/>
        </w:rPr>
        <w:t>– priežiūros (eksploatavimo) maksimalios išlaidos šilumos punktui;</w:t>
      </w:r>
    </w:p>
    <w:p w:rsidR="008A6049" w:rsidRPr="008A6049" w:rsidRDefault="008A6049" w:rsidP="00CA6F26">
      <w:pPr>
        <w:pStyle w:val="Sraopastraipa"/>
        <w:tabs>
          <w:tab w:val="left" w:pos="720"/>
        </w:tabs>
        <w:spacing w:line="360" w:lineRule="auto"/>
        <w:ind w:left="709" w:hanging="349"/>
        <w:jc w:val="both"/>
        <w:rPr>
          <w:lang w:val="lt-LT"/>
        </w:rPr>
      </w:pPr>
      <w:proofErr w:type="spellStart"/>
      <w:r w:rsidRPr="008A6049">
        <w:rPr>
          <w:lang w:val="lt-LT"/>
        </w:rPr>
        <w:t>S</w:t>
      </w:r>
      <w:r w:rsidRPr="00CA6F26">
        <w:rPr>
          <w:vertAlign w:val="subscript"/>
          <w:lang w:val="lt-LT"/>
        </w:rPr>
        <w:t>Šs</w:t>
      </w:r>
      <w:proofErr w:type="spellEnd"/>
      <w:r w:rsidRPr="00CA6F26">
        <w:rPr>
          <w:vertAlign w:val="subscript"/>
          <w:lang w:val="lt-LT"/>
        </w:rPr>
        <w:t xml:space="preserve"> </w:t>
      </w:r>
      <w:proofErr w:type="spellStart"/>
      <w:r w:rsidRPr="00CA6F26">
        <w:rPr>
          <w:vertAlign w:val="subscript"/>
          <w:lang w:val="lt-LT"/>
        </w:rPr>
        <w:t>max</w:t>
      </w:r>
      <w:proofErr w:type="spellEnd"/>
      <w:r w:rsidRPr="00CA6F26">
        <w:rPr>
          <w:vertAlign w:val="subscript"/>
          <w:lang w:val="lt-LT"/>
        </w:rPr>
        <w:t xml:space="preserve"> </w:t>
      </w:r>
      <w:r w:rsidRPr="008A6049">
        <w:rPr>
          <w:lang w:val="lt-LT"/>
        </w:rPr>
        <w:t>– priežiūros (eksploatavimo) maksimalios išlaidos šildymo sistemai;</w:t>
      </w:r>
    </w:p>
    <w:p w:rsidR="004B679A" w:rsidRPr="008A6049" w:rsidRDefault="008A6049" w:rsidP="00CA6F26">
      <w:pPr>
        <w:pStyle w:val="Sraopastraipa"/>
        <w:tabs>
          <w:tab w:val="left" w:pos="720"/>
        </w:tabs>
        <w:spacing w:line="360" w:lineRule="auto"/>
        <w:ind w:left="709" w:hanging="349"/>
        <w:jc w:val="both"/>
        <w:rPr>
          <w:lang w:val="lt-LT"/>
        </w:rPr>
      </w:pPr>
      <w:proofErr w:type="spellStart"/>
      <w:r w:rsidRPr="008A6049">
        <w:rPr>
          <w:lang w:val="lt-LT"/>
        </w:rPr>
        <w:t>S</w:t>
      </w:r>
      <w:r w:rsidRPr="00CA6F26">
        <w:rPr>
          <w:vertAlign w:val="subscript"/>
          <w:lang w:val="lt-LT"/>
        </w:rPr>
        <w:t>Kvs</w:t>
      </w:r>
      <w:proofErr w:type="spellEnd"/>
      <w:r w:rsidRPr="00CA6F26">
        <w:rPr>
          <w:vertAlign w:val="subscript"/>
          <w:lang w:val="lt-LT"/>
        </w:rPr>
        <w:t xml:space="preserve"> </w:t>
      </w:r>
      <w:proofErr w:type="spellStart"/>
      <w:r w:rsidRPr="00CA6F26">
        <w:rPr>
          <w:vertAlign w:val="subscript"/>
          <w:lang w:val="lt-LT"/>
        </w:rPr>
        <w:t>max</w:t>
      </w:r>
      <w:proofErr w:type="spellEnd"/>
      <w:r w:rsidRPr="00CA6F26">
        <w:rPr>
          <w:vertAlign w:val="subscript"/>
          <w:lang w:val="lt-LT"/>
        </w:rPr>
        <w:t xml:space="preserve"> </w:t>
      </w:r>
      <w:r w:rsidRPr="008A6049">
        <w:rPr>
          <w:lang w:val="lt-LT"/>
        </w:rPr>
        <w:t>– priežiūros (eksploatavimo) maksimalios išlaidos karšto vandens sistemai</w:t>
      </w:r>
      <w:r w:rsidR="00CA6F26">
        <w:rPr>
          <w:lang w:val="lt-LT"/>
        </w:rPr>
        <w:t>.</w:t>
      </w:r>
    </w:p>
    <w:p w:rsidR="00677B4C" w:rsidRPr="00EA6218" w:rsidRDefault="00677B4C" w:rsidP="00EA6218">
      <w:pPr>
        <w:tabs>
          <w:tab w:val="left" w:pos="720"/>
        </w:tabs>
        <w:spacing w:line="360" w:lineRule="auto"/>
        <w:jc w:val="both"/>
        <w:rPr>
          <w:szCs w:val="22"/>
          <w:lang w:val="lt-LT"/>
        </w:rPr>
      </w:pPr>
      <w:r w:rsidRPr="00EA6218">
        <w:rPr>
          <w:b/>
          <w:lang w:val="lt-LT"/>
        </w:rPr>
        <w:t>2. Š</w:t>
      </w:r>
      <w:r w:rsidRPr="00EA6218">
        <w:rPr>
          <w:b/>
          <w:lang w:val="pt-BR"/>
        </w:rPr>
        <w:t>iuo metu esantis teisinis reglamentavimas</w:t>
      </w:r>
      <w:r w:rsidRPr="00EA6218">
        <w:rPr>
          <w:szCs w:val="22"/>
          <w:lang w:val="lt-LT"/>
        </w:rPr>
        <w:t xml:space="preserve"> </w:t>
      </w:r>
    </w:p>
    <w:p w:rsidR="005010F4" w:rsidRDefault="00BD19B3" w:rsidP="000F447F">
      <w:pPr>
        <w:spacing w:line="360" w:lineRule="auto"/>
        <w:ind w:firstLine="426"/>
        <w:jc w:val="both"/>
        <w:rPr>
          <w:szCs w:val="22"/>
          <w:lang w:val="lt-LT"/>
        </w:rPr>
      </w:pPr>
      <w:r>
        <w:rPr>
          <w:szCs w:val="22"/>
          <w:lang w:val="lt-LT"/>
        </w:rPr>
        <w:t>2.</w:t>
      </w:r>
      <w:r w:rsidR="00E05475">
        <w:rPr>
          <w:szCs w:val="22"/>
          <w:lang w:val="lt-LT"/>
        </w:rPr>
        <w:t xml:space="preserve">1. </w:t>
      </w:r>
      <w:r w:rsidR="005010F4" w:rsidRPr="005010F4">
        <w:rPr>
          <w:szCs w:val="22"/>
          <w:lang w:val="lt-LT"/>
        </w:rPr>
        <w:t>Lietuvos Respublikos vietos savivaldos įstatymo 1</w:t>
      </w:r>
      <w:r w:rsidR="001F243E">
        <w:rPr>
          <w:szCs w:val="22"/>
          <w:lang w:val="lt-LT"/>
        </w:rPr>
        <w:t>6 straipsnio 2 dalies 37 punktas</w:t>
      </w:r>
      <w:r w:rsidR="001E591F">
        <w:rPr>
          <w:szCs w:val="22"/>
          <w:lang w:val="lt-LT"/>
        </w:rPr>
        <w:t>, 18 straipsnio 1 dalis;</w:t>
      </w:r>
    </w:p>
    <w:p w:rsidR="001F243E" w:rsidRDefault="00E05475" w:rsidP="000F447F">
      <w:pPr>
        <w:spacing w:line="360" w:lineRule="auto"/>
        <w:ind w:firstLine="426"/>
        <w:jc w:val="both"/>
        <w:rPr>
          <w:szCs w:val="22"/>
          <w:lang w:val="lt-LT"/>
        </w:rPr>
      </w:pPr>
      <w:r>
        <w:rPr>
          <w:szCs w:val="22"/>
          <w:lang w:val="lt-LT"/>
        </w:rPr>
        <w:t xml:space="preserve">2.2. </w:t>
      </w:r>
      <w:r w:rsidR="001F243E" w:rsidRPr="001F243E">
        <w:rPr>
          <w:szCs w:val="22"/>
          <w:lang w:val="lt-LT"/>
        </w:rPr>
        <w:t>Lietuvos Respublikos šilumos ūkio įstatymo 32 straipsnio 7 dalies 4 punktas</w:t>
      </w:r>
      <w:r w:rsidR="001F243E">
        <w:rPr>
          <w:szCs w:val="22"/>
          <w:lang w:val="lt-LT"/>
        </w:rPr>
        <w:t>;</w:t>
      </w:r>
    </w:p>
    <w:p w:rsidR="001F243E" w:rsidRDefault="00E05475" w:rsidP="000F447F">
      <w:pPr>
        <w:spacing w:line="360" w:lineRule="auto"/>
        <w:ind w:firstLine="426"/>
        <w:jc w:val="both"/>
        <w:rPr>
          <w:szCs w:val="22"/>
          <w:lang w:val="lt-LT"/>
        </w:rPr>
      </w:pPr>
      <w:r>
        <w:rPr>
          <w:szCs w:val="22"/>
          <w:lang w:val="lt-LT"/>
        </w:rPr>
        <w:t>2.3</w:t>
      </w:r>
      <w:r w:rsidR="00BD19B3">
        <w:rPr>
          <w:szCs w:val="22"/>
          <w:lang w:val="lt-LT"/>
        </w:rPr>
        <w:t xml:space="preserve">. </w:t>
      </w:r>
      <w:r w:rsidR="001F243E" w:rsidRPr="001F243E">
        <w:rPr>
          <w:szCs w:val="22"/>
          <w:lang w:val="lt-LT"/>
        </w:rPr>
        <w:t>Valstybės kainų ir energetikos kontrolės komisijos 2003 m. rugpjūčio 7 d. nutarimu „Dėl daugiabučių namų šildymo ir karšto vandens sistemų priežiūros maksimalių tarifų nustatymo metodikos patvirtinimo“ patvirtintos Daugiabučių namų šildymo ir karšto vandens sistemų priežiūros (eksploatavimo) maksimalių tarifų nustatymo metodikos (Valstybės kainų ir energetikos kontrolės komisijos nutarimo Nr. O3-57</w:t>
      </w:r>
      <w:r w:rsidR="001F243E">
        <w:rPr>
          <w:szCs w:val="22"/>
          <w:lang w:val="lt-LT"/>
        </w:rPr>
        <w:t>7 2015-10-30 redakcija) 2 punktas;</w:t>
      </w:r>
    </w:p>
    <w:p w:rsidR="00BD19B3" w:rsidRDefault="00677B4C" w:rsidP="00F3371E">
      <w:pPr>
        <w:tabs>
          <w:tab w:val="left" w:pos="720"/>
          <w:tab w:val="num" w:pos="3960"/>
        </w:tabs>
        <w:spacing w:line="360" w:lineRule="auto"/>
        <w:jc w:val="both"/>
        <w:rPr>
          <w:b/>
          <w:szCs w:val="22"/>
          <w:lang w:val="lt-LT"/>
        </w:rPr>
      </w:pPr>
      <w:r w:rsidRPr="00380E88">
        <w:rPr>
          <w:b/>
          <w:lang w:val="lt-LT"/>
        </w:rPr>
        <w:t xml:space="preserve">3. </w:t>
      </w:r>
      <w:r w:rsidRPr="00380E88">
        <w:rPr>
          <w:b/>
          <w:lang w:val="pt-BR"/>
        </w:rPr>
        <w:t>Galimos teigiamos ir neigiamos pasekmės priėmus siūlomą tarybos sprendimo projektą</w:t>
      </w:r>
      <w:r w:rsidRPr="00380E88">
        <w:rPr>
          <w:b/>
          <w:lang w:val="lt-LT"/>
        </w:rPr>
        <w:t>:</w:t>
      </w:r>
      <w:r w:rsidRPr="00380E88">
        <w:rPr>
          <w:szCs w:val="22"/>
          <w:lang w:val="lt-LT"/>
        </w:rPr>
        <w:t xml:space="preserve"> </w:t>
      </w:r>
      <w:r w:rsidRPr="00380E88">
        <w:rPr>
          <w:szCs w:val="22"/>
          <w:lang w:val="lt-LT"/>
        </w:rPr>
        <w:tab/>
      </w:r>
      <w:r w:rsidRPr="00380E88">
        <w:rPr>
          <w:b/>
          <w:szCs w:val="22"/>
          <w:lang w:val="lt-LT"/>
        </w:rPr>
        <w:t>Teigiamos pasekmės</w:t>
      </w:r>
      <w:r w:rsidR="0090537F">
        <w:rPr>
          <w:b/>
          <w:szCs w:val="22"/>
          <w:lang w:val="lt-LT"/>
        </w:rPr>
        <w:t>.</w:t>
      </w:r>
    </w:p>
    <w:p w:rsidR="0090537F" w:rsidRPr="00BD19B3" w:rsidRDefault="00BD19B3" w:rsidP="00F3371E">
      <w:pPr>
        <w:tabs>
          <w:tab w:val="left" w:pos="720"/>
          <w:tab w:val="num" w:pos="3960"/>
        </w:tabs>
        <w:spacing w:line="360" w:lineRule="auto"/>
        <w:jc w:val="both"/>
        <w:rPr>
          <w:b/>
          <w:szCs w:val="22"/>
          <w:lang w:val="lt-LT"/>
        </w:rPr>
      </w:pPr>
      <w:r>
        <w:rPr>
          <w:b/>
          <w:szCs w:val="22"/>
          <w:lang w:val="lt-LT"/>
        </w:rPr>
        <w:t xml:space="preserve">     </w:t>
      </w:r>
      <w:r w:rsidR="0090537F">
        <w:rPr>
          <w:szCs w:val="22"/>
          <w:lang w:val="lt-LT"/>
        </w:rPr>
        <w:t xml:space="preserve">3.1. </w:t>
      </w:r>
      <w:r w:rsidR="00EB6A4E">
        <w:rPr>
          <w:szCs w:val="22"/>
          <w:lang w:val="lt-LT"/>
        </w:rPr>
        <w:t xml:space="preserve"> </w:t>
      </w:r>
      <w:r w:rsidR="0090537F">
        <w:rPr>
          <w:szCs w:val="22"/>
          <w:lang w:val="lt-LT"/>
        </w:rPr>
        <w:t xml:space="preserve">Bus įvykdytos teisės </w:t>
      </w:r>
      <w:r w:rsidR="00871928">
        <w:rPr>
          <w:szCs w:val="22"/>
          <w:lang w:val="lt-LT"/>
        </w:rPr>
        <w:t>aktų</w:t>
      </w:r>
      <w:r w:rsidR="0090537F">
        <w:rPr>
          <w:szCs w:val="22"/>
          <w:lang w:val="lt-LT"/>
        </w:rPr>
        <w:t xml:space="preserve"> nuostatos.</w:t>
      </w:r>
    </w:p>
    <w:p w:rsidR="00EA6218" w:rsidRDefault="00BD19B3" w:rsidP="00F3371E">
      <w:pPr>
        <w:tabs>
          <w:tab w:val="left" w:pos="720"/>
          <w:tab w:val="num" w:pos="3960"/>
        </w:tabs>
        <w:spacing w:line="360" w:lineRule="auto"/>
        <w:jc w:val="both"/>
        <w:rPr>
          <w:szCs w:val="22"/>
          <w:lang w:val="lt-LT"/>
        </w:rPr>
      </w:pPr>
      <w:r>
        <w:rPr>
          <w:szCs w:val="22"/>
          <w:lang w:val="lt-LT"/>
        </w:rPr>
        <w:t xml:space="preserve">     </w:t>
      </w:r>
      <w:r w:rsidR="0090537F">
        <w:rPr>
          <w:szCs w:val="22"/>
          <w:lang w:val="lt-LT"/>
        </w:rPr>
        <w:t>3.2.</w:t>
      </w:r>
      <w:r w:rsidR="00EB6A4E">
        <w:rPr>
          <w:szCs w:val="22"/>
          <w:lang w:val="lt-LT"/>
        </w:rPr>
        <w:t xml:space="preserve"> </w:t>
      </w:r>
      <w:r w:rsidR="00EA6218">
        <w:rPr>
          <w:szCs w:val="22"/>
          <w:lang w:val="lt-LT"/>
        </w:rPr>
        <w:t>D</w:t>
      </w:r>
      <w:r w:rsidR="00871928">
        <w:rPr>
          <w:szCs w:val="22"/>
          <w:lang w:val="lt-LT"/>
        </w:rPr>
        <w:t xml:space="preserve">iferencijuoti </w:t>
      </w:r>
      <w:r w:rsidR="00871928" w:rsidRPr="00871928">
        <w:rPr>
          <w:szCs w:val="22"/>
          <w:lang w:val="lt-LT"/>
        </w:rPr>
        <w:t>daugiabučių namų šildymo ir karšto vandens sistemų priežiūros (eksploatavimo) maksimalūs tarifai</w:t>
      </w:r>
      <w:r w:rsidR="0090537F">
        <w:rPr>
          <w:szCs w:val="22"/>
          <w:lang w:val="lt-LT"/>
        </w:rPr>
        <w:t xml:space="preserve"> </w:t>
      </w:r>
      <w:r w:rsidR="00871928">
        <w:rPr>
          <w:szCs w:val="22"/>
          <w:lang w:val="lt-LT"/>
        </w:rPr>
        <w:t>bus susieti su namų ir šildymo sistemų ypatumais, todėl skatins šildymo sistemas laiku atnaujinti</w:t>
      </w:r>
      <w:r w:rsidR="00A7759A">
        <w:rPr>
          <w:szCs w:val="22"/>
          <w:lang w:val="lt-LT"/>
        </w:rPr>
        <w:t>.</w:t>
      </w:r>
    </w:p>
    <w:p w:rsidR="00BD19B3" w:rsidRDefault="00BD19B3" w:rsidP="00F3371E">
      <w:pPr>
        <w:tabs>
          <w:tab w:val="left" w:pos="720"/>
          <w:tab w:val="num" w:pos="3960"/>
        </w:tabs>
        <w:spacing w:line="360" w:lineRule="auto"/>
        <w:jc w:val="both"/>
        <w:rPr>
          <w:lang w:val="lt-LT"/>
        </w:rPr>
      </w:pPr>
      <w:r>
        <w:rPr>
          <w:szCs w:val="22"/>
          <w:lang w:val="lt-LT"/>
        </w:rPr>
        <w:t xml:space="preserve">     </w:t>
      </w:r>
      <w:r w:rsidR="00677B4C" w:rsidRPr="00380E88">
        <w:rPr>
          <w:lang w:val="lt-LT"/>
        </w:rPr>
        <w:tab/>
      </w:r>
      <w:r w:rsidR="00677B4C" w:rsidRPr="00380E88">
        <w:rPr>
          <w:b/>
          <w:lang w:val="lt-LT"/>
        </w:rPr>
        <w:t>Neigiamos pasekmės</w:t>
      </w:r>
      <w:r w:rsidR="00677B4C">
        <w:rPr>
          <w:lang w:val="lt-LT"/>
        </w:rPr>
        <w:t xml:space="preserve">. </w:t>
      </w:r>
      <w:r w:rsidR="00871928">
        <w:rPr>
          <w:lang w:val="lt-LT"/>
        </w:rPr>
        <w:t>Nenumatoma.</w:t>
      </w:r>
    </w:p>
    <w:p w:rsidR="00677B4C" w:rsidRPr="0092384E" w:rsidRDefault="00677B4C" w:rsidP="00F3371E">
      <w:pPr>
        <w:tabs>
          <w:tab w:val="num" w:pos="0"/>
          <w:tab w:val="left" w:pos="720"/>
        </w:tabs>
        <w:spacing w:line="360" w:lineRule="auto"/>
        <w:jc w:val="both"/>
        <w:rPr>
          <w:b/>
          <w:lang w:val="lt-LT"/>
        </w:rPr>
      </w:pPr>
      <w:r w:rsidRPr="0092384E">
        <w:rPr>
          <w:b/>
          <w:lang w:val="lt-LT"/>
        </w:rPr>
        <w:t>4. Priemonės sprendimui įgyvendinti:</w:t>
      </w:r>
      <w:r w:rsidR="00FB3AC4">
        <w:rPr>
          <w:b/>
          <w:lang w:val="lt-LT"/>
        </w:rPr>
        <w:t xml:space="preserve"> </w:t>
      </w:r>
      <w:r w:rsidR="00FB3AC4" w:rsidRPr="00FB3AC4">
        <w:rPr>
          <w:lang w:val="lt-LT"/>
        </w:rPr>
        <w:t>Nenumatoma.</w:t>
      </w:r>
    </w:p>
    <w:p w:rsidR="00677B4C" w:rsidRPr="00DD1FC1" w:rsidRDefault="00677B4C" w:rsidP="00F3371E">
      <w:pPr>
        <w:tabs>
          <w:tab w:val="left" w:pos="720"/>
          <w:tab w:val="num" w:pos="3960"/>
        </w:tabs>
        <w:spacing w:line="360" w:lineRule="auto"/>
        <w:jc w:val="both"/>
        <w:rPr>
          <w:b/>
          <w:highlight w:val="yellow"/>
          <w:lang w:val="lt-LT"/>
        </w:rPr>
      </w:pPr>
      <w:r w:rsidRPr="0092384E">
        <w:rPr>
          <w:b/>
          <w:lang w:val="lt-LT"/>
        </w:rPr>
        <w:t xml:space="preserve">5. Lėšų poreikis ir jų šaltiniai (prireikus skaičiavimai ir išlaidų sąmatos) </w:t>
      </w:r>
      <w:r w:rsidR="000F447F" w:rsidRPr="000F447F">
        <w:rPr>
          <w:lang w:val="lt-LT"/>
        </w:rPr>
        <w:t>Nenumatoma.</w:t>
      </w:r>
    </w:p>
    <w:p w:rsidR="00677B4C" w:rsidRPr="00380E88" w:rsidRDefault="00677B4C" w:rsidP="00F3371E">
      <w:pPr>
        <w:tabs>
          <w:tab w:val="left" w:pos="720"/>
          <w:tab w:val="num" w:pos="3960"/>
        </w:tabs>
        <w:spacing w:line="360" w:lineRule="auto"/>
        <w:jc w:val="both"/>
        <w:rPr>
          <w:b/>
          <w:lang w:val="lt-LT"/>
        </w:rPr>
      </w:pPr>
      <w:r>
        <w:rPr>
          <w:b/>
          <w:lang w:val="lt-LT"/>
        </w:rPr>
        <w:lastRenderedPageBreak/>
        <w:t>6.</w:t>
      </w:r>
      <w:r w:rsidR="00BD19B3">
        <w:rPr>
          <w:b/>
          <w:lang w:val="lt-LT"/>
        </w:rPr>
        <w:t xml:space="preserve"> </w:t>
      </w:r>
      <w:r>
        <w:rPr>
          <w:b/>
          <w:lang w:val="lt-LT"/>
        </w:rPr>
        <w:t>Vykdytojai, įvykdymo terminai</w:t>
      </w:r>
      <w:r w:rsidRPr="00380E88">
        <w:rPr>
          <w:b/>
          <w:lang w:val="lt-LT"/>
        </w:rPr>
        <w:t xml:space="preserve"> </w:t>
      </w:r>
      <w:r>
        <w:rPr>
          <w:b/>
          <w:lang w:val="lt-LT"/>
        </w:rPr>
        <w:t xml:space="preserve"> </w:t>
      </w:r>
    </w:p>
    <w:p w:rsidR="00677B4C" w:rsidRDefault="00250BAD" w:rsidP="006A572A">
      <w:pPr>
        <w:spacing w:line="360" w:lineRule="auto"/>
      </w:pPr>
      <w:r>
        <w:rPr>
          <w:lang w:val="lt-LT"/>
        </w:rPr>
        <w:t>Daugiabučius namus administruojanti įmonė</w:t>
      </w:r>
      <w:r w:rsidR="006A572A">
        <w:rPr>
          <w:lang w:val="lt-LT"/>
        </w:rPr>
        <w:t>.</w:t>
      </w:r>
    </w:p>
    <w:sectPr w:rsidR="00677B4C" w:rsidSect="003121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E0D9B"/>
    <w:multiLevelType w:val="multilevel"/>
    <w:tmpl w:val="547A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0145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45022"/>
    <w:rsid w:val="00064E81"/>
    <w:rsid w:val="00065BD3"/>
    <w:rsid w:val="0008107E"/>
    <w:rsid w:val="000A335B"/>
    <w:rsid w:val="000B3B54"/>
    <w:rsid w:val="000B4CCC"/>
    <w:rsid w:val="000F447F"/>
    <w:rsid w:val="001201BD"/>
    <w:rsid w:val="00126D2F"/>
    <w:rsid w:val="001363F7"/>
    <w:rsid w:val="00141A36"/>
    <w:rsid w:val="001443EA"/>
    <w:rsid w:val="001449EE"/>
    <w:rsid w:val="00152D07"/>
    <w:rsid w:val="001A44F3"/>
    <w:rsid w:val="001C04B9"/>
    <w:rsid w:val="001C16C9"/>
    <w:rsid w:val="001E591F"/>
    <w:rsid w:val="001F243E"/>
    <w:rsid w:val="002116FA"/>
    <w:rsid w:val="00217126"/>
    <w:rsid w:val="00230607"/>
    <w:rsid w:val="00236F1F"/>
    <w:rsid w:val="00241FD8"/>
    <w:rsid w:val="00245FC6"/>
    <w:rsid w:val="00250BAD"/>
    <w:rsid w:val="002624EA"/>
    <w:rsid w:val="002641DC"/>
    <w:rsid w:val="002E7CB7"/>
    <w:rsid w:val="003121B8"/>
    <w:rsid w:val="0035741E"/>
    <w:rsid w:val="00380784"/>
    <w:rsid w:val="00380E88"/>
    <w:rsid w:val="003C292B"/>
    <w:rsid w:val="0042066C"/>
    <w:rsid w:val="00447E10"/>
    <w:rsid w:val="004B679A"/>
    <w:rsid w:val="004B7153"/>
    <w:rsid w:val="004D47FE"/>
    <w:rsid w:val="005010F4"/>
    <w:rsid w:val="00536BA2"/>
    <w:rsid w:val="00553546"/>
    <w:rsid w:val="005656AC"/>
    <w:rsid w:val="00595D95"/>
    <w:rsid w:val="005E48D3"/>
    <w:rsid w:val="005F2719"/>
    <w:rsid w:val="006169C0"/>
    <w:rsid w:val="00624C5B"/>
    <w:rsid w:val="00652685"/>
    <w:rsid w:val="00677B4C"/>
    <w:rsid w:val="006A35F1"/>
    <w:rsid w:val="006A456C"/>
    <w:rsid w:val="006A572A"/>
    <w:rsid w:val="006A60BD"/>
    <w:rsid w:val="00735702"/>
    <w:rsid w:val="00746386"/>
    <w:rsid w:val="00792110"/>
    <w:rsid w:val="00794527"/>
    <w:rsid w:val="007F3552"/>
    <w:rsid w:val="00864D07"/>
    <w:rsid w:val="00871928"/>
    <w:rsid w:val="008A2797"/>
    <w:rsid w:val="008A6049"/>
    <w:rsid w:val="008B5A5F"/>
    <w:rsid w:val="008B5DE3"/>
    <w:rsid w:val="008C5969"/>
    <w:rsid w:val="008E3788"/>
    <w:rsid w:val="008E70F0"/>
    <w:rsid w:val="008F1D85"/>
    <w:rsid w:val="0090537F"/>
    <w:rsid w:val="0092384E"/>
    <w:rsid w:val="00924940"/>
    <w:rsid w:val="00946F33"/>
    <w:rsid w:val="009A07CC"/>
    <w:rsid w:val="00A0310B"/>
    <w:rsid w:val="00A07313"/>
    <w:rsid w:val="00A156B1"/>
    <w:rsid w:val="00A35D27"/>
    <w:rsid w:val="00A54B4E"/>
    <w:rsid w:val="00A7759A"/>
    <w:rsid w:val="00AC06DE"/>
    <w:rsid w:val="00AC7039"/>
    <w:rsid w:val="00AE0C12"/>
    <w:rsid w:val="00AE497B"/>
    <w:rsid w:val="00B0144D"/>
    <w:rsid w:val="00B03A62"/>
    <w:rsid w:val="00B21C69"/>
    <w:rsid w:val="00B52861"/>
    <w:rsid w:val="00B567E9"/>
    <w:rsid w:val="00BC5E0A"/>
    <w:rsid w:val="00BD1167"/>
    <w:rsid w:val="00BD19B3"/>
    <w:rsid w:val="00BD7A0F"/>
    <w:rsid w:val="00C73F6B"/>
    <w:rsid w:val="00C812FF"/>
    <w:rsid w:val="00C97AB8"/>
    <w:rsid w:val="00CA487C"/>
    <w:rsid w:val="00CA6F26"/>
    <w:rsid w:val="00CD3794"/>
    <w:rsid w:val="00DD1FC1"/>
    <w:rsid w:val="00DE4F1F"/>
    <w:rsid w:val="00E05475"/>
    <w:rsid w:val="00E06752"/>
    <w:rsid w:val="00EA6218"/>
    <w:rsid w:val="00EB1BA3"/>
    <w:rsid w:val="00EB6A4E"/>
    <w:rsid w:val="00EC57BD"/>
    <w:rsid w:val="00EF1D0D"/>
    <w:rsid w:val="00F3371E"/>
    <w:rsid w:val="00F44563"/>
    <w:rsid w:val="00F452B0"/>
    <w:rsid w:val="00F734AC"/>
    <w:rsid w:val="00F74902"/>
    <w:rsid w:val="00FA1C49"/>
    <w:rsid w:val="00FB2B3F"/>
    <w:rsid w:val="00FB3A04"/>
    <w:rsid w:val="00FB3AC4"/>
    <w:rsid w:val="00FE5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62A417"/>
  <w15:docId w15:val="{7FF6D198-09E1-42DD-B62F-0C39D8CE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uiPriority w:val="99"/>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DiagramaDiagramaDiagramaDiagramaDiagramaDiagramaDiagramaDiagramaDiagrama">
    <w:name w:val="Diagrama Diagrama Diagrama Diagrama Diagrama Diagrama Diagrama Diagrama Diagrama"/>
    <w:basedOn w:val="prastasis"/>
    <w:uiPriority w:val="99"/>
    <w:rsid w:val="00BC5E0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7945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569F"/>
    <w:rPr>
      <w:sz w:val="0"/>
      <w:szCs w:val="0"/>
      <w:lang w:val="en-GB" w:eastAsia="en-US"/>
    </w:rPr>
  </w:style>
  <w:style w:type="paragraph" w:styleId="Sraopastraipa">
    <w:name w:val="List Paragraph"/>
    <w:basedOn w:val="prastasis"/>
    <w:uiPriority w:val="34"/>
    <w:qFormat/>
    <w:rsid w:val="006A60BD"/>
    <w:pPr>
      <w:ind w:left="720"/>
      <w:contextualSpacing/>
    </w:pPr>
  </w:style>
  <w:style w:type="paragraph" w:styleId="Pagrindinistekstas">
    <w:name w:val="Body Text"/>
    <w:basedOn w:val="prastasis"/>
    <w:link w:val="PagrindinistekstasDiagrama"/>
    <w:uiPriority w:val="99"/>
    <w:semiHidden/>
    <w:unhideWhenUsed/>
    <w:rsid w:val="00A35D27"/>
    <w:pPr>
      <w:spacing w:after="120"/>
    </w:pPr>
  </w:style>
  <w:style w:type="character" w:customStyle="1" w:styleId="PagrindinistekstasDiagrama">
    <w:name w:val="Pagrindinis tekstas Diagrama"/>
    <w:basedOn w:val="Numatytasispastraiposriftas"/>
    <w:link w:val="Pagrindinistekstas"/>
    <w:uiPriority w:val="99"/>
    <w:semiHidden/>
    <w:rsid w:val="00A35D27"/>
    <w:rPr>
      <w:sz w:val="24"/>
      <w:szCs w:val="24"/>
      <w:lang w:val="en-GB" w:eastAsia="en-US"/>
    </w:rPr>
  </w:style>
  <w:style w:type="paragraph" w:styleId="Pagrindiniotekstopirmatrauka">
    <w:name w:val="Body Text First Indent"/>
    <w:basedOn w:val="Pagrindinistekstas"/>
    <w:link w:val="PagrindiniotekstopirmatraukaDiagrama"/>
    <w:rsid w:val="00A35D27"/>
    <w:pPr>
      <w:ind w:firstLine="210"/>
    </w:pPr>
    <w:rPr>
      <w:lang w:val="en-US"/>
    </w:rPr>
  </w:style>
  <w:style w:type="character" w:customStyle="1" w:styleId="PagrindiniotekstopirmatraukaDiagrama">
    <w:name w:val="Pagrindinio teksto pirma įtrauka Diagrama"/>
    <w:basedOn w:val="PagrindinistekstasDiagrama"/>
    <w:link w:val="Pagrindiniotekstopirmatrauka"/>
    <w:rsid w:val="00A35D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31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519</Words>
  <Characters>3321</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29</cp:revision>
  <cp:lastPrinted>2012-03-22T07:22:00Z</cp:lastPrinted>
  <dcterms:created xsi:type="dcterms:W3CDTF">2018-10-16T07:51:00Z</dcterms:created>
  <dcterms:modified xsi:type="dcterms:W3CDTF">2019-12-05T14:46:00Z</dcterms:modified>
</cp:coreProperties>
</file>