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88" w:rsidRPr="004F4214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noProof/>
        </w:rPr>
      </w:pPr>
      <w:r>
        <w:t>D</w:t>
      </w:r>
      <w:r w:rsidRPr="004F4214">
        <w:t xml:space="preserve">ėl </w:t>
      </w:r>
      <w:r>
        <w:t>bendradarbiavimo sutarties pasirašymo</w:t>
      </w:r>
    </w:p>
    <w:p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</w:p>
    <w:p w:rsidR="00831788" w:rsidRPr="00511807" w:rsidRDefault="00831788" w:rsidP="00831788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2E7830" w:rsidRDefault="00831788" w:rsidP="002E7830">
      <w:pPr>
        <w:tabs>
          <w:tab w:val="num" w:pos="0"/>
          <w:tab w:val="left" w:pos="720"/>
        </w:tabs>
        <w:spacing w:after="0" w:line="360" w:lineRule="auto"/>
        <w:ind w:firstLine="709"/>
        <w:jc w:val="both"/>
        <w:outlineLvl w:val="0"/>
      </w:pPr>
      <w:r>
        <w:t>S</w:t>
      </w:r>
      <w:r w:rsidRPr="001F0D82">
        <w:t>pre</w:t>
      </w:r>
      <w:r>
        <w:t>ndimo projekto tikslas – pritarti, kad Molėtų raj</w:t>
      </w:r>
      <w:r w:rsidR="002E7830">
        <w:t xml:space="preserve">ono savivaldybė </w:t>
      </w:r>
      <w:r>
        <w:t xml:space="preserve">(toliau-Savivaldybė)  pasirašytų bendradarbiavimo sutartį </w:t>
      </w:r>
      <w:r w:rsidRPr="001F0D82">
        <w:t xml:space="preserve">su </w:t>
      </w:r>
      <w:r w:rsidR="002E7830">
        <w:t xml:space="preserve">asociacija </w:t>
      </w:r>
      <w:r w:rsidRPr="001F0D82">
        <w:t>Lietuvos</w:t>
      </w:r>
      <w:r w:rsidR="002E7830">
        <w:t xml:space="preserve"> skautija.</w:t>
      </w:r>
    </w:p>
    <w:p w:rsidR="00E57FA1" w:rsidRDefault="00E57FA1" w:rsidP="002E7830">
      <w:pPr>
        <w:tabs>
          <w:tab w:val="num" w:pos="0"/>
          <w:tab w:val="left" w:pos="720"/>
        </w:tabs>
        <w:spacing w:after="0" w:line="360" w:lineRule="auto"/>
        <w:ind w:firstLine="709"/>
        <w:jc w:val="both"/>
        <w:outlineLvl w:val="0"/>
      </w:pPr>
      <w:r>
        <w:t xml:space="preserve">2019 m. lapkričio 4 d. buvo gautas asociacijos Lietuvos skautija 2019 m. spalio 23 d. raštas Nr. XVIII – P – 85 „Dėl siūlymo pasirašyti bendradarbiavimo sutartį“. Lietuvos skautija yra viena iš didžiausių Lietuvos jaunimo organizacijų, vienijanti daugiau nei 3000 narių visoje Lietuvoje. </w:t>
      </w:r>
      <w:proofErr w:type="spellStart"/>
      <w:r>
        <w:t>Skautiškas</w:t>
      </w:r>
      <w:proofErr w:type="spellEnd"/>
      <w:r>
        <w:t xml:space="preserve"> neformalusis ugdymas yra tęstinis (nuo 6 iki 18 metų) ir sudaro visas sąlygas asmenybei augti pagal </w:t>
      </w:r>
      <w:proofErr w:type="spellStart"/>
      <w:r>
        <w:t>skautiškus</w:t>
      </w:r>
      <w:proofErr w:type="spellEnd"/>
      <w:r>
        <w:t xml:space="preserve"> priesakus, laisvai mąstyti ir kurti, ugdo pareigingumą, atsakomybę, toleranciją. Kviečiama pasirašyti bendradarbiavimo sutartį, kuri padėtų Lietuvos skautijai pasidalinti su Savivaldybės mokyklų mokiniais </w:t>
      </w:r>
      <w:proofErr w:type="spellStart"/>
      <w:r>
        <w:t>skautišku</w:t>
      </w:r>
      <w:proofErr w:type="spellEnd"/>
      <w:r>
        <w:t xml:space="preserve"> neformaliuoju ugdymu ir supažindinti su organizacijos veikla.</w:t>
      </w:r>
      <w:bookmarkStart w:id="0" w:name="_GoBack"/>
      <w:bookmarkEnd w:id="0"/>
    </w:p>
    <w:p w:rsidR="00831788" w:rsidRDefault="00831788" w:rsidP="002E7830">
      <w:pPr>
        <w:tabs>
          <w:tab w:val="num" w:pos="0"/>
          <w:tab w:val="left" w:pos="720"/>
        </w:tabs>
        <w:spacing w:after="0" w:line="360" w:lineRule="auto"/>
        <w:ind w:firstLine="709"/>
        <w:jc w:val="both"/>
        <w:outlineLvl w:val="0"/>
      </w:pPr>
      <w:r>
        <w:t xml:space="preserve"> </w:t>
      </w:r>
      <w:r w:rsidR="002E7830">
        <w:t>Sutartimi susitariama dėl bendradarbiavimo: sudarant sąlygas dalyvauti Molėtų rajono mokyklų ir mokyklų, kurių dalininkė yra Savivaldybė, mokiniams savarankiškoje veikloje aktyviai prisidedant prie rajono visuomenės gerovės kūrimo; plėtojant veiklą, skatinančią verslo, švietimo, kultūros, mokslo, nevyriausybinių organizacijų ir kitų institucijų partnerystę, ugdant mokinių sąmoningumą, pilietiškumą, kūrybiškumą, socialines ir lyderystės kompetencijas.</w:t>
      </w:r>
    </w:p>
    <w:p w:rsidR="00831788" w:rsidRPr="00511807" w:rsidRDefault="00831788" w:rsidP="00110EDB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0D05A9">
        <w:rPr>
          <w:rFonts w:eastAsia="Times New Roman" w:cs="Times New Roman"/>
          <w:szCs w:val="24"/>
        </w:rPr>
        <w:t xml:space="preserve">     </w:t>
      </w: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831788" w:rsidRDefault="00831788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="002E7830">
        <w:rPr>
          <w:rFonts w:eastAsia="Times New Roman" w:cs="Times New Roman"/>
          <w:szCs w:val="24"/>
        </w:rPr>
        <w:t>.</w:t>
      </w:r>
    </w:p>
    <w:p w:rsidR="00831788" w:rsidRPr="00511807" w:rsidRDefault="00831788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831788" w:rsidRPr="003B32D9" w:rsidRDefault="00831788" w:rsidP="0083178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Teigiamos –</w:t>
      </w:r>
      <w:r w:rsidR="00110EDB">
        <w:rPr>
          <w:rFonts w:eastAsia="Times New Roman" w:cs="Times New Roman"/>
          <w:szCs w:val="24"/>
        </w:rPr>
        <w:t xml:space="preserve"> </w:t>
      </w:r>
      <w:r w:rsidRPr="003B32D9">
        <w:rPr>
          <w:rFonts w:eastAsia="Times New Roman" w:cs="Times New Roman"/>
          <w:szCs w:val="24"/>
        </w:rPr>
        <w:t xml:space="preserve">pasirašius </w:t>
      </w:r>
      <w:r w:rsidR="00110EDB">
        <w:rPr>
          <w:rFonts w:eastAsia="Times New Roman" w:cs="Times New Roman"/>
          <w:szCs w:val="24"/>
        </w:rPr>
        <w:t>bendradarbiavimo</w:t>
      </w:r>
      <w:r w:rsidRPr="003B32D9">
        <w:rPr>
          <w:rFonts w:eastAsia="Times New Roman" w:cs="Times New Roman"/>
          <w:szCs w:val="24"/>
        </w:rPr>
        <w:t xml:space="preserve"> sutartį su </w:t>
      </w:r>
      <w:r w:rsidR="002E7830">
        <w:rPr>
          <w:rFonts w:eastAsia="Times New Roman" w:cs="Times New Roman"/>
          <w:szCs w:val="24"/>
        </w:rPr>
        <w:t xml:space="preserve">asociacija Lietuvos skautija bus susitarta dėl bendradarbiavimo sąlygų ir </w:t>
      </w:r>
      <w:r w:rsidR="00C21C4A">
        <w:rPr>
          <w:rFonts w:eastAsia="Times New Roman" w:cs="Times New Roman"/>
          <w:szCs w:val="24"/>
        </w:rPr>
        <w:t>įsipareigojimų. Mokyklos mokiniams, kurie dalyvauja Lietuvos skautijos veikloje, galės užskaityti socialinę veiklą pagal numatytą ugdymo programą.</w:t>
      </w:r>
    </w:p>
    <w:p w:rsidR="00831788" w:rsidRDefault="00831788" w:rsidP="0083178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nenumatoma.</w:t>
      </w:r>
    </w:p>
    <w:p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7E3501" w:rsidRDefault="007E3501" w:rsidP="0083178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-</w:t>
      </w:r>
    </w:p>
    <w:p w:rsidR="00831788" w:rsidRDefault="00831788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C21C4A" w:rsidRPr="00C21C4A" w:rsidRDefault="00C21C4A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Sutartis nenumato finansinių įsipareigojimų.</w:t>
      </w:r>
    </w:p>
    <w:p w:rsidR="00831788" w:rsidRPr="00511807" w:rsidRDefault="00831788" w:rsidP="0083178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831788" w:rsidRPr="00924844" w:rsidRDefault="007E3501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831788">
        <w:rPr>
          <w:rFonts w:eastAsia="Times New Roman" w:cs="Times New Roman"/>
          <w:szCs w:val="24"/>
        </w:rPr>
        <w:t>avivaldybė</w:t>
      </w:r>
      <w:r w:rsidR="00C21C4A">
        <w:rPr>
          <w:rFonts w:eastAsia="Times New Roman" w:cs="Times New Roman"/>
          <w:szCs w:val="24"/>
        </w:rPr>
        <w:t xml:space="preserve"> ir asociacija Lietuvos skautija.</w:t>
      </w:r>
    </w:p>
    <w:p w:rsidR="00831788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831788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831788" w:rsidRDefault="00831788" w:rsidP="00831788">
      <w:pPr>
        <w:spacing w:after="0"/>
      </w:pPr>
    </w:p>
    <w:p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88"/>
    <w:rsid w:val="000A3D10"/>
    <w:rsid w:val="000D6702"/>
    <w:rsid w:val="00110EDB"/>
    <w:rsid w:val="002E7830"/>
    <w:rsid w:val="007E3501"/>
    <w:rsid w:val="00831788"/>
    <w:rsid w:val="00A63BFC"/>
    <w:rsid w:val="00C21C4A"/>
    <w:rsid w:val="00E06F6E"/>
    <w:rsid w:val="00E5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1FFE"/>
  <w15:chartTrackingRefBased/>
  <w15:docId w15:val="{02DA8A4B-A307-445D-B585-B0025D5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178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Jurkšaitis Arvydas</cp:lastModifiedBy>
  <cp:revision>3</cp:revision>
  <cp:lastPrinted>2019-11-08T06:53:00Z</cp:lastPrinted>
  <dcterms:created xsi:type="dcterms:W3CDTF">2019-11-08T09:04:00Z</dcterms:created>
  <dcterms:modified xsi:type="dcterms:W3CDTF">2019-11-08T12:49:00Z</dcterms:modified>
</cp:coreProperties>
</file>