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030AA" w:rsidRPr="00B030AA">
        <w:rPr>
          <w:b/>
          <w:caps/>
          <w:noProof/>
        </w:rPr>
        <w:t>Dėl savivaldybės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030AA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030AA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E7FFE" w:rsidRPr="00446889" w:rsidRDefault="007E7FFE" w:rsidP="002221F2">
      <w:pPr>
        <w:spacing w:line="360" w:lineRule="auto"/>
        <w:ind w:firstLine="709"/>
        <w:jc w:val="both"/>
        <w:rPr>
          <w:caps/>
        </w:rPr>
      </w:pPr>
      <w:r w:rsidRPr="00D3384D">
        <w:lastRenderedPageBreak/>
        <w:t xml:space="preserve">Vadovaudamasi Lietuvos Respublikos vietos savivaldos įstatymo </w:t>
      </w:r>
      <w:r>
        <w:t xml:space="preserve">6 straipsnio </w:t>
      </w:r>
      <w:r w:rsidR="00212C9E">
        <w:t>3</w:t>
      </w:r>
      <w:r>
        <w:t xml:space="preserve"> punkt</w:t>
      </w:r>
      <w:r w:rsidR="00212C9E">
        <w:t>u</w:t>
      </w:r>
      <w:r>
        <w:t xml:space="preserve">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 ir 2 dalimis</w:t>
      </w:r>
      <w:r>
        <w:t xml:space="preserve">, atsižvelgdama į Molėtų </w:t>
      </w:r>
      <w:r w:rsidR="00212C9E">
        <w:t xml:space="preserve">kultūros centro direktoriaus 2016 m. sausio 18 d. įsakymą Nr. V-5 „Dėl </w:t>
      </w:r>
      <w:r w:rsidR="00BB0C4F">
        <w:t>S</w:t>
      </w:r>
      <w:r w:rsidR="00212C9E">
        <w:t xml:space="preserve">avivaldybės turto pripažinimo nereikalingu Kultūros centro funkcijoms vykdyti“ ir </w:t>
      </w:r>
      <w:r>
        <w:t xml:space="preserve"> </w:t>
      </w:r>
      <w:r w:rsidR="00212C9E">
        <w:t xml:space="preserve">Molėtų kultūros centro 2016 m. sausio 18 d. </w:t>
      </w:r>
      <w:r w:rsidR="00212C9E">
        <w:t>raštą</w:t>
      </w:r>
      <w:r w:rsidR="00212C9E">
        <w:t xml:space="preserve"> Nr. </w:t>
      </w:r>
      <w:r w:rsidR="00212C9E">
        <w:t>(1.7.)SR-5</w:t>
      </w:r>
      <w:r w:rsidR="00212C9E">
        <w:t xml:space="preserve"> „Dėl </w:t>
      </w:r>
      <w:r w:rsidR="00BB0C4F">
        <w:t>S</w:t>
      </w:r>
      <w:r w:rsidR="00212C9E">
        <w:t>avivaldybės turto pripažinimo nereikalingu Kultūros centro funkcijoms vykdyti“</w:t>
      </w:r>
      <w:r w:rsidR="00212C9E">
        <w:t>,</w:t>
      </w:r>
    </w:p>
    <w:p w:rsidR="007E7FFE" w:rsidRPr="007E7FFE" w:rsidRDefault="007E7FFE" w:rsidP="007E7FFE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7E7FFE" w:rsidRDefault="007E7FFE" w:rsidP="007E7FFE">
      <w:pPr>
        <w:numPr>
          <w:ilvl w:val="0"/>
          <w:numId w:val="3"/>
        </w:numPr>
        <w:spacing w:line="360" w:lineRule="auto"/>
        <w:ind w:left="0" w:firstLine="709"/>
        <w:jc w:val="both"/>
        <w:rPr>
          <w:lang w:eastAsia="lt-LT"/>
        </w:rPr>
      </w:pPr>
      <w:r w:rsidRPr="007E7FFE">
        <w:t xml:space="preserve">Perduoti biudžetinei įstaigai </w:t>
      </w:r>
      <w:bookmarkStart w:id="6" w:name="_GoBack"/>
      <w:r w:rsidR="00212C9E">
        <w:t xml:space="preserve">Molėtų rajono savivaldybės administracijai (kodas 188712799) </w:t>
      </w:r>
      <w:r w:rsidR="00B962AF" w:rsidRPr="007E7FFE">
        <w:t>patikėjimo teise valdyti, naudoti ir disponuoti juo</w:t>
      </w:r>
      <w:r w:rsidR="00B962AF">
        <w:t xml:space="preserve"> S</w:t>
      </w:r>
      <w:r w:rsidR="00212C9E">
        <w:t xml:space="preserve">avivaldybei nuosavybės teise priklausantį ir šiuo metu </w:t>
      </w:r>
      <w:r w:rsidRPr="007E7FFE">
        <w:t xml:space="preserve">Molėtų </w:t>
      </w:r>
      <w:r>
        <w:t>kultūros centr</w:t>
      </w:r>
      <w:r w:rsidR="00212C9E">
        <w:t>o patikėjimo teise valdomą</w:t>
      </w:r>
      <w:r w:rsidRPr="007E7FFE">
        <w:t xml:space="preserve"> ilgalaikį </w:t>
      </w:r>
      <w:r w:rsidR="00B962AF">
        <w:t xml:space="preserve">ir trumpalaikį </w:t>
      </w:r>
      <w:r w:rsidRPr="007E7FFE">
        <w:t>materialųjį turtą</w:t>
      </w:r>
      <w:bookmarkEnd w:id="6"/>
      <w:r w:rsidR="00B962AF">
        <w:t xml:space="preserve">: </w:t>
      </w: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070"/>
        <w:gridCol w:w="903"/>
        <w:gridCol w:w="976"/>
        <w:gridCol w:w="996"/>
        <w:gridCol w:w="1163"/>
      </w:tblGrid>
      <w:tr w:rsidR="00B962AF" w:rsidRPr="00E170DA" w:rsidTr="00B962AF">
        <w:trPr>
          <w:trHeight w:val="525"/>
        </w:trPr>
        <w:tc>
          <w:tcPr>
            <w:tcW w:w="556" w:type="dxa"/>
            <w:shd w:val="clear" w:color="auto" w:fill="auto"/>
            <w:vAlign w:val="center"/>
            <w:hideMark/>
          </w:tcPr>
          <w:p w:rsidR="00B962AF" w:rsidRPr="00E170DA" w:rsidRDefault="00B962AF" w:rsidP="00026E33">
            <w:pPr>
              <w:jc w:val="center"/>
              <w:rPr>
                <w:bCs/>
                <w:color w:val="000000"/>
                <w:lang w:eastAsia="lt-LT"/>
              </w:rPr>
            </w:pPr>
            <w:r w:rsidRPr="00E170DA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B962AF" w:rsidRPr="00E170DA" w:rsidRDefault="00B962AF" w:rsidP="00B962AF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</w:t>
            </w:r>
            <w:r w:rsidRPr="00E170DA">
              <w:rPr>
                <w:bCs/>
                <w:color w:val="000000"/>
                <w:lang w:eastAsia="lt-LT"/>
              </w:rPr>
              <w:t>avadinimas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B962AF" w:rsidRDefault="00B962AF" w:rsidP="00026E33">
            <w:pPr>
              <w:jc w:val="center"/>
              <w:rPr>
                <w:bCs/>
                <w:color w:val="000000"/>
                <w:lang w:eastAsia="lt-LT"/>
              </w:rPr>
            </w:pPr>
            <w:r w:rsidRPr="00E170DA">
              <w:rPr>
                <w:bCs/>
                <w:color w:val="000000"/>
                <w:lang w:eastAsia="lt-LT"/>
              </w:rPr>
              <w:t>Kiekis</w:t>
            </w:r>
            <w:r>
              <w:rPr>
                <w:bCs/>
                <w:color w:val="000000"/>
                <w:lang w:eastAsia="lt-LT"/>
              </w:rPr>
              <w:t>,</w:t>
            </w:r>
          </w:p>
          <w:p w:rsidR="00B962AF" w:rsidRPr="00E170DA" w:rsidRDefault="00B962AF" w:rsidP="00026E3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vnt.</w:t>
            </w:r>
          </w:p>
        </w:tc>
        <w:tc>
          <w:tcPr>
            <w:tcW w:w="976" w:type="dxa"/>
            <w:shd w:val="clear" w:color="auto" w:fill="auto"/>
            <w:hideMark/>
          </w:tcPr>
          <w:p w:rsidR="00B962AF" w:rsidRPr="00E170DA" w:rsidRDefault="00B962AF" w:rsidP="00026E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Vieneto</w:t>
            </w:r>
            <w:r w:rsidRPr="00E170DA">
              <w:rPr>
                <w:color w:val="000000"/>
                <w:lang w:eastAsia="lt-LT"/>
              </w:rPr>
              <w:t xml:space="preserve">     kaina</w:t>
            </w:r>
            <w:r>
              <w:rPr>
                <w:color w:val="000000"/>
                <w:lang w:eastAsia="lt-LT"/>
              </w:rPr>
              <w:t xml:space="preserve">, </w:t>
            </w:r>
            <w:proofErr w:type="spellStart"/>
            <w:r>
              <w:rPr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962AF" w:rsidRPr="00E170DA" w:rsidRDefault="00B962AF" w:rsidP="00026E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Bendra suma, </w:t>
            </w:r>
            <w:proofErr w:type="spellStart"/>
            <w:r>
              <w:rPr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1163" w:type="dxa"/>
          </w:tcPr>
          <w:p w:rsidR="00B962AF" w:rsidRDefault="00B962AF" w:rsidP="00026E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Balansinė sąskaita</w:t>
            </w:r>
          </w:p>
        </w:tc>
      </w:tr>
      <w:tr w:rsidR="002159BB" w:rsidTr="002159BB">
        <w:trPr>
          <w:trHeight w:val="197"/>
        </w:trPr>
        <w:tc>
          <w:tcPr>
            <w:tcW w:w="556" w:type="dxa"/>
            <w:shd w:val="clear" w:color="auto" w:fill="auto"/>
            <w:vAlign w:val="center"/>
          </w:tcPr>
          <w:p w:rsidR="002159BB" w:rsidRPr="00E170DA" w:rsidRDefault="002159BB" w:rsidP="002159BB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159BB" w:rsidRPr="00393B96" w:rsidRDefault="002159BB" w:rsidP="002159BB">
            <w:pPr>
              <w:rPr>
                <w:color w:val="000000"/>
                <w:lang w:eastAsia="lt-LT"/>
              </w:rPr>
            </w:pPr>
            <w:r w:rsidRPr="00393B96">
              <w:rPr>
                <w:color w:val="000000"/>
                <w:lang w:eastAsia="lt-LT"/>
              </w:rPr>
              <w:t>Kairinis priimamojo baldų segmentas AR4557 1200x890xh1110 mm ir dešininis priimamojo baldų segmentas AR4457 1200x890xh1110 mm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 w:rsidRPr="00393B96">
              <w:rPr>
                <w:color w:val="000000"/>
                <w:lang w:eastAsia="lt-LT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lang w:eastAsia="lt-LT"/>
              </w:rPr>
            </w:pPr>
            <w:r w:rsidRPr="00393B96">
              <w:rPr>
                <w:lang w:eastAsia="lt-LT"/>
              </w:rPr>
              <w:t>300,08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 w:rsidRPr="00393B96">
              <w:rPr>
                <w:color w:val="000000"/>
                <w:lang w:eastAsia="lt-LT"/>
              </w:rPr>
              <w:t>300,08</w:t>
            </w:r>
          </w:p>
        </w:tc>
        <w:tc>
          <w:tcPr>
            <w:tcW w:w="1163" w:type="dxa"/>
            <w:vAlign w:val="center"/>
          </w:tcPr>
          <w:p w:rsidR="002159BB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2020001</w:t>
            </w:r>
          </w:p>
        </w:tc>
      </w:tr>
      <w:tr w:rsidR="002159BB" w:rsidRPr="00393B96" w:rsidTr="002159BB">
        <w:trPr>
          <w:trHeight w:val="285"/>
        </w:trPr>
        <w:tc>
          <w:tcPr>
            <w:tcW w:w="556" w:type="dxa"/>
            <w:shd w:val="clear" w:color="auto" w:fill="auto"/>
            <w:vAlign w:val="center"/>
            <w:hideMark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2159BB" w:rsidRPr="00393B96" w:rsidRDefault="002159BB" w:rsidP="002159BB">
            <w:pPr>
              <w:rPr>
                <w:color w:val="000000"/>
                <w:lang w:eastAsia="lt-LT"/>
              </w:rPr>
            </w:pPr>
            <w:r w:rsidRPr="00393B96">
              <w:rPr>
                <w:color w:val="000000"/>
                <w:lang w:eastAsia="lt-LT"/>
              </w:rPr>
              <w:t>4 stalčių blokas (rakinamas) 434x500xh595 mm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 w:rsidRPr="00393B96">
              <w:rPr>
                <w:color w:val="000000"/>
                <w:lang w:eastAsia="lt-LT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2159BB" w:rsidRPr="00393B96" w:rsidRDefault="002159BB" w:rsidP="002159BB">
            <w:pPr>
              <w:jc w:val="center"/>
              <w:rPr>
                <w:lang w:eastAsia="lt-LT"/>
              </w:rPr>
            </w:pPr>
            <w:r w:rsidRPr="00393B96">
              <w:rPr>
                <w:lang w:eastAsia="lt-LT"/>
              </w:rPr>
              <w:t>121</w:t>
            </w:r>
            <w:r>
              <w:rPr>
                <w:lang w:eastAsia="lt-LT"/>
              </w:rPr>
              <w:t>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 w:rsidRPr="00393B96">
              <w:rPr>
                <w:color w:val="000000"/>
                <w:lang w:eastAsia="lt-LT"/>
              </w:rPr>
              <w:t>121</w:t>
            </w:r>
            <w:r>
              <w:rPr>
                <w:color w:val="000000"/>
                <w:lang w:eastAsia="lt-LT"/>
              </w:rPr>
              <w:t>,00</w:t>
            </w:r>
          </w:p>
        </w:tc>
        <w:tc>
          <w:tcPr>
            <w:tcW w:w="1163" w:type="dxa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2020001</w:t>
            </w:r>
          </w:p>
        </w:tc>
      </w:tr>
      <w:tr w:rsidR="002159BB" w:rsidRPr="00393B96" w:rsidTr="002159BB">
        <w:trPr>
          <w:trHeight w:val="285"/>
        </w:trPr>
        <w:tc>
          <w:tcPr>
            <w:tcW w:w="55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159BB" w:rsidRPr="00393B96" w:rsidRDefault="002159BB" w:rsidP="002159BB">
            <w:pPr>
              <w:rPr>
                <w:color w:val="000000"/>
                <w:lang w:eastAsia="lt-LT"/>
              </w:rPr>
            </w:pPr>
            <w:proofErr w:type="spellStart"/>
            <w:r w:rsidRPr="00393B96">
              <w:rPr>
                <w:color w:val="000000"/>
                <w:lang w:eastAsia="lt-LT"/>
              </w:rPr>
              <w:t>Pufas</w:t>
            </w:r>
            <w:proofErr w:type="spellEnd"/>
            <w:r w:rsidRPr="00393B96">
              <w:rPr>
                <w:color w:val="000000"/>
                <w:lang w:eastAsia="lt-LT"/>
              </w:rPr>
              <w:t xml:space="preserve"> 500x500 mm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lang w:eastAsia="lt-LT"/>
              </w:rPr>
            </w:pPr>
            <w:r w:rsidRPr="00393B96">
              <w:rPr>
                <w:lang w:eastAsia="lt-LT"/>
              </w:rPr>
              <w:t>60,5</w:t>
            </w:r>
            <w:r>
              <w:rPr>
                <w:lang w:eastAsia="lt-LT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181,50</w:t>
            </w:r>
          </w:p>
        </w:tc>
        <w:tc>
          <w:tcPr>
            <w:tcW w:w="1163" w:type="dxa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2020001</w:t>
            </w:r>
          </w:p>
        </w:tc>
      </w:tr>
      <w:tr w:rsidR="002159BB" w:rsidRPr="00393B96" w:rsidTr="002159BB">
        <w:trPr>
          <w:trHeight w:val="285"/>
        </w:trPr>
        <w:tc>
          <w:tcPr>
            <w:tcW w:w="55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159BB" w:rsidRPr="00393B96" w:rsidRDefault="002159BB" w:rsidP="002159BB">
            <w:pPr>
              <w:rPr>
                <w:color w:val="000000"/>
                <w:lang w:eastAsia="lt-LT"/>
              </w:rPr>
            </w:pPr>
            <w:r w:rsidRPr="00393B96">
              <w:rPr>
                <w:color w:val="000000"/>
                <w:lang w:eastAsia="lt-LT"/>
              </w:rPr>
              <w:t xml:space="preserve">Kėdė NEO II GTP su </w:t>
            </w:r>
            <w:proofErr w:type="spellStart"/>
            <w:r w:rsidRPr="00393B96">
              <w:rPr>
                <w:color w:val="000000"/>
                <w:lang w:eastAsia="lt-LT"/>
              </w:rPr>
              <w:t>porankiais</w:t>
            </w:r>
            <w:proofErr w:type="spellEnd"/>
          </w:p>
        </w:tc>
        <w:tc>
          <w:tcPr>
            <w:tcW w:w="903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 w:rsidRPr="00393B96">
              <w:rPr>
                <w:color w:val="000000"/>
                <w:lang w:eastAsia="lt-LT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lang w:eastAsia="lt-LT"/>
              </w:rPr>
            </w:pPr>
            <w:r w:rsidRPr="00393B96">
              <w:rPr>
                <w:lang w:eastAsia="lt-LT"/>
              </w:rPr>
              <w:t>102,85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102,85</w:t>
            </w:r>
          </w:p>
        </w:tc>
        <w:tc>
          <w:tcPr>
            <w:tcW w:w="1163" w:type="dxa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2020001</w:t>
            </w:r>
          </w:p>
        </w:tc>
      </w:tr>
      <w:tr w:rsidR="002159BB" w:rsidRPr="00393B96" w:rsidTr="002159BB">
        <w:trPr>
          <w:trHeight w:val="285"/>
        </w:trPr>
        <w:tc>
          <w:tcPr>
            <w:tcW w:w="55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5114" w:type="dxa"/>
            <w:shd w:val="clear" w:color="auto" w:fill="auto"/>
          </w:tcPr>
          <w:p w:rsidR="002159BB" w:rsidRPr="00393B96" w:rsidRDefault="002159BB" w:rsidP="002159BB">
            <w:pPr>
              <w:rPr>
                <w:color w:val="000000"/>
                <w:lang w:eastAsia="lt-LT"/>
              </w:rPr>
            </w:pPr>
            <w:r w:rsidRPr="00393B96">
              <w:rPr>
                <w:color w:val="000000"/>
                <w:lang w:eastAsia="lt-LT"/>
              </w:rPr>
              <w:t>Spinta stumdomomis durimis 1710x700xh2900 mm su lentyna ir drabužių kabykla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lang w:eastAsia="lt-LT"/>
              </w:rPr>
            </w:pPr>
            <w:r w:rsidRPr="00393B96">
              <w:rPr>
                <w:lang w:eastAsia="lt-LT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lang w:eastAsia="lt-LT"/>
              </w:rPr>
            </w:pPr>
            <w:r w:rsidRPr="00393B96">
              <w:rPr>
                <w:lang w:eastAsia="lt-LT"/>
              </w:rPr>
              <w:t>508,20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159BB" w:rsidRPr="00393B96" w:rsidRDefault="002159BB" w:rsidP="002F4D93">
            <w:pPr>
              <w:jc w:val="center"/>
              <w:rPr>
                <w:lang w:eastAsia="lt-LT"/>
              </w:rPr>
            </w:pPr>
            <w:r w:rsidRPr="00393B96">
              <w:rPr>
                <w:lang w:eastAsia="lt-LT"/>
              </w:rPr>
              <w:t>508,</w:t>
            </w:r>
            <w:r w:rsidR="002F4D93">
              <w:rPr>
                <w:lang w:eastAsia="lt-LT"/>
              </w:rPr>
              <w:t>2</w:t>
            </w:r>
            <w:r w:rsidRPr="00393B96">
              <w:rPr>
                <w:lang w:eastAsia="lt-LT"/>
              </w:rPr>
              <w:t>0</w:t>
            </w:r>
          </w:p>
        </w:tc>
        <w:tc>
          <w:tcPr>
            <w:tcW w:w="1163" w:type="dxa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1208101</w:t>
            </w:r>
          </w:p>
        </w:tc>
      </w:tr>
      <w:tr w:rsidR="002159BB" w:rsidRPr="00393B96" w:rsidTr="00B962AF">
        <w:trPr>
          <w:trHeight w:val="285"/>
        </w:trPr>
        <w:tc>
          <w:tcPr>
            <w:tcW w:w="55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 viso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2159BB" w:rsidRPr="00393B96" w:rsidRDefault="002F4D93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1213,63</w:t>
            </w:r>
          </w:p>
        </w:tc>
        <w:tc>
          <w:tcPr>
            <w:tcW w:w="1163" w:type="dxa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2159BB" w:rsidRPr="00393B96" w:rsidTr="00B962AF">
        <w:trPr>
          <w:trHeight w:val="285"/>
        </w:trPr>
        <w:tc>
          <w:tcPr>
            <w:tcW w:w="55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159BB" w:rsidRPr="00393B96" w:rsidRDefault="002159BB" w:rsidP="002159BB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Finansavimo šaltinis – savivaldybės biudžeto lėšos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63" w:type="dxa"/>
          </w:tcPr>
          <w:p w:rsidR="002159BB" w:rsidRPr="00393B96" w:rsidRDefault="002159BB" w:rsidP="002159BB">
            <w:pPr>
              <w:jc w:val="center"/>
              <w:rPr>
                <w:color w:val="000000"/>
                <w:lang w:eastAsia="lt-LT"/>
              </w:rPr>
            </w:pPr>
          </w:p>
        </w:tc>
      </w:tr>
    </w:tbl>
    <w:p w:rsidR="00B962AF" w:rsidRPr="007E7FFE" w:rsidRDefault="00B962AF" w:rsidP="00B962AF">
      <w:pPr>
        <w:spacing w:line="360" w:lineRule="auto"/>
        <w:ind w:left="709"/>
        <w:jc w:val="both"/>
        <w:rPr>
          <w:lang w:eastAsia="lt-LT"/>
        </w:rPr>
      </w:pPr>
    </w:p>
    <w:p w:rsidR="007E7FFE" w:rsidRPr="007E7FFE" w:rsidRDefault="007E7FFE" w:rsidP="002221F2">
      <w:pPr>
        <w:numPr>
          <w:ilvl w:val="0"/>
          <w:numId w:val="3"/>
        </w:numPr>
        <w:spacing w:line="360" w:lineRule="auto"/>
        <w:ind w:left="0" w:firstLine="709"/>
        <w:jc w:val="both"/>
        <w:rPr>
          <w:lang w:eastAsia="lt-LT"/>
        </w:rPr>
      </w:pPr>
      <w:r w:rsidRPr="007E7FFE">
        <w:t xml:space="preserve">Įgalioti Molėtų </w:t>
      </w:r>
      <w:r w:rsidR="002F4D93">
        <w:t>kultūros centro direktorę Ingą Narušienę</w:t>
      </w:r>
      <w:r w:rsidRPr="007E7FFE">
        <w:t xml:space="preserve"> pasirašyti 1 punkte nurodyto turto perdavimo ir priėmimo aktą.</w:t>
      </w:r>
    </w:p>
    <w:p w:rsidR="007E7FFE" w:rsidRPr="007E7FFE" w:rsidRDefault="007E7FFE" w:rsidP="002221F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lastRenderedPageBreak/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2F4D93" w:rsidRDefault="002F4D93" w:rsidP="002F4D93">
      <w:pPr>
        <w:tabs>
          <w:tab w:val="left" w:pos="7513"/>
        </w:tabs>
      </w:pPr>
      <w:r w:rsidRPr="00914652">
        <w:t>Turto skyriaus vedėja</w:t>
      </w:r>
    </w:p>
    <w:p w:rsidR="00AA12F1" w:rsidRPr="00914652" w:rsidRDefault="00AA12F1" w:rsidP="00AA12F1">
      <w:pPr>
        <w:tabs>
          <w:tab w:val="left" w:pos="7513"/>
        </w:tabs>
      </w:pPr>
    </w:p>
    <w:p w:rsidR="002221F2" w:rsidRDefault="00AA12F1" w:rsidP="002F4D93">
      <w:pPr>
        <w:tabs>
          <w:tab w:val="left" w:pos="7513"/>
        </w:tabs>
      </w:pPr>
      <w:r>
        <w:t>Aldona Rusteikienė</w:t>
      </w:r>
    </w:p>
    <w:sectPr w:rsidR="002221F2" w:rsidSect="00393B96">
      <w:type w:val="continuous"/>
      <w:pgSz w:w="11906" w:h="16838" w:code="9"/>
      <w:pgMar w:top="1134" w:right="566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10" w:rsidRDefault="00B57110">
      <w:r>
        <w:separator/>
      </w:r>
    </w:p>
  </w:endnote>
  <w:endnote w:type="continuationSeparator" w:id="0">
    <w:p w:rsidR="00B57110" w:rsidRDefault="00B5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10" w:rsidRDefault="00B57110">
      <w:r>
        <w:separator/>
      </w:r>
    </w:p>
  </w:footnote>
  <w:footnote w:type="continuationSeparator" w:id="0">
    <w:p w:rsidR="00B57110" w:rsidRDefault="00B5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96" w:rsidRDefault="00393B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93B96" w:rsidRDefault="00393B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96" w:rsidRDefault="00393B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00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93B96" w:rsidRDefault="00393B9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96" w:rsidRDefault="00393B96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10D"/>
    <w:multiLevelType w:val="hybridMultilevel"/>
    <w:tmpl w:val="C8FCE1CE"/>
    <w:lvl w:ilvl="0" w:tplc="3078E2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087C15"/>
    <w:multiLevelType w:val="multilevel"/>
    <w:tmpl w:val="5948BC7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610C422D"/>
    <w:multiLevelType w:val="hybridMultilevel"/>
    <w:tmpl w:val="88BC11C8"/>
    <w:lvl w:ilvl="0" w:tplc="18248D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653575F0"/>
    <w:multiLevelType w:val="multilevel"/>
    <w:tmpl w:val="B8AE8B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6946638F"/>
    <w:multiLevelType w:val="hybridMultilevel"/>
    <w:tmpl w:val="0ABE6B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27D31"/>
    <w:multiLevelType w:val="hybridMultilevel"/>
    <w:tmpl w:val="E2D6D57E"/>
    <w:lvl w:ilvl="0" w:tplc="BA24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88C">
      <w:numFmt w:val="none"/>
      <w:lvlText w:val=""/>
      <w:lvlJc w:val="left"/>
      <w:pPr>
        <w:tabs>
          <w:tab w:val="num" w:pos="360"/>
        </w:tabs>
      </w:pPr>
    </w:lvl>
    <w:lvl w:ilvl="2" w:tplc="86862E16">
      <w:numFmt w:val="none"/>
      <w:lvlText w:val=""/>
      <w:lvlJc w:val="left"/>
      <w:pPr>
        <w:tabs>
          <w:tab w:val="num" w:pos="360"/>
        </w:tabs>
      </w:pPr>
    </w:lvl>
    <w:lvl w:ilvl="3" w:tplc="6F18712E">
      <w:numFmt w:val="none"/>
      <w:lvlText w:val=""/>
      <w:lvlJc w:val="left"/>
      <w:pPr>
        <w:tabs>
          <w:tab w:val="num" w:pos="360"/>
        </w:tabs>
      </w:pPr>
    </w:lvl>
    <w:lvl w:ilvl="4" w:tplc="79F06D76">
      <w:numFmt w:val="none"/>
      <w:lvlText w:val=""/>
      <w:lvlJc w:val="left"/>
      <w:pPr>
        <w:tabs>
          <w:tab w:val="num" w:pos="360"/>
        </w:tabs>
      </w:pPr>
    </w:lvl>
    <w:lvl w:ilvl="5" w:tplc="DE8C4CF8">
      <w:numFmt w:val="none"/>
      <w:lvlText w:val=""/>
      <w:lvlJc w:val="left"/>
      <w:pPr>
        <w:tabs>
          <w:tab w:val="num" w:pos="360"/>
        </w:tabs>
      </w:pPr>
    </w:lvl>
    <w:lvl w:ilvl="6" w:tplc="45625164">
      <w:numFmt w:val="none"/>
      <w:lvlText w:val=""/>
      <w:lvlJc w:val="left"/>
      <w:pPr>
        <w:tabs>
          <w:tab w:val="num" w:pos="360"/>
        </w:tabs>
      </w:pPr>
    </w:lvl>
    <w:lvl w:ilvl="7" w:tplc="E832824E">
      <w:numFmt w:val="none"/>
      <w:lvlText w:val=""/>
      <w:lvlJc w:val="left"/>
      <w:pPr>
        <w:tabs>
          <w:tab w:val="num" w:pos="360"/>
        </w:tabs>
      </w:pPr>
    </w:lvl>
    <w:lvl w:ilvl="8" w:tplc="679081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EF1660E"/>
    <w:multiLevelType w:val="multilevel"/>
    <w:tmpl w:val="B9EE8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6525"/>
    <w:rsid w:val="00085C42"/>
    <w:rsid w:val="000D44D0"/>
    <w:rsid w:val="000D4D71"/>
    <w:rsid w:val="001156B7"/>
    <w:rsid w:val="0012091C"/>
    <w:rsid w:val="00132437"/>
    <w:rsid w:val="00211F14"/>
    <w:rsid w:val="00212C9E"/>
    <w:rsid w:val="002159BB"/>
    <w:rsid w:val="002221F2"/>
    <w:rsid w:val="00236EE7"/>
    <w:rsid w:val="00256DAA"/>
    <w:rsid w:val="002A3CC2"/>
    <w:rsid w:val="002F4D93"/>
    <w:rsid w:val="00305758"/>
    <w:rsid w:val="00341D56"/>
    <w:rsid w:val="00351845"/>
    <w:rsid w:val="003644B7"/>
    <w:rsid w:val="00373430"/>
    <w:rsid w:val="00381566"/>
    <w:rsid w:val="00384B4D"/>
    <w:rsid w:val="003900BC"/>
    <w:rsid w:val="003932F0"/>
    <w:rsid w:val="00393B96"/>
    <w:rsid w:val="003975CE"/>
    <w:rsid w:val="003A762C"/>
    <w:rsid w:val="003F26CC"/>
    <w:rsid w:val="00454BAD"/>
    <w:rsid w:val="00494D24"/>
    <w:rsid w:val="004968FC"/>
    <w:rsid w:val="004B6366"/>
    <w:rsid w:val="004F285B"/>
    <w:rsid w:val="00503B36"/>
    <w:rsid w:val="00504780"/>
    <w:rsid w:val="005075FA"/>
    <w:rsid w:val="0054490F"/>
    <w:rsid w:val="00561916"/>
    <w:rsid w:val="005A4424"/>
    <w:rsid w:val="005B0853"/>
    <w:rsid w:val="005D0C8D"/>
    <w:rsid w:val="005F38B6"/>
    <w:rsid w:val="006213AE"/>
    <w:rsid w:val="00664476"/>
    <w:rsid w:val="006A66FE"/>
    <w:rsid w:val="006A77AA"/>
    <w:rsid w:val="006B4F62"/>
    <w:rsid w:val="006B5592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E4516"/>
    <w:rsid w:val="007E7FFE"/>
    <w:rsid w:val="00800FA6"/>
    <w:rsid w:val="008031CB"/>
    <w:rsid w:val="008231C9"/>
    <w:rsid w:val="00826213"/>
    <w:rsid w:val="00872337"/>
    <w:rsid w:val="00874855"/>
    <w:rsid w:val="00876478"/>
    <w:rsid w:val="00897D85"/>
    <w:rsid w:val="008A401C"/>
    <w:rsid w:val="008B4C61"/>
    <w:rsid w:val="008E1EF7"/>
    <w:rsid w:val="00911644"/>
    <w:rsid w:val="0093412A"/>
    <w:rsid w:val="00945A0E"/>
    <w:rsid w:val="009542B5"/>
    <w:rsid w:val="009B4614"/>
    <w:rsid w:val="009E70D9"/>
    <w:rsid w:val="009F2251"/>
    <w:rsid w:val="00A45A09"/>
    <w:rsid w:val="00A574B1"/>
    <w:rsid w:val="00A57FB5"/>
    <w:rsid w:val="00A655D4"/>
    <w:rsid w:val="00A92F1F"/>
    <w:rsid w:val="00AA12F1"/>
    <w:rsid w:val="00AB0CA7"/>
    <w:rsid w:val="00AC6540"/>
    <w:rsid w:val="00AC7B61"/>
    <w:rsid w:val="00AE325A"/>
    <w:rsid w:val="00AF3FBC"/>
    <w:rsid w:val="00AF790A"/>
    <w:rsid w:val="00B030AA"/>
    <w:rsid w:val="00B54A90"/>
    <w:rsid w:val="00B57110"/>
    <w:rsid w:val="00B72842"/>
    <w:rsid w:val="00B962AF"/>
    <w:rsid w:val="00BA65BB"/>
    <w:rsid w:val="00BB0C4F"/>
    <w:rsid w:val="00BB70B1"/>
    <w:rsid w:val="00C16EA1"/>
    <w:rsid w:val="00C30C22"/>
    <w:rsid w:val="00CB02FA"/>
    <w:rsid w:val="00CC1DF9"/>
    <w:rsid w:val="00CD0038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170DA"/>
    <w:rsid w:val="00E426B2"/>
    <w:rsid w:val="00E83128"/>
    <w:rsid w:val="00E83718"/>
    <w:rsid w:val="00EC366E"/>
    <w:rsid w:val="00EE043E"/>
    <w:rsid w:val="00EE645F"/>
    <w:rsid w:val="00F4711F"/>
    <w:rsid w:val="00F54307"/>
    <w:rsid w:val="00F55640"/>
    <w:rsid w:val="00F81A32"/>
    <w:rsid w:val="00FA4114"/>
    <w:rsid w:val="00FB77DF"/>
    <w:rsid w:val="00FD199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221F2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2221F2"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2221F2"/>
    <w:pPr>
      <w:keepNext/>
      <w:tabs>
        <w:tab w:val="left" w:pos="1674"/>
      </w:tabs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221F2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2221F2"/>
    <w:rPr>
      <w:b/>
      <w:bCs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2221F2"/>
    <w:rPr>
      <w:b/>
      <w:bCs/>
      <w:sz w:val="28"/>
      <w:szCs w:val="24"/>
      <w:lang w:eastAsia="en-U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Pagrindiniotekstotrauka3">
    <w:name w:val="Body Text Indent 3"/>
    <w:basedOn w:val="prastasis"/>
    <w:link w:val="Pagrindiniotekstotrauka3Diagrama"/>
    <w:rsid w:val="007E7FFE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E7FFE"/>
    <w:rPr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rsid w:val="002221F2"/>
    <w:pPr>
      <w:jc w:val="center"/>
    </w:pPr>
    <w:rPr>
      <w:b/>
      <w:bCs/>
      <w:sz w:val="32"/>
    </w:rPr>
  </w:style>
  <w:style w:type="character" w:customStyle="1" w:styleId="PavadinimasDiagrama">
    <w:name w:val="Pavadinimas Diagrama"/>
    <w:basedOn w:val="Numatytasispastraiposriftas"/>
    <w:link w:val="Pavadinimas"/>
    <w:rsid w:val="002221F2"/>
    <w:rPr>
      <w:b/>
      <w:bCs/>
      <w:sz w:val="32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2221F2"/>
    <w:pPr>
      <w:tabs>
        <w:tab w:val="left" w:pos="0"/>
        <w:tab w:val="left" w:pos="1674"/>
      </w:tabs>
      <w:ind w:left="675" w:hanging="675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221F2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2221F2"/>
    <w:pPr>
      <w:tabs>
        <w:tab w:val="left" w:pos="180"/>
        <w:tab w:val="left" w:pos="1674"/>
      </w:tabs>
      <w:ind w:hanging="675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221F2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2221F2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221F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222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okumentostruktra">
    <w:name w:val="Document Map"/>
    <w:basedOn w:val="prastasis"/>
    <w:link w:val="DokumentostruktraDiagrama"/>
    <w:rsid w:val="00222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2221F2"/>
    <w:rPr>
      <w:rFonts w:ascii="Tahoma" w:hAnsi="Tahoma" w:cs="Tahoma"/>
      <w:shd w:val="clear" w:color="auto" w:fill="000080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2221F2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221F2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4A12D6"/>
    <w:rsid w:val="00502ED9"/>
    <w:rsid w:val="0052032F"/>
    <w:rsid w:val="005B71BF"/>
    <w:rsid w:val="00607A50"/>
    <w:rsid w:val="00630DB6"/>
    <w:rsid w:val="00784743"/>
    <w:rsid w:val="008E44D7"/>
    <w:rsid w:val="00A7301F"/>
    <w:rsid w:val="00AB0C80"/>
    <w:rsid w:val="00AF2B0E"/>
    <w:rsid w:val="00B227E8"/>
    <w:rsid w:val="00B75C21"/>
    <w:rsid w:val="00D7282C"/>
    <w:rsid w:val="00E264E1"/>
    <w:rsid w:val="00ED6D01"/>
    <w:rsid w:val="00F27941"/>
    <w:rsid w:val="00FA2E26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2015-11-30T18:21:00Z</cp:lastPrinted>
  <dcterms:created xsi:type="dcterms:W3CDTF">2016-01-18T14:54:00Z</dcterms:created>
  <dcterms:modified xsi:type="dcterms:W3CDTF">2016-01-19T06:18:00Z</dcterms:modified>
</cp:coreProperties>
</file>