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ED" w:rsidRDefault="00E77DED" w:rsidP="004039F8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4039F8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6E2B" w:rsidRDefault="005D2B5C" w:rsidP="001A1418">
      <w:pPr>
        <w:jc w:val="center"/>
        <w:rPr>
          <w:noProof/>
          <w:lang w:val="lt-LT"/>
        </w:rPr>
      </w:pPr>
      <w:r w:rsidRPr="001A1418">
        <w:rPr>
          <w:noProof/>
          <w:lang w:val="lt-LT"/>
        </w:rPr>
        <w:t>Dėl keleivių vežimo reguliariais reisais vietinio susisiekimo maršrutais tarif</w:t>
      </w:r>
      <w:r w:rsidR="001A1418" w:rsidRPr="001A1418">
        <w:rPr>
          <w:noProof/>
          <w:lang w:val="lt-LT"/>
        </w:rPr>
        <w:t xml:space="preserve">o </w:t>
      </w:r>
      <w:r w:rsidR="001A1418">
        <w:rPr>
          <w:noProof/>
          <w:lang w:val="lt-LT"/>
        </w:rPr>
        <w:t xml:space="preserve">ir </w:t>
      </w:r>
      <w:r w:rsidR="001A1418" w:rsidRPr="001A1418">
        <w:rPr>
          <w:lang w:val="lt-LT"/>
        </w:rPr>
        <w:t>mažiausi</w:t>
      </w:r>
      <w:r w:rsidR="001A1418" w:rsidRPr="001A1418">
        <w:rPr>
          <w:lang w:val="lt-LT"/>
        </w:rPr>
        <w:t>os</w:t>
      </w:r>
      <w:r w:rsidR="001A1418" w:rsidRPr="001A1418">
        <w:rPr>
          <w:lang w:val="lt-LT"/>
        </w:rPr>
        <w:t xml:space="preserve"> vienkartinio bilieto kain</w:t>
      </w:r>
      <w:r w:rsidR="001A1418" w:rsidRPr="001A1418">
        <w:rPr>
          <w:lang w:val="lt-LT"/>
        </w:rPr>
        <w:t>os</w:t>
      </w:r>
      <w:r w:rsidRPr="001A1418">
        <w:rPr>
          <w:noProof/>
          <w:lang w:val="lt-LT"/>
        </w:rPr>
        <w:t xml:space="preserve"> nustatymo</w:t>
      </w:r>
    </w:p>
    <w:p w:rsidR="001A1418" w:rsidRPr="001A1418" w:rsidRDefault="001A1418" w:rsidP="001A1418">
      <w:pPr>
        <w:jc w:val="center"/>
        <w:rPr>
          <w:lang w:val="lt-LT"/>
        </w:rPr>
      </w:pPr>
    </w:p>
    <w:p w:rsidR="00DD5C8C" w:rsidRPr="00237886" w:rsidRDefault="00DD5C8C" w:rsidP="00C14706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hanging="11"/>
      </w:pPr>
      <w:r w:rsidRPr="00237886">
        <w:rPr>
          <w:b/>
        </w:rPr>
        <w:t>Parengto tarybos sprendimo projekto tikslai ir uždaviniai</w:t>
      </w:r>
      <w:r w:rsidRPr="00237886">
        <w:t xml:space="preserve"> </w:t>
      </w:r>
    </w:p>
    <w:p w:rsidR="005D2B5C" w:rsidRDefault="006578DF" w:rsidP="006578DF">
      <w:pPr>
        <w:tabs>
          <w:tab w:val="left" w:pos="1247"/>
        </w:tabs>
        <w:spacing w:line="360" w:lineRule="auto"/>
        <w:ind w:firstLine="709"/>
        <w:jc w:val="both"/>
        <w:rPr>
          <w:color w:val="000000"/>
          <w:lang w:val="lt-LT"/>
        </w:rPr>
      </w:pPr>
      <w:r w:rsidRPr="00B54816">
        <w:rPr>
          <w:lang w:val="lt-LT"/>
        </w:rPr>
        <w:t xml:space="preserve">Lietuvos Respublikos kelių transporto kodekso </w:t>
      </w:r>
      <w:r w:rsidRPr="006578DF">
        <w:rPr>
          <w:lang w:val="lt-LT"/>
        </w:rPr>
        <w:t xml:space="preserve">16 straipsnio 2 dalis </w:t>
      </w:r>
      <w:r>
        <w:rPr>
          <w:lang w:val="lt-LT"/>
        </w:rPr>
        <w:t>reglamentuoja, kad „k</w:t>
      </w:r>
      <w:r w:rsidRPr="006578DF">
        <w:rPr>
          <w:color w:val="000000"/>
          <w:lang w:val="lt-LT"/>
        </w:rPr>
        <w:t>eleivių vežimo reguliariais reisais vietinio susisiekimo maršrutais konkrečius tarifų dydžius nustato savivaldybių tarybos. Šie tarifų dydžiai peržiūrimi ne rečiau kaip kartą per metus, atsižvelgiant į vežimo sąnaudų, gautų pajamų pokyčius ir viešųjų paslaugų sutartyse tarp savivaldybių ir vežėjų numatytus įsipareigojimus</w:t>
      </w:r>
      <w:r w:rsidR="005D2B5C">
        <w:rPr>
          <w:color w:val="000000"/>
          <w:lang w:val="lt-LT"/>
        </w:rPr>
        <w:t>“</w:t>
      </w:r>
      <w:r>
        <w:rPr>
          <w:color w:val="000000"/>
          <w:lang w:val="lt-LT"/>
        </w:rPr>
        <w:t>.</w:t>
      </w:r>
    </w:p>
    <w:p w:rsidR="00237886" w:rsidRDefault="005D2B5C" w:rsidP="006578DF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5D2B5C">
        <w:rPr>
          <w:color w:val="000000"/>
          <w:lang w:val="lt-LT"/>
        </w:rPr>
        <w:t xml:space="preserve">Molėtų rajono savivaldybės tarybos </w:t>
      </w:r>
      <w:r w:rsidRPr="005D2B5C">
        <w:rPr>
          <w:lang w:val="lt-LT"/>
        </w:rPr>
        <w:t>2008 m. gegužės 28 d. sprendimu Nr. B1-88 „</w:t>
      </w:r>
      <w:r w:rsidRPr="005D2B5C">
        <w:rPr>
          <w:noProof/>
          <w:lang w:val="lt-LT"/>
        </w:rPr>
        <w:t>Dėl tarifo už keleivių vežimą</w:t>
      </w:r>
      <w:r w:rsidRPr="005D2B5C">
        <w:rPr>
          <w:bCs/>
          <w:lang w:val="lt-LT"/>
        </w:rPr>
        <w:t xml:space="preserve"> UAB Molėtų autobusų parko vietiniais reguliaraus susisiekimo autobusų maršrutais nustatymo</w:t>
      </w:r>
      <w:r>
        <w:rPr>
          <w:lang w:val="lt-LT"/>
        </w:rPr>
        <w:t>“</w:t>
      </w:r>
      <w:r w:rsidRPr="005D2B5C">
        <w:rPr>
          <w:lang w:val="lt-LT"/>
        </w:rPr>
        <w:t xml:space="preserve"> buvo</w:t>
      </w:r>
      <w:r w:rsidR="006578DF" w:rsidRPr="005D2B5C">
        <w:rPr>
          <w:lang w:val="lt-LT"/>
        </w:rPr>
        <w:t xml:space="preserve"> </w:t>
      </w:r>
      <w:r>
        <w:rPr>
          <w:lang w:val="lt-LT"/>
        </w:rPr>
        <w:t xml:space="preserve">nustatytas </w:t>
      </w:r>
      <w:r w:rsidRPr="005D2B5C">
        <w:rPr>
          <w:lang w:val="lt-LT"/>
        </w:rPr>
        <w:t>0,28 Lt tarif</w:t>
      </w:r>
      <w:r>
        <w:rPr>
          <w:lang w:val="lt-LT"/>
        </w:rPr>
        <w:t>as</w:t>
      </w:r>
      <w:r w:rsidRPr="005D2B5C">
        <w:rPr>
          <w:lang w:val="lt-LT"/>
        </w:rPr>
        <w:t xml:space="preserve"> už UAB Molėtų autobusų parko 1 keleivio </w:t>
      </w:r>
      <w:r w:rsidRPr="009659A9">
        <w:rPr>
          <w:lang w:val="lt-LT"/>
        </w:rPr>
        <w:t xml:space="preserve">važiuojamą kilometrą, vežant keleivius vietinio (priemiestinio) reguliaraus susisiekimo autobusų maršrutais. 2014 metais </w:t>
      </w:r>
      <w:r w:rsidR="009659A9" w:rsidRPr="009659A9">
        <w:rPr>
          <w:lang w:val="lt-LT"/>
        </w:rPr>
        <w:t xml:space="preserve">dėl euro įvedimo nustatytas tarifas buvo konvertuotas į 0,08 </w:t>
      </w:r>
      <w:proofErr w:type="spellStart"/>
      <w:r w:rsidR="009659A9" w:rsidRPr="009659A9">
        <w:rPr>
          <w:lang w:val="lt-LT"/>
        </w:rPr>
        <w:t>Eur</w:t>
      </w:r>
      <w:proofErr w:type="spellEnd"/>
      <w:r w:rsidR="009659A9" w:rsidRPr="009659A9">
        <w:rPr>
          <w:lang w:val="lt-LT"/>
        </w:rPr>
        <w:t>.</w:t>
      </w:r>
      <w:r w:rsidR="009659A9">
        <w:rPr>
          <w:lang w:val="lt-LT"/>
        </w:rPr>
        <w:t xml:space="preserve"> </w:t>
      </w:r>
    </w:p>
    <w:p w:rsidR="003E3FB7" w:rsidRDefault="003E3FB7" w:rsidP="003E3FB7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3E3FB7">
        <w:rPr>
          <w:lang w:val="lt-LT"/>
        </w:rPr>
        <w:t>UAB Molėtų autobusų parko</w:t>
      </w:r>
      <w:r w:rsidR="00145270">
        <w:rPr>
          <w:lang w:val="lt-LT"/>
        </w:rPr>
        <w:t xml:space="preserve"> (toliau - Bendrovė)</w:t>
      </w:r>
      <w:r w:rsidRPr="003E3FB7">
        <w:rPr>
          <w:lang w:val="lt-LT"/>
        </w:rPr>
        <w:t xml:space="preserve"> direktorius 2019 m. spalio 10 d. rašte Nr. IS-22 „Dėl vietinio susisiekimo tarifų padidinimo“ pateikia</w:t>
      </w:r>
      <w:r w:rsidRPr="003E3FB7">
        <w:rPr>
          <w:b/>
          <w:bCs/>
          <w:color w:val="000000"/>
          <w:lang w:val="lt-LT"/>
        </w:rPr>
        <w:t xml:space="preserve"> </w:t>
      </w:r>
      <w:r w:rsidRPr="003E3FB7">
        <w:rPr>
          <w:bCs/>
          <w:color w:val="000000"/>
          <w:lang w:val="lt-LT"/>
        </w:rPr>
        <w:t>vežimo sąnaudų, gautų pajamų pokyčius ir prašo</w:t>
      </w:r>
      <w:r w:rsidRPr="003E3FB7">
        <w:rPr>
          <w:lang w:val="lt-LT"/>
        </w:rPr>
        <w:t xml:space="preserve"> nustatyti keleivių vežimo reguliariaisiais reisais vietinio susisiekimo maršrutuose tarifą - 0,11 euro be pridėtinės vertės mokesčio už vieną keleivio kilometrą ir mažiausią vienkartinio bilieto kainą – 0,55 euro be pridėtinės vertės mokesčio.</w:t>
      </w:r>
    </w:p>
    <w:p w:rsidR="00071714" w:rsidRPr="00E77DED" w:rsidRDefault="00071714" w:rsidP="003E3FB7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3E3FB7">
        <w:rPr>
          <w:lang w:val="lt-LT"/>
        </w:rPr>
        <w:t xml:space="preserve">Nuo 2008 metų dėl didėjančių kuro kainų, dėl minimalaus mėnesinio atlygio pokyčio nuo 232 </w:t>
      </w:r>
      <w:r w:rsidRPr="00E77DED">
        <w:rPr>
          <w:lang w:val="lt-LT"/>
        </w:rPr>
        <w:t xml:space="preserve">(800 litų) </w:t>
      </w:r>
      <w:proofErr w:type="spellStart"/>
      <w:r w:rsidRPr="00E77DED">
        <w:rPr>
          <w:lang w:val="lt-LT"/>
        </w:rPr>
        <w:t>Eur</w:t>
      </w:r>
      <w:proofErr w:type="spellEnd"/>
      <w:r w:rsidRPr="00E77DED">
        <w:rPr>
          <w:lang w:val="lt-LT"/>
        </w:rPr>
        <w:t xml:space="preserve"> iki 555 </w:t>
      </w:r>
      <w:proofErr w:type="spellStart"/>
      <w:r w:rsidRPr="00E77DED">
        <w:rPr>
          <w:lang w:val="lt-LT"/>
        </w:rPr>
        <w:t>Eur</w:t>
      </w:r>
      <w:proofErr w:type="spellEnd"/>
      <w:r w:rsidRPr="00E77DED">
        <w:rPr>
          <w:lang w:val="lt-LT"/>
        </w:rPr>
        <w:t xml:space="preserve">, dėl nuolat mažėjančio pervežamų keleivių skaičiaus Savivaldybė kiekvienais metais, siekdama užtikrinti </w:t>
      </w:r>
      <w:r w:rsidRPr="00E77DED">
        <w:rPr>
          <w:noProof/>
          <w:lang w:val="lt-LT"/>
        </w:rPr>
        <w:t>viešąją keleivių pervežimo Molėtų rajono savivaldybės vietiniais maršrutais paslaugą (toliau – paslauga)</w:t>
      </w:r>
      <w:r w:rsidRPr="00E77DED">
        <w:rPr>
          <w:lang w:val="lt-LT"/>
        </w:rPr>
        <w:t xml:space="preserve">, skiria vis didesnę dotaciją nuostoliams </w:t>
      </w:r>
      <w:r w:rsidRPr="00E77DED">
        <w:rPr>
          <w:noProof/>
          <w:lang w:val="lt-LT"/>
        </w:rPr>
        <w:t xml:space="preserve">keleivių pervežimui vietiniais maršrutais </w:t>
      </w:r>
      <w:r w:rsidRPr="00E77DED">
        <w:rPr>
          <w:lang w:val="lt-LT"/>
        </w:rPr>
        <w:t>padengti.</w:t>
      </w:r>
      <w:r w:rsidR="00C21118" w:rsidRPr="00E77DED">
        <w:rPr>
          <w:lang w:val="lt-LT"/>
        </w:rPr>
        <w:t xml:space="preserve"> Pateikiama </w:t>
      </w:r>
      <w:r w:rsidR="004039F8" w:rsidRPr="00E77DED">
        <w:rPr>
          <w:lang w:val="lt-LT"/>
        </w:rPr>
        <w:t xml:space="preserve">Bendrovės informacija apie </w:t>
      </w:r>
      <w:r w:rsidR="00C21118" w:rsidRPr="00E77DED">
        <w:rPr>
          <w:color w:val="000000"/>
          <w:lang w:val="lt-LT"/>
        </w:rPr>
        <w:t>vežimo sąnaud</w:t>
      </w:r>
      <w:r w:rsidR="004039F8" w:rsidRPr="00E77DED">
        <w:rPr>
          <w:color w:val="000000"/>
          <w:lang w:val="lt-LT"/>
        </w:rPr>
        <w:t>as</w:t>
      </w:r>
      <w:r w:rsidR="00C21118" w:rsidRPr="00E77DED">
        <w:rPr>
          <w:color w:val="000000"/>
          <w:lang w:val="lt-LT"/>
        </w:rPr>
        <w:t>, gautų pajamų pokyči</w:t>
      </w:r>
      <w:r w:rsidR="004039F8" w:rsidRPr="00E77DED">
        <w:rPr>
          <w:color w:val="000000"/>
          <w:lang w:val="lt-LT"/>
        </w:rPr>
        <w:t>us</w:t>
      </w:r>
      <w:r w:rsidR="00C21118" w:rsidRPr="00E77DED">
        <w:rPr>
          <w:color w:val="000000"/>
          <w:lang w:val="lt-LT"/>
        </w:rPr>
        <w:t>:</w:t>
      </w:r>
    </w:p>
    <w:p w:rsidR="00071714" w:rsidRPr="00E77DED" w:rsidRDefault="000D464F" w:rsidP="008C1B61">
      <w:pPr>
        <w:pStyle w:val="Sraopastraipa"/>
        <w:numPr>
          <w:ilvl w:val="0"/>
          <w:numId w:val="5"/>
        </w:numPr>
        <w:tabs>
          <w:tab w:val="left" w:pos="1247"/>
        </w:tabs>
        <w:spacing w:line="360" w:lineRule="auto"/>
        <w:jc w:val="both"/>
      </w:pPr>
      <w:r w:rsidRPr="00E77DED">
        <w:rPr>
          <w:noProof/>
        </w:rPr>
        <w:t>V</w:t>
      </w:r>
      <w:r w:rsidR="00C21118" w:rsidRPr="00E77DED">
        <w:rPr>
          <w:noProof/>
        </w:rPr>
        <w:t>ietinio susisiekimo</w:t>
      </w:r>
      <w:r w:rsidR="00071714" w:rsidRPr="00E77DED">
        <w:t xml:space="preserve"> maršrutų pajamų 2</w:t>
      </w:r>
      <w:r w:rsidR="00C21118" w:rsidRPr="00E77DED">
        <w:t>010</w:t>
      </w:r>
      <w:r w:rsidR="004039F8" w:rsidRPr="00E77DED">
        <w:t xml:space="preserve"> metų</w:t>
      </w:r>
      <w:r w:rsidR="00C21118" w:rsidRPr="00E77DED">
        <w:t xml:space="preserve"> ir</w:t>
      </w:r>
      <w:r w:rsidR="00071714" w:rsidRPr="00E77DED">
        <w:t xml:space="preserve"> 201</w:t>
      </w:r>
      <w:r w:rsidR="00C21118" w:rsidRPr="00E77DED">
        <w:t>8</w:t>
      </w:r>
      <w:r w:rsidR="00071714" w:rsidRPr="00E77DED">
        <w:t xml:space="preserve"> metų palyginimas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3256"/>
        <w:gridCol w:w="1134"/>
        <w:gridCol w:w="1116"/>
        <w:gridCol w:w="4129"/>
      </w:tblGrid>
      <w:tr w:rsidR="00071714" w:rsidRPr="00E77DED" w:rsidTr="00E77DED">
        <w:trPr>
          <w:trHeight w:val="6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 w:eastAsia="lt-LT"/>
              </w:rPr>
            </w:pPr>
            <w:r w:rsidRPr="00E77DED">
              <w:rPr>
                <w:color w:val="000000"/>
                <w:lang w:val="lt-LT"/>
              </w:rPr>
              <w:t> </w:t>
            </w:r>
            <w:r w:rsidR="000D464F" w:rsidRPr="00E77DED">
              <w:rPr>
                <w:color w:val="000000"/>
                <w:lang w:val="lt-LT"/>
              </w:rPr>
              <w:t>Pajamos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2010 m.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2018 m.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Pajamų palyginimas 2010 m. ir 2010 m.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U</w:t>
            </w:r>
            <w:r w:rsidR="00071714" w:rsidRPr="00E77DED">
              <w:rPr>
                <w:color w:val="000000"/>
                <w:lang w:val="lt-LT"/>
              </w:rPr>
              <w:t>ž parduotus bilietus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30246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28011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-2235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D464F" w:rsidP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Už rajono mokinių</w:t>
            </w:r>
            <w:r w:rsidR="00071714" w:rsidRPr="00E77DED">
              <w:rPr>
                <w:color w:val="000000"/>
                <w:lang w:val="lt-LT"/>
              </w:rPr>
              <w:t xml:space="preserve"> vežim</w:t>
            </w:r>
            <w:r w:rsidRPr="00E77DED">
              <w:rPr>
                <w:color w:val="000000"/>
                <w:lang w:val="lt-LT"/>
              </w:rPr>
              <w:t>ą</w:t>
            </w:r>
            <w:r w:rsidR="00071714" w:rsidRPr="00E77DED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178713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88168,0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-90545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Lengvatų finansavimas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10157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9212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-945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77397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205000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127603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 w:rsidP="000D464F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  <w:r w:rsidR="000D464F" w:rsidRPr="00E77DED">
              <w:rPr>
                <w:color w:val="000000"/>
                <w:lang w:val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296513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330391,0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33878</w:t>
            </w:r>
          </w:p>
        </w:tc>
      </w:tr>
    </w:tbl>
    <w:p w:rsidR="00071714" w:rsidRPr="00E77DED" w:rsidRDefault="00071714" w:rsidP="001A1418">
      <w:pPr>
        <w:tabs>
          <w:tab w:val="left" w:pos="1247"/>
        </w:tabs>
        <w:jc w:val="both"/>
        <w:rPr>
          <w:lang w:val="lt-LT"/>
        </w:rPr>
      </w:pPr>
    </w:p>
    <w:p w:rsidR="00071714" w:rsidRPr="00E77DED" w:rsidRDefault="00071714" w:rsidP="001A1418">
      <w:pPr>
        <w:pStyle w:val="Sraopastraipa"/>
        <w:numPr>
          <w:ilvl w:val="0"/>
          <w:numId w:val="5"/>
        </w:numPr>
        <w:tabs>
          <w:tab w:val="left" w:pos="1247"/>
        </w:tabs>
        <w:jc w:val="both"/>
      </w:pPr>
      <w:r w:rsidRPr="00E77DED">
        <w:t xml:space="preserve">2017 </w:t>
      </w:r>
      <w:r w:rsidR="004039F8" w:rsidRPr="00E77DED">
        <w:t xml:space="preserve">metų ir </w:t>
      </w:r>
      <w:r w:rsidRPr="00E77DED">
        <w:t>2018 m</w:t>
      </w:r>
      <w:r w:rsidR="008C1B61" w:rsidRPr="00E77DED">
        <w:t>etų pajamų ir sąnaudų rodikliai</w:t>
      </w:r>
      <w:r w:rsidRPr="00E77DED">
        <w:tab/>
      </w:r>
    </w:p>
    <w:tbl>
      <w:tblPr>
        <w:tblW w:w="9667" w:type="dxa"/>
        <w:tblLook w:val="04A0" w:firstRow="1" w:lastRow="0" w:firstColumn="1" w:lastColumn="0" w:noHBand="0" w:noVBand="1"/>
      </w:tblPr>
      <w:tblGrid>
        <w:gridCol w:w="3256"/>
        <w:gridCol w:w="1134"/>
        <w:gridCol w:w="1060"/>
        <w:gridCol w:w="4217"/>
      </w:tblGrid>
      <w:tr w:rsidR="00071714" w:rsidRPr="00E77DED" w:rsidTr="00E77DED">
        <w:trPr>
          <w:trHeight w:val="5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D464F">
            <w:pPr>
              <w:rPr>
                <w:bCs/>
                <w:color w:val="000000"/>
                <w:lang w:val="lt-LT" w:eastAsia="lt-LT"/>
              </w:rPr>
            </w:pPr>
            <w:r w:rsidRPr="00E77DED">
              <w:rPr>
                <w:bCs/>
                <w:color w:val="000000"/>
                <w:lang w:val="lt-LT"/>
              </w:rPr>
              <w:t>Pajamos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2017 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 xml:space="preserve">2018 m.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Palyginimas</w:t>
            </w:r>
          </w:p>
        </w:tc>
      </w:tr>
      <w:tr w:rsidR="008C1B61" w:rsidRPr="00E77DED" w:rsidTr="00E77DED">
        <w:trPr>
          <w:trHeight w:val="2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center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4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U</w:t>
            </w:r>
            <w:r w:rsidR="00071714" w:rsidRPr="00E77DED">
              <w:rPr>
                <w:color w:val="000000"/>
                <w:lang w:val="lt-LT"/>
              </w:rPr>
              <w:t>ž parduotus bilietus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26874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28011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1137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D464F" w:rsidP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Už r</w:t>
            </w:r>
            <w:r w:rsidR="00071714" w:rsidRPr="00E77DED">
              <w:rPr>
                <w:color w:val="000000"/>
                <w:lang w:val="lt-LT"/>
              </w:rPr>
              <w:t>ajono mokinių  vežim</w:t>
            </w:r>
            <w:r w:rsidRPr="00E77DED">
              <w:rPr>
                <w:color w:val="000000"/>
                <w:lang w:val="lt-LT"/>
              </w:rPr>
              <w:t>ą</w:t>
            </w:r>
            <w:r w:rsidR="00071714" w:rsidRPr="00E77DED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93995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88168,0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-5827,0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Lengvatų finansavimas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8632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9212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580</w:t>
            </w:r>
          </w:p>
        </w:tc>
      </w:tr>
      <w:tr w:rsidR="008C1B61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F2296F" w:rsidP="00E77DED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Iš v</w:t>
            </w:r>
            <w:r w:rsidR="008C1B61" w:rsidRPr="00E77DED">
              <w:rPr>
                <w:bCs/>
                <w:color w:val="000000"/>
                <w:lang w:val="lt-LT"/>
              </w:rPr>
              <w:t>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129501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125391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B61" w:rsidRPr="00E77DED" w:rsidRDefault="008C1B61" w:rsidP="008C1B61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-4110</w:t>
            </w:r>
          </w:p>
        </w:tc>
      </w:tr>
      <w:tr w:rsidR="008C1B61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61" w:rsidRPr="00E77DED" w:rsidRDefault="008C1B61" w:rsidP="008C1B61">
            <w:pPr>
              <w:jc w:val="center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61" w:rsidRPr="00E77DED" w:rsidRDefault="008C1B61" w:rsidP="008C1B61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61" w:rsidRPr="00E77DED" w:rsidRDefault="008C1B61" w:rsidP="008C1B61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B61" w:rsidRPr="00E77DED" w:rsidRDefault="008C1B61" w:rsidP="008C1B61">
            <w:pPr>
              <w:jc w:val="center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4</w:t>
            </w:r>
          </w:p>
        </w:tc>
      </w:tr>
      <w:tr w:rsidR="000D464F" w:rsidRPr="00E77DED" w:rsidTr="00E77DED">
        <w:trPr>
          <w:trHeight w:val="9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Dotacija nuostoliams padengti</w:t>
            </w:r>
          </w:p>
          <w:p w:rsidR="000D464F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priemiesčio maršrutuose</w:t>
            </w:r>
          </w:p>
          <w:p w:rsidR="000D464F" w:rsidRPr="00E77DED" w:rsidRDefault="000D464F" w:rsidP="00803A66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 xml:space="preserve">su 5% rentabilumu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E77DED" w:rsidRDefault="000D464F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185000</w:t>
            </w:r>
          </w:p>
          <w:p w:rsidR="000D464F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</w:p>
          <w:p w:rsidR="000D464F" w:rsidRPr="00E77DED" w:rsidRDefault="000D464F" w:rsidP="00441219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E77DED" w:rsidRDefault="000D464F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205000</w:t>
            </w:r>
          </w:p>
          <w:p w:rsidR="000D464F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</w:p>
          <w:p w:rsidR="000D464F" w:rsidRPr="00E77DED" w:rsidRDefault="000D464F" w:rsidP="00543717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64F" w:rsidRPr="00E77DED" w:rsidRDefault="000D464F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20000</w:t>
            </w:r>
          </w:p>
          <w:p w:rsidR="000D464F" w:rsidRPr="00E77DED" w:rsidRDefault="000D464F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</w:p>
          <w:p w:rsidR="000D464F" w:rsidRPr="00E77DED" w:rsidRDefault="000D464F" w:rsidP="00586299">
            <w:pPr>
              <w:rPr>
                <w:b/>
                <w:bCs/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 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 w:rsidP="00E77DED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314501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330391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714" w:rsidRPr="00E77DED" w:rsidRDefault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15890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>
            <w:pPr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>
            <w:pPr>
              <w:jc w:val="right"/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>
            <w:pPr>
              <w:jc w:val="right"/>
              <w:rPr>
                <w:b/>
                <w:bCs/>
                <w:color w:val="000000"/>
                <w:lang w:val="lt-LT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>
            <w:pPr>
              <w:jc w:val="right"/>
              <w:rPr>
                <w:b/>
                <w:bCs/>
                <w:color w:val="000000"/>
                <w:lang w:val="lt-LT"/>
              </w:rPr>
            </w:pP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D464F" w:rsidP="00071714">
            <w:pPr>
              <w:rPr>
                <w:bCs/>
                <w:color w:val="000000"/>
                <w:lang w:val="lt-LT" w:eastAsia="lt-LT"/>
              </w:rPr>
            </w:pPr>
            <w:r w:rsidRPr="00E77DED">
              <w:rPr>
                <w:bCs/>
                <w:color w:val="000000"/>
                <w:lang w:val="lt-LT"/>
              </w:rPr>
              <w:t>Sąnaudos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2017 m.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 xml:space="preserve">2018 m.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Palyginimas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Tiesioginės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158147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170540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12393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Netiesioginės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81494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86245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4751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Veiklos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54788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56802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color w:val="000000"/>
                <w:lang w:val="lt-LT"/>
              </w:rPr>
            </w:pPr>
            <w:r w:rsidRPr="00E77DED">
              <w:rPr>
                <w:color w:val="000000"/>
                <w:lang w:val="lt-LT"/>
              </w:rPr>
              <w:t>2014</w:t>
            </w:r>
          </w:p>
        </w:tc>
      </w:tr>
      <w:tr w:rsidR="00071714" w:rsidRPr="00E77DED" w:rsidTr="00E77DE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E77DED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 </w:t>
            </w:r>
            <w:r w:rsidR="004039F8" w:rsidRPr="00E77DED">
              <w:rPr>
                <w:bCs/>
                <w:color w:val="000000"/>
                <w:lang w:val="lt-LT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294429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313587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714" w:rsidRPr="00E77DED" w:rsidRDefault="00071714" w:rsidP="00071714">
            <w:pPr>
              <w:jc w:val="right"/>
              <w:rPr>
                <w:bCs/>
                <w:color w:val="000000"/>
                <w:lang w:val="lt-LT"/>
              </w:rPr>
            </w:pPr>
            <w:r w:rsidRPr="00E77DED">
              <w:rPr>
                <w:bCs/>
                <w:color w:val="000000"/>
                <w:lang w:val="lt-LT"/>
              </w:rPr>
              <w:t>19158</w:t>
            </w:r>
          </w:p>
        </w:tc>
      </w:tr>
    </w:tbl>
    <w:p w:rsidR="00C21118" w:rsidRPr="00E77DED" w:rsidRDefault="00C21118" w:rsidP="001A1418">
      <w:pPr>
        <w:pStyle w:val="Sraopastraipa"/>
        <w:tabs>
          <w:tab w:val="left" w:pos="1247"/>
        </w:tabs>
        <w:ind w:left="1069"/>
        <w:jc w:val="both"/>
      </w:pPr>
      <w:bookmarkStart w:id="0" w:name="_GoBack"/>
      <w:bookmarkEnd w:id="0"/>
    </w:p>
    <w:p w:rsidR="00F2296F" w:rsidRPr="00E77DED" w:rsidRDefault="00F2296F" w:rsidP="00F2296F">
      <w:pPr>
        <w:pStyle w:val="Sraopastraipa"/>
        <w:numPr>
          <w:ilvl w:val="0"/>
          <w:numId w:val="5"/>
        </w:numPr>
        <w:tabs>
          <w:tab w:val="left" w:pos="1247"/>
        </w:tabs>
        <w:spacing w:line="360" w:lineRule="auto"/>
        <w:jc w:val="both"/>
      </w:pPr>
      <w:r w:rsidRPr="00E77DED">
        <w:t>Įvertinus pravažiuotus kilometrus ir patirtas sąnaudas pateikiama 1 kilometro savikaina: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183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F2296F" w:rsidRPr="00E77DED" w:rsidTr="00C21118">
        <w:tc>
          <w:tcPr>
            <w:tcW w:w="1183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Metai</w:t>
            </w:r>
          </w:p>
        </w:tc>
        <w:tc>
          <w:tcPr>
            <w:tcW w:w="938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2010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2011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2012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2013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2014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2015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2016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2017</w:t>
            </w:r>
          </w:p>
        </w:tc>
        <w:tc>
          <w:tcPr>
            <w:tcW w:w="939" w:type="dxa"/>
          </w:tcPr>
          <w:p w:rsidR="00F2296F" w:rsidRPr="00E77DED" w:rsidRDefault="00F2296F" w:rsidP="00F2296F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E77DED">
              <w:t>2018</w:t>
            </w:r>
          </w:p>
        </w:tc>
      </w:tr>
      <w:tr w:rsidR="00F2296F" w:rsidRPr="00E77DED" w:rsidTr="00C21118">
        <w:tc>
          <w:tcPr>
            <w:tcW w:w="1183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</w:pPr>
            <w:r w:rsidRPr="00E77DED">
              <w:t>1 km savikaina</w:t>
            </w:r>
            <w:r w:rsidR="00C21118" w:rsidRPr="00E77DED">
              <w:t xml:space="preserve">, </w:t>
            </w:r>
            <w:proofErr w:type="spellStart"/>
            <w:r w:rsidR="00C21118" w:rsidRPr="00E77DED">
              <w:t>Eur</w:t>
            </w:r>
            <w:proofErr w:type="spellEnd"/>
          </w:p>
        </w:tc>
        <w:tc>
          <w:tcPr>
            <w:tcW w:w="938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0,99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0,96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0,97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1,04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1,00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0,98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1,02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0,98</w:t>
            </w:r>
          </w:p>
        </w:tc>
        <w:tc>
          <w:tcPr>
            <w:tcW w:w="939" w:type="dxa"/>
          </w:tcPr>
          <w:p w:rsidR="00F2296F" w:rsidRPr="00E77DED" w:rsidRDefault="00F2296F" w:rsidP="00C21118">
            <w:pPr>
              <w:pStyle w:val="Sraopastraipa"/>
              <w:tabs>
                <w:tab w:val="left" w:pos="1247"/>
              </w:tabs>
              <w:ind w:left="0"/>
              <w:jc w:val="both"/>
            </w:pPr>
            <w:r w:rsidRPr="00E77DED">
              <w:t>1,00</w:t>
            </w:r>
          </w:p>
        </w:tc>
      </w:tr>
    </w:tbl>
    <w:p w:rsidR="00C21118" w:rsidRPr="000D464F" w:rsidRDefault="00C21118" w:rsidP="00C21118">
      <w:pPr>
        <w:pStyle w:val="Sraopastraipa"/>
        <w:tabs>
          <w:tab w:val="left" w:pos="1247"/>
        </w:tabs>
        <w:spacing w:line="360" w:lineRule="auto"/>
        <w:ind w:left="0" w:firstLine="709"/>
        <w:jc w:val="both"/>
      </w:pPr>
      <w:r w:rsidRPr="00E77DED">
        <w:t xml:space="preserve">Atsižvelgus į paskaičiuotą vidutinę Bendrovės 1 km savikainą </w:t>
      </w:r>
      <w:r w:rsidRPr="00E77DED">
        <w:rPr>
          <w:noProof/>
        </w:rPr>
        <w:t>vietinio susisiekimo</w:t>
      </w:r>
      <w:r w:rsidRPr="00C21118">
        <w:t xml:space="preserve"> </w:t>
      </w:r>
      <w:r w:rsidRPr="000D464F">
        <w:t xml:space="preserve">maršrutuose prašoma nustatyti mažiausią vienkartinio bilieto kainą 0,55 </w:t>
      </w:r>
      <w:proofErr w:type="spellStart"/>
      <w:r w:rsidRPr="000D464F">
        <w:t>Eur</w:t>
      </w:r>
      <w:proofErr w:type="spellEnd"/>
      <w:r w:rsidRPr="000D464F">
        <w:t>.</w:t>
      </w:r>
      <w:r w:rsidR="004039F8" w:rsidRPr="000D464F">
        <w:t xml:space="preserve"> Taip pat planuojamas vietinio susisiekimo maršrutas iš </w:t>
      </w:r>
      <w:proofErr w:type="spellStart"/>
      <w:r w:rsidR="004039F8" w:rsidRPr="000D464F">
        <w:t>Luokesos</w:t>
      </w:r>
      <w:proofErr w:type="spellEnd"/>
      <w:r w:rsidR="000D464F" w:rsidRPr="000D464F">
        <w:t xml:space="preserve"> k.</w:t>
      </w:r>
      <w:r w:rsidR="004039F8" w:rsidRPr="000D464F">
        <w:t xml:space="preserve"> toliau važiuojant </w:t>
      </w:r>
      <w:r w:rsidR="000D464F">
        <w:t xml:space="preserve">Molėtų </w:t>
      </w:r>
      <w:r w:rsidR="004039F8" w:rsidRPr="000D464F">
        <w:t>miesto maršrutu, todėl reikalinga mažiausia bilieto kaina, kuri atitiktų miesto maršrutų bilietų kainas. Miesto maršrutuose bilieto kaina yra vienoda, nepriklausomai nuo važiuoto atstumo.</w:t>
      </w:r>
    </w:p>
    <w:p w:rsidR="00C21118" w:rsidRPr="004039F8" w:rsidRDefault="004039F8" w:rsidP="004039F8">
      <w:pPr>
        <w:pStyle w:val="Sraopastraipa"/>
        <w:numPr>
          <w:ilvl w:val="0"/>
          <w:numId w:val="5"/>
        </w:numPr>
        <w:tabs>
          <w:tab w:val="left" w:pos="1247"/>
        </w:tabs>
        <w:spacing w:line="360" w:lineRule="auto"/>
      </w:pPr>
      <w:r w:rsidRPr="004039F8">
        <w:t>S</w:t>
      </w:r>
      <w:r w:rsidR="000D464F">
        <w:t>kaičiuojama keleivio 1 km</w:t>
      </w:r>
      <w:r w:rsidR="00C21118" w:rsidRPr="004039F8">
        <w:t xml:space="preserve"> savikaina, kuri gaunama pagal formulę:</w:t>
      </w:r>
      <w:r w:rsidR="00C21118" w:rsidRPr="004039F8">
        <w:br/>
      </w:r>
      <w:r w:rsidRPr="004039F8">
        <w:t>4.</w:t>
      </w:r>
      <w:r w:rsidR="00C21118" w:rsidRPr="004039F8">
        <w:t>1.</w:t>
      </w:r>
      <w:r w:rsidRPr="004039F8">
        <w:t xml:space="preserve"> </w:t>
      </w:r>
      <w:r w:rsidR="00C21118" w:rsidRPr="004039F8">
        <w:t>Pajamos / patvirtintas tarifas = keleivių kilometrai;</w:t>
      </w:r>
      <w:r w:rsidR="00C21118" w:rsidRPr="004039F8">
        <w:br/>
      </w:r>
      <w:r w:rsidRPr="004039F8">
        <w:t>4.</w:t>
      </w:r>
      <w:r w:rsidR="00C21118" w:rsidRPr="004039F8">
        <w:t>2. Sąnaudos / keleivių kilomet</w:t>
      </w:r>
      <w:r>
        <w:t>rai = keleivio 1 km. savikaina.</w:t>
      </w:r>
      <w:r w:rsidR="003E3FB7" w:rsidRPr="004039F8">
        <w:rPr>
          <w:bCs/>
          <w:color w:val="000000"/>
        </w:rPr>
        <w:t xml:space="preserve"> 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183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C21118" w:rsidTr="00344AD7">
        <w:tc>
          <w:tcPr>
            <w:tcW w:w="1183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Metai</w:t>
            </w:r>
          </w:p>
        </w:tc>
        <w:tc>
          <w:tcPr>
            <w:tcW w:w="938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2010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2011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2012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2013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2014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2015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2016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2017</w:t>
            </w:r>
          </w:p>
        </w:tc>
        <w:tc>
          <w:tcPr>
            <w:tcW w:w="939" w:type="dxa"/>
          </w:tcPr>
          <w:p w:rsidR="00C21118" w:rsidRDefault="00C2111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>
              <w:t>2018</w:t>
            </w:r>
          </w:p>
        </w:tc>
      </w:tr>
      <w:tr w:rsidR="00C21118" w:rsidRPr="004039F8" w:rsidTr="00344AD7">
        <w:tc>
          <w:tcPr>
            <w:tcW w:w="1183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ind w:left="0"/>
            </w:pPr>
            <w:r w:rsidRPr="004039F8">
              <w:t xml:space="preserve">Keleivio </w:t>
            </w:r>
            <w:r w:rsidR="00C21118" w:rsidRPr="004039F8">
              <w:t xml:space="preserve">1 km savikaina, </w:t>
            </w:r>
            <w:proofErr w:type="spellStart"/>
            <w:r w:rsidR="00C21118" w:rsidRPr="004039F8">
              <w:t>Eur</w:t>
            </w:r>
            <w:proofErr w:type="spellEnd"/>
          </w:p>
        </w:tc>
        <w:tc>
          <w:tcPr>
            <w:tcW w:w="938" w:type="dxa"/>
          </w:tcPr>
          <w:p w:rsidR="00C21118" w:rsidRPr="004039F8" w:rsidRDefault="00C21118" w:rsidP="004039F8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</w:t>
            </w:r>
            <w:r w:rsidR="004039F8" w:rsidRPr="004039F8">
              <w:t>11</w:t>
            </w:r>
          </w:p>
        </w:tc>
        <w:tc>
          <w:tcPr>
            <w:tcW w:w="939" w:type="dxa"/>
          </w:tcPr>
          <w:p w:rsidR="00C21118" w:rsidRPr="004039F8" w:rsidRDefault="00C21118" w:rsidP="004039F8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</w:t>
            </w:r>
            <w:r w:rsidR="004039F8" w:rsidRPr="004039F8">
              <w:t>12</w:t>
            </w:r>
          </w:p>
        </w:tc>
        <w:tc>
          <w:tcPr>
            <w:tcW w:w="939" w:type="dxa"/>
          </w:tcPr>
          <w:p w:rsidR="00C21118" w:rsidRPr="004039F8" w:rsidRDefault="00C21118" w:rsidP="004039F8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</w:t>
            </w:r>
            <w:r w:rsidR="004039F8" w:rsidRPr="004039F8">
              <w:t>12</w:t>
            </w:r>
          </w:p>
        </w:tc>
        <w:tc>
          <w:tcPr>
            <w:tcW w:w="939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0,14</w:t>
            </w:r>
          </w:p>
        </w:tc>
        <w:tc>
          <w:tcPr>
            <w:tcW w:w="939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0,14</w:t>
            </w:r>
          </w:p>
        </w:tc>
        <w:tc>
          <w:tcPr>
            <w:tcW w:w="939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0,16</w:t>
            </w:r>
          </w:p>
        </w:tc>
        <w:tc>
          <w:tcPr>
            <w:tcW w:w="939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0,18</w:t>
            </w:r>
          </w:p>
        </w:tc>
        <w:tc>
          <w:tcPr>
            <w:tcW w:w="939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0,18</w:t>
            </w:r>
          </w:p>
        </w:tc>
        <w:tc>
          <w:tcPr>
            <w:tcW w:w="939" w:type="dxa"/>
          </w:tcPr>
          <w:p w:rsidR="00C21118" w:rsidRPr="004039F8" w:rsidRDefault="004039F8" w:rsidP="00344AD7">
            <w:pPr>
              <w:pStyle w:val="Sraopastraipa"/>
              <w:tabs>
                <w:tab w:val="left" w:pos="1247"/>
              </w:tabs>
              <w:spacing w:line="360" w:lineRule="auto"/>
              <w:ind w:left="0"/>
              <w:jc w:val="both"/>
            </w:pPr>
            <w:r w:rsidRPr="004039F8">
              <w:t>0,20</w:t>
            </w:r>
          </w:p>
        </w:tc>
      </w:tr>
    </w:tbl>
    <w:p w:rsidR="009659A9" w:rsidRPr="003E3FB7" w:rsidRDefault="003E3FB7" w:rsidP="006578DF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4039F8">
        <w:rPr>
          <w:lang w:val="lt-LT"/>
        </w:rPr>
        <w:t xml:space="preserve"> </w:t>
      </w:r>
      <w:r w:rsidR="004039F8" w:rsidRPr="004039F8">
        <w:rPr>
          <w:lang w:val="lt-LT"/>
        </w:rPr>
        <w:t>Atsižvelgus į paskaičiuotą vidutinę keleivio 1 km savikainą prašoma patvirtinti tarifą - 0,11</w:t>
      </w:r>
      <w:r w:rsidR="004039F8" w:rsidRPr="004039F8">
        <w:t xml:space="preserve"> Eur.</w:t>
      </w:r>
    </w:p>
    <w:p w:rsidR="00DD5C8C" w:rsidRDefault="00DD5C8C" w:rsidP="00145270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145270">
        <w:rPr>
          <w:lang w:val="lt-LT"/>
        </w:rPr>
        <w:t xml:space="preserve">Šio sprendimo tikslas - </w:t>
      </w:r>
      <w:r w:rsidR="00145270" w:rsidRPr="003E3FB7">
        <w:rPr>
          <w:lang w:val="lt-LT"/>
        </w:rPr>
        <w:t xml:space="preserve">nustatyti </w:t>
      </w:r>
      <w:r w:rsidR="003A5463">
        <w:rPr>
          <w:lang w:val="lt-LT"/>
        </w:rPr>
        <w:t xml:space="preserve">nuo 2019 m. lapkričio 1 d. </w:t>
      </w:r>
      <w:r w:rsidR="00145270" w:rsidRPr="003E3FB7">
        <w:rPr>
          <w:lang w:val="lt-LT"/>
        </w:rPr>
        <w:t>keleivių vežimo reguliariaisiais reisais vietinio susisiekimo maršrutuose tarifą - 0,11 euro be pridėtinės vertės mokesčio už vieną keleivio kilometrą ir mažiausią vienkartinio bilieto kainą – 0,55 euro be pridėtinės vertės mokesčio.</w:t>
      </w:r>
    </w:p>
    <w:p w:rsidR="00DD5C8C" w:rsidRDefault="00DD5C8C" w:rsidP="00C14706">
      <w:pPr>
        <w:spacing w:line="360" w:lineRule="auto"/>
        <w:ind w:firstLine="709"/>
        <w:jc w:val="both"/>
        <w:rPr>
          <w:b/>
          <w:lang w:val="lt-LT"/>
        </w:rPr>
      </w:pPr>
      <w:r w:rsidRPr="00CB7E62">
        <w:rPr>
          <w:b/>
          <w:lang w:val="lt-LT"/>
        </w:rPr>
        <w:t>2. Šiuo metu esantis teisinis reglamentavimas</w:t>
      </w:r>
      <w:r w:rsidR="00EA50D4">
        <w:rPr>
          <w:b/>
          <w:lang w:val="lt-LT"/>
        </w:rPr>
        <w:t>:</w:t>
      </w:r>
      <w:r>
        <w:rPr>
          <w:b/>
          <w:lang w:val="lt-LT"/>
        </w:rPr>
        <w:t xml:space="preserve"> </w:t>
      </w:r>
    </w:p>
    <w:p w:rsidR="006578DF" w:rsidRPr="00145270" w:rsidRDefault="006578DF" w:rsidP="00145270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145270">
        <w:rPr>
          <w:lang w:val="lt-LT"/>
        </w:rPr>
        <w:t>Lietuvos Respublikos vietos savivaldos įstatymo 16 straipsnio 2 dalies 37</w:t>
      </w:r>
      <w:r w:rsidR="00145270">
        <w:rPr>
          <w:lang w:val="lt-LT"/>
        </w:rPr>
        <w:t xml:space="preserve"> punktas, 18 straipsnio 1 dalis;</w:t>
      </w:r>
      <w:r w:rsidRPr="00145270">
        <w:rPr>
          <w:lang w:val="lt-LT"/>
        </w:rPr>
        <w:t xml:space="preserve"> </w:t>
      </w:r>
    </w:p>
    <w:p w:rsidR="006578DF" w:rsidRPr="00145270" w:rsidRDefault="006578DF" w:rsidP="00145270">
      <w:pPr>
        <w:tabs>
          <w:tab w:val="left" w:pos="1247"/>
        </w:tabs>
        <w:spacing w:line="360" w:lineRule="auto"/>
        <w:ind w:firstLine="709"/>
        <w:jc w:val="both"/>
        <w:rPr>
          <w:lang w:val="lt-LT"/>
        </w:rPr>
      </w:pPr>
      <w:r w:rsidRPr="00145270">
        <w:rPr>
          <w:lang w:val="lt-LT"/>
        </w:rPr>
        <w:t>Lietuvos Respublikos kelių transporto</w:t>
      </w:r>
      <w:r w:rsidR="00145270">
        <w:rPr>
          <w:lang w:val="lt-LT"/>
        </w:rPr>
        <w:t xml:space="preserve"> kodekso 16 straipsnio 2 dalis.</w:t>
      </w:r>
      <w:r w:rsidRPr="00145270">
        <w:rPr>
          <w:lang w:val="lt-LT"/>
        </w:rPr>
        <w:t xml:space="preserve"> 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</w:p>
    <w:p w:rsidR="00DD5C8C" w:rsidRDefault="00DD5C8C" w:rsidP="00C14706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lastRenderedPageBreak/>
        <w:t>Teigiamos pasekmės –</w:t>
      </w:r>
      <w:r w:rsidR="004D5376">
        <w:rPr>
          <w:lang w:val="lt-LT"/>
        </w:rPr>
        <w:t xml:space="preserve"> </w:t>
      </w:r>
      <w:r w:rsidR="00145270">
        <w:rPr>
          <w:lang w:val="lt-LT"/>
        </w:rPr>
        <w:t xml:space="preserve">nustatytas didesnis </w:t>
      </w:r>
      <w:r w:rsidR="00145270" w:rsidRPr="003E3FB7">
        <w:rPr>
          <w:lang w:val="lt-LT"/>
        </w:rPr>
        <w:t>keleivių vežimo reguliariaisiais reisais vietinio susisiekimo maršrutuose tarif</w:t>
      </w:r>
      <w:r w:rsidR="00145270">
        <w:rPr>
          <w:lang w:val="lt-LT"/>
        </w:rPr>
        <w:t xml:space="preserve">as padidins Bendrovės, kuri šiuo metu teikia paslaugą, pajamas ir sumažins Savivaldybės </w:t>
      </w:r>
      <w:r w:rsidR="00145270" w:rsidRPr="003E3FB7">
        <w:rPr>
          <w:lang w:val="lt-LT"/>
        </w:rPr>
        <w:t xml:space="preserve">dotaciją nuostoliams </w:t>
      </w:r>
      <w:r w:rsidR="00145270" w:rsidRPr="003E3FB7">
        <w:rPr>
          <w:noProof/>
          <w:lang w:val="lt-LT"/>
        </w:rPr>
        <w:t xml:space="preserve">keleivių pervežimui vietiniais maršrutais </w:t>
      </w:r>
      <w:r w:rsidR="00145270" w:rsidRPr="003E3FB7">
        <w:rPr>
          <w:lang w:val="lt-LT"/>
        </w:rPr>
        <w:t>padengti</w:t>
      </w:r>
      <w:r w:rsidR="00145270">
        <w:rPr>
          <w:lang w:val="lt-LT"/>
        </w:rPr>
        <w:t>.</w:t>
      </w:r>
    </w:p>
    <w:p w:rsidR="00DD5C8C" w:rsidRDefault="00DD5C8C" w:rsidP="00C14706">
      <w:pPr>
        <w:spacing w:line="360" w:lineRule="auto"/>
        <w:ind w:right="-1" w:firstLine="709"/>
        <w:jc w:val="both"/>
        <w:rPr>
          <w:lang w:val="lt-LT"/>
        </w:rPr>
      </w:pPr>
      <w:r>
        <w:rPr>
          <w:lang w:val="lt-LT"/>
        </w:rPr>
        <w:t>Neigiam</w:t>
      </w:r>
      <w:r w:rsidR="00145270">
        <w:rPr>
          <w:lang w:val="lt-LT"/>
        </w:rPr>
        <w:t>os</w:t>
      </w:r>
      <w:r>
        <w:rPr>
          <w:lang w:val="lt-LT"/>
        </w:rPr>
        <w:t xml:space="preserve"> pasekm</w:t>
      </w:r>
      <w:r w:rsidR="00145270">
        <w:rPr>
          <w:lang w:val="lt-LT"/>
        </w:rPr>
        <w:t xml:space="preserve">ės – </w:t>
      </w:r>
      <w:r w:rsidR="00145270" w:rsidRPr="003E3FB7">
        <w:rPr>
          <w:noProof/>
          <w:lang w:val="lt-LT"/>
        </w:rPr>
        <w:t xml:space="preserve">vietiniais maršrutais </w:t>
      </w:r>
      <w:r w:rsidR="003A5463">
        <w:rPr>
          <w:noProof/>
          <w:lang w:val="lt-LT"/>
        </w:rPr>
        <w:t xml:space="preserve">važiuojantys </w:t>
      </w:r>
      <w:r w:rsidR="00145270">
        <w:rPr>
          <w:lang w:val="lt-LT"/>
        </w:rPr>
        <w:t>keleiviai patirs didesnes išlaidas</w:t>
      </w:r>
      <w:r>
        <w:rPr>
          <w:lang w:val="lt-LT"/>
        </w:rPr>
        <w:t>.</w:t>
      </w:r>
    </w:p>
    <w:p w:rsidR="00DD5C8C" w:rsidRDefault="00DD5C8C" w:rsidP="00C1470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4. Priemonės sprendimui įgyvendinti</w:t>
      </w:r>
    </w:p>
    <w:p w:rsidR="00DD5C8C" w:rsidRDefault="003A5463" w:rsidP="00C14706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Vykdyti Molėtų rajono savivaldybės tarybos sprendimą.</w:t>
      </w:r>
    </w:p>
    <w:p w:rsidR="00DD5C8C" w:rsidRDefault="00DD5C8C" w:rsidP="00C14706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</w:p>
    <w:p w:rsidR="00DD5C8C" w:rsidRDefault="00DD5C8C" w:rsidP="00C14706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Nėra.</w:t>
      </w:r>
    </w:p>
    <w:p w:rsidR="00DD5C8C" w:rsidRDefault="00DD5C8C" w:rsidP="00C1470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5B6E2B">
        <w:rPr>
          <w:b/>
          <w:lang w:val="lt-LT"/>
        </w:rPr>
        <w:t xml:space="preserve"> </w:t>
      </w:r>
      <w:r>
        <w:rPr>
          <w:b/>
          <w:lang w:val="lt-LT"/>
        </w:rPr>
        <w:t xml:space="preserve">Vykdytojai, įvykdymo terminai </w:t>
      </w:r>
    </w:p>
    <w:p w:rsidR="00DD5C8C" w:rsidRDefault="003A5463" w:rsidP="00C14706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5D2B5C">
        <w:rPr>
          <w:bCs/>
          <w:lang w:val="lt-LT"/>
        </w:rPr>
        <w:t>UAB M</w:t>
      </w:r>
      <w:r>
        <w:rPr>
          <w:bCs/>
          <w:lang w:val="lt-LT"/>
        </w:rPr>
        <w:t>olėtų autobusų parkas</w:t>
      </w:r>
      <w:r w:rsidR="00DD5C8C">
        <w:rPr>
          <w:lang w:val="lt-LT"/>
        </w:rPr>
        <w:t>.</w:t>
      </w:r>
      <w:r>
        <w:rPr>
          <w:lang w:val="lt-LT"/>
        </w:rPr>
        <w:t xml:space="preserve"> Sprendimas įsigalioja nuo 2019 m. lapkričio 1 d.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1A1418">
      <w:headerReference w:type="even" r:id="rId7"/>
      <w:headerReference w:type="default" r:id="rId8"/>
      <w:pgSz w:w="11906" w:h="16838"/>
      <w:pgMar w:top="284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16" w:rsidRDefault="008A2516">
      <w:r>
        <w:separator/>
      </w:r>
    </w:p>
  </w:endnote>
  <w:endnote w:type="continuationSeparator" w:id="0">
    <w:p w:rsidR="008A2516" w:rsidRDefault="008A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16" w:rsidRDefault="008A2516">
      <w:r>
        <w:separator/>
      </w:r>
    </w:p>
  </w:footnote>
  <w:footnote w:type="continuationSeparator" w:id="0">
    <w:p w:rsidR="008A2516" w:rsidRDefault="008A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141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488A"/>
    <w:multiLevelType w:val="hybridMultilevel"/>
    <w:tmpl w:val="2974D3B8"/>
    <w:lvl w:ilvl="0" w:tplc="E2C65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E3D24E1"/>
    <w:multiLevelType w:val="hybridMultilevel"/>
    <w:tmpl w:val="31005AE6"/>
    <w:lvl w:ilvl="0" w:tplc="7174D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1714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D464F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45270"/>
    <w:rsid w:val="00147963"/>
    <w:rsid w:val="001511DE"/>
    <w:rsid w:val="001645C1"/>
    <w:rsid w:val="00164C53"/>
    <w:rsid w:val="00172794"/>
    <w:rsid w:val="00185F84"/>
    <w:rsid w:val="001A1418"/>
    <w:rsid w:val="001B26BF"/>
    <w:rsid w:val="001B699C"/>
    <w:rsid w:val="001C430D"/>
    <w:rsid w:val="001F3745"/>
    <w:rsid w:val="001F7F87"/>
    <w:rsid w:val="00201897"/>
    <w:rsid w:val="0020366D"/>
    <w:rsid w:val="00203A06"/>
    <w:rsid w:val="00204EB1"/>
    <w:rsid w:val="002144C8"/>
    <w:rsid w:val="0022181E"/>
    <w:rsid w:val="002232CB"/>
    <w:rsid w:val="002278B2"/>
    <w:rsid w:val="0023042A"/>
    <w:rsid w:val="002361B3"/>
    <w:rsid w:val="00236A66"/>
    <w:rsid w:val="00237886"/>
    <w:rsid w:val="00252E69"/>
    <w:rsid w:val="00257A91"/>
    <w:rsid w:val="00260F3D"/>
    <w:rsid w:val="00273696"/>
    <w:rsid w:val="00274431"/>
    <w:rsid w:val="0027582C"/>
    <w:rsid w:val="002874A3"/>
    <w:rsid w:val="00287779"/>
    <w:rsid w:val="002A351A"/>
    <w:rsid w:val="002A56FA"/>
    <w:rsid w:val="002A6F23"/>
    <w:rsid w:val="002C17E7"/>
    <w:rsid w:val="002C3E52"/>
    <w:rsid w:val="002C57AB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931FD"/>
    <w:rsid w:val="003A0473"/>
    <w:rsid w:val="003A3A77"/>
    <w:rsid w:val="003A5463"/>
    <w:rsid w:val="003C25B0"/>
    <w:rsid w:val="003C3D3C"/>
    <w:rsid w:val="003D0037"/>
    <w:rsid w:val="003D2B0B"/>
    <w:rsid w:val="003E1172"/>
    <w:rsid w:val="003E3FB7"/>
    <w:rsid w:val="003F1BED"/>
    <w:rsid w:val="003F3435"/>
    <w:rsid w:val="004024BF"/>
    <w:rsid w:val="004039F8"/>
    <w:rsid w:val="00406AE5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8526A"/>
    <w:rsid w:val="004961B9"/>
    <w:rsid w:val="004A26F9"/>
    <w:rsid w:val="004A339D"/>
    <w:rsid w:val="004A7407"/>
    <w:rsid w:val="004C1AD8"/>
    <w:rsid w:val="004C339D"/>
    <w:rsid w:val="004D05FB"/>
    <w:rsid w:val="004D5376"/>
    <w:rsid w:val="004E1CE1"/>
    <w:rsid w:val="004E6E8A"/>
    <w:rsid w:val="004F6A3A"/>
    <w:rsid w:val="0050193A"/>
    <w:rsid w:val="00526E21"/>
    <w:rsid w:val="005332EE"/>
    <w:rsid w:val="00544620"/>
    <w:rsid w:val="00544BE7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D2B5C"/>
    <w:rsid w:val="005E1231"/>
    <w:rsid w:val="005E18F9"/>
    <w:rsid w:val="005E6581"/>
    <w:rsid w:val="005F0888"/>
    <w:rsid w:val="00602FE7"/>
    <w:rsid w:val="0060764C"/>
    <w:rsid w:val="006335AB"/>
    <w:rsid w:val="006400BC"/>
    <w:rsid w:val="006578DF"/>
    <w:rsid w:val="00660BE9"/>
    <w:rsid w:val="00667372"/>
    <w:rsid w:val="00673B2B"/>
    <w:rsid w:val="006824E7"/>
    <w:rsid w:val="006A3F67"/>
    <w:rsid w:val="006A49EF"/>
    <w:rsid w:val="006A62A7"/>
    <w:rsid w:val="006B0842"/>
    <w:rsid w:val="006C48B9"/>
    <w:rsid w:val="006D7A6D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7F4CB6"/>
    <w:rsid w:val="008223C5"/>
    <w:rsid w:val="0083046E"/>
    <w:rsid w:val="00831C18"/>
    <w:rsid w:val="00836459"/>
    <w:rsid w:val="0084272E"/>
    <w:rsid w:val="008443D6"/>
    <w:rsid w:val="0084538A"/>
    <w:rsid w:val="008479C9"/>
    <w:rsid w:val="00855E2B"/>
    <w:rsid w:val="008738D9"/>
    <w:rsid w:val="00882B33"/>
    <w:rsid w:val="00897B61"/>
    <w:rsid w:val="008A1356"/>
    <w:rsid w:val="008A2516"/>
    <w:rsid w:val="008B5A5F"/>
    <w:rsid w:val="008C1B61"/>
    <w:rsid w:val="008C77E4"/>
    <w:rsid w:val="008D04AA"/>
    <w:rsid w:val="008D7AD8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659A9"/>
    <w:rsid w:val="0097741D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0CFA"/>
    <w:rsid w:val="00A02A5D"/>
    <w:rsid w:val="00A128D1"/>
    <w:rsid w:val="00A24482"/>
    <w:rsid w:val="00A27278"/>
    <w:rsid w:val="00A36C0D"/>
    <w:rsid w:val="00A43AA4"/>
    <w:rsid w:val="00A469C5"/>
    <w:rsid w:val="00A47451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B3D85"/>
    <w:rsid w:val="00AB586C"/>
    <w:rsid w:val="00AC06DE"/>
    <w:rsid w:val="00AD4404"/>
    <w:rsid w:val="00AE72DD"/>
    <w:rsid w:val="00B0674F"/>
    <w:rsid w:val="00B075F5"/>
    <w:rsid w:val="00B31CFB"/>
    <w:rsid w:val="00B43051"/>
    <w:rsid w:val="00B73A87"/>
    <w:rsid w:val="00B77339"/>
    <w:rsid w:val="00B8444F"/>
    <w:rsid w:val="00B86775"/>
    <w:rsid w:val="00B86975"/>
    <w:rsid w:val="00B92A60"/>
    <w:rsid w:val="00B955BB"/>
    <w:rsid w:val="00BB18DA"/>
    <w:rsid w:val="00BB3309"/>
    <w:rsid w:val="00BB4102"/>
    <w:rsid w:val="00BB66E4"/>
    <w:rsid w:val="00BC2764"/>
    <w:rsid w:val="00BC31AD"/>
    <w:rsid w:val="00BC5BF6"/>
    <w:rsid w:val="00BD50FD"/>
    <w:rsid w:val="00BE55D6"/>
    <w:rsid w:val="00C03429"/>
    <w:rsid w:val="00C03559"/>
    <w:rsid w:val="00C06BA3"/>
    <w:rsid w:val="00C14706"/>
    <w:rsid w:val="00C21118"/>
    <w:rsid w:val="00C406E6"/>
    <w:rsid w:val="00C42DDB"/>
    <w:rsid w:val="00C44EBB"/>
    <w:rsid w:val="00C46E4F"/>
    <w:rsid w:val="00C51A09"/>
    <w:rsid w:val="00C62B27"/>
    <w:rsid w:val="00C70A30"/>
    <w:rsid w:val="00C70D36"/>
    <w:rsid w:val="00C71752"/>
    <w:rsid w:val="00C74FEA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D124C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2342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77DED"/>
    <w:rsid w:val="00E82965"/>
    <w:rsid w:val="00E8574D"/>
    <w:rsid w:val="00E942CC"/>
    <w:rsid w:val="00E96182"/>
    <w:rsid w:val="00EA50D4"/>
    <w:rsid w:val="00EA7650"/>
    <w:rsid w:val="00EB283B"/>
    <w:rsid w:val="00EB414B"/>
    <w:rsid w:val="00EC1D9C"/>
    <w:rsid w:val="00EC6435"/>
    <w:rsid w:val="00EE10BA"/>
    <w:rsid w:val="00EE451E"/>
    <w:rsid w:val="00EF1DC3"/>
    <w:rsid w:val="00EF39F9"/>
    <w:rsid w:val="00F2296F"/>
    <w:rsid w:val="00F367FE"/>
    <w:rsid w:val="00F43B63"/>
    <w:rsid w:val="00F43FE6"/>
    <w:rsid w:val="00F45149"/>
    <w:rsid w:val="00F60D84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E869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table" w:styleId="Lentelstinklelis">
    <w:name w:val="Table Grid"/>
    <w:basedOn w:val="prastojilentel"/>
    <w:rsid w:val="00F2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2015-09-11T10:51:00Z</cp:lastPrinted>
  <dcterms:created xsi:type="dcterms:W3CDTF">2019-10-22T07:28:00Z</dcterms:created>
  <dcterms:modified xsi:type="dcterms:W3CDTF">2019-10-22T07:28:00Z</dcterms:modified>
</cp:coreProperties>
</file>