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AIŠKINAMASIS RAŠTAS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>
        <w:rPr>
          <w:lang w:val="lt-LT"/>
        </w:rPr>
        <w:t>Dėl Molėtų rajono savivaldybės tarybos 201</w:t>
      </w:r>
      <w:r w:rsidR="00927C8B">
        <w:rPr>
          <w:lang w:val="lt-LT"/>
        </w:rPr>
        <w:t>9</w:t>
      </w:r>
      <w:r>
        <w:rPr>
          <w:lang w:val="lt-LT"/>
        </w:rPr>
        <w:t xml:space="preserve"> m. vasario 2</w:t>
      </w:r>
      <w:r w:rsidR="00927C8B">
        <w:rPr>
          <w:lang w:val="lt-LT"/>
        </w:rPr>
        <w:t>1</w:t>
      </w:r>
      <w:r>
        <w:rPr>
          <w:lang w:val="lt-LT"/>
        </w:rPr>
        <w:t xml:space="preserve"> d. sprendimo Nr. B1-2</w:t>
      </w:r>
      <w:r w:rsidR="00927C8B">
        <w:rPr>
          <w:lang w:val="lt-LT"/>
        </w:rPr>
        <w:t>6</w:t>
      </w:r>
      <w:r>
        <w:rPr>
          <w:lang w:val="lt-LT"/>
        </w:rPr>
        <w:t xml:space="preserve"> „Dėl</w:t>
      </w:r>
      <w:r w:rsidR="00927C8B">
        <w:rPr>
          <w:lang w:val="lt-LT"/>
        </w:rPr>
        <w:t xml:space="preserve"> Molėtų rajono savivaldybės 2019</w:t>
      </w:r>
      <w:r>
        <w:rPr>
          <w:lang w:val="lt-LT"/>
        </w:rPr>
        <w:t xml:space="preserve"> metų biudžeto patvirtinimo“ pakeitimo</w:t>
      </w:r>
    </w:p>
    <w:p w:rsidR="00F8762E" w:rsidRDefault="00F8762E" w:rsidP="00F8762E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F8762E" w:rsidRPr="008C5B59" w:rsidRDefault="008C5B59" w:rsidP="008C5B59">
      <w:pPr>
        <w:tabs>
          <w:tab w:val="left" w:pos="72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1.</w:t>
      </w:r>
      <w:r w:rsidR="00F8762E" w:rsidRPr="008C5B59">
        <w:rPr>
          <w:b/>
          <w:lang w:val="lt-LT"/>
        </w:rPr>
        <w:t>P</w:t>
      </w:r>
      <w:r w:rsidR="00F8762E" w:rsidRPr="008C5B59">
        <w:rPr>
          <w:b/>
          <w:lang w:val="pt-BR"/>
        </w:rPr>
        <w:t>arengto tarybos sprendimo projekto tikslai ir uždaviniai</w:t>
      </w:r>
      <w:r w:rsidR="00F8762E" w:rsidRPr="008C5B59">
        <w:rPr>
          <w:b/>
          <w:lang w:val="lt-LT"/>
        </w:rPr>
        <w:t xml:space="preserve"> </w:t>
      </w:r>
    </w:p>
    <w:p w:rsidR="00E25C60" w:rsidRDefault="00F8762E" w:rsidP="00E25C60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  <w:r w:rsidRPr="002D4246">
        <w:rPr>
          <w:lang w:val="lt-LT"/>
        </w:rPr>
        <w:t xml:space="preserve">Parengtas Savivaldybės tarybos sprendimo projektas, kuriuo keičiamas  Molėtų </w:t>
      </w:r>
      <w:r w:rsidR="00927C8B">
        <w:rPr>
          <w:lang w:val="lt-LT"/>
        </w:rPr>
        <w:t>rajono savivaldybės tarybos 2019</w:t>
      </w:r>
      <w:r w:rsidRPr="002D4246">
        <w:rPr>
          <w:lang w:val="lt-LT"/>
        </w:rPr>
        <w:t xml:space="preserve"> m. vasario 2</w:t>
      </w:r>
      <w:r w:rsidR="00927C8B">
        <w:rPr>
          <w:lang w:val="lt-LT"/>
        </w:rPr>
        <w:t>1</w:t>
      </w:r>
      <w:r w:rsidRPr="002D4246">
        <w:rPr>
          <w:lang w:val="lt-LT"/>
        </w:rPr>
        <w:t xml:space="preserve"> d. sprendimu Nr. B1-2</w:t>
      </w:r>
      <w:r w:rsidR="00927C8B">
        <w:rPr>
          <w:lang w:val="lt-LT"/>
        </w:rPr>
        <w:t>6</w:t>
      </w:r>
      <w:r w:rsidRPr="002D4246">
        <w:rPr>
          <w:lang w:val="lt-LT"/>
        </w:rPr>
        <w:t xml:space="preserve"> ,,Dėl</w:t>
      </w:r>
      <w:r w:rsidR="00927C8B">
        <w:rPr>
          <w:lang w:val="lt-LT"/>
        </w:rPr>
        <w:t xml:space="preserve"> Molėtų rajono savivaldybės 2019</w:t>
      </w:r>
      <w:r w:rsidRPr="002D4246">
        <w:rPr>
          <w:lang w:val="lt-LT"/>
        </w:rPr>
        <w:t xml:space="preserve"> metų biudžeto patvirtinimo“ patvirtintas  </w:t>
      </w:r>
      <w:r w:rsidR="00E25C60">
        <w:rPr>
          <w:lang w:val="lt-LT"/>
        </w:rPr>
        <w:t>ir 2019</w:t>
      </w:r>
      <w:r w:rsidR="00E25C60">
        <w:rPr>
          <w:lang w:val="lt-LT"/>
        </w:rPr>
        <w:t xml:space="preserve"> m. gegužės </w:t>
      </w:r>
      <w:r w:rsidR="00E25C60">
        <w:rPr>
          <w:lang w:val="lt-LT"/>
        </w:rPr>
        <w:t>16</w:t>
      </w:r>
      <w:r w:rsidR="00E25C60">
        <w:rPr>
          <w:lang w:val="lt-LT"/>
        </w:rPr>
        <w:t xml:space="preserve"> d. sprendimu Nr. B1-</w:t>
      </w:r>
      <w:r w:rsidR="00E25C60">
        <w:rPr>
          <w:lang w:val="lt-LT"/>
        </w:rPr>
        <w:t xml:space="preserve">102 </w:t>
      </w:r>
      <w:r w:rsidR="00E25C60">
        <w:rPr>
          <w:lang w:val="lt-LT"/>
        </w:rPr>
        <w:t xml:space="preserve">pakeistas </w:t>
      </w:r>
      <w:r w:rsidR="00E25C60">
        <w:rPr>
          <w:lang w:val="lt-LT"/>
        </w:rPr>
        <w:t>2019</w:t>
      </w:r>
      <w:r w:rsidR="00E25C60">
        <w:rPr>
          <w:lang w:val="lt-LT"/>
        </w:rPr>
        <w:t xml:space="preserve"> metų rajono savivaldybės biudžetas.</w:t>
      </w:r>
    </w:p>
    <w:p w:rsidR="009D2217" w:rsidRPr="000B5438" w:rsidRDefault="009D2217" w:rsidP="008C5B59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b/>
          <w:lang w:val="lt-LT"/>
        </w:rPr>
      </w:pPr>
      <w:r>
        <w:rPr>
          <w:color w:val="2E74B5" w:themeColor="accent1" w:themeShade="BF"/>
          <w:lang w:val="lt-LT"/>
        </w:rPr>
        <w:tab/>
      </w:r>
      <w:r>
        <w:rPr>
          <w:lang w:val="lt-LT"/>
        </w:rPr>
        <w:t>Šiuo sprendimu didinamos Molėtų rajono savivaldybės pajamos</w:t>
      </w:r>
      <w:r w:rsidR="007B4CC2" w:rsidRPr="000B5438">
        <w:rPr>
          <w:lang w:val="lt-LT"/>
        </w:rPr>
        <w:t xml:space="preserve">- </w:t>
      </w:r>
      <w:r w:rsidR="00E25C60">
        <w:rPr>
          <w:b/>
          <w:lang w:val="lt-LT"/>
        </w:rPr>
        <w:t>630,2</w:t>
      </w:r>
      <w:r w:rsidR="007B4CC2" w:rsidRPr="000B5438">
        <w:rPr>
          <w:b/>
          <w:lang w:val="lt-LT"/>
        </w:rPr>
        <w:t xml:space="preserve"> tūkst. Eur</w:t>
      </w:r>
      <w:r w:rsidRPr="000B5438">
        <w:rPr>
          <w:b/>
          <w:lang w:val="lt-LT"/>
        </w:rPr>
        <w:t>:</w:t>
      </w:r>
    </w:p>
    <w:p w:rsidR="00E25C60" w:rsidRDefault="00F558EA" w:rsidP="00E25C60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</w:r>
      <w:r w:rsidR="00E25C60">
        <w:rPr>
          <w:lang w:val="lt-LT"/>
        </w:rPr>
        <w:t>1. Vadovaujantis  Vals</w:t>
      </w:r>
      <w:r w:rsidR="00950010">
        <w:rPr>
          <w:lang w:val="lt-LT"/>
        </w:rPr>
        <w:t>tybinės saugomų teritorijų tarny</w:t>
      </w:r>
      <w:r w:rsidR="00E25C60">
        <w:rPr>
          <w:lang w:val="lt-LT"/>
        </w:rPr>
        <w:t>bos prie aplinkos ministerijos direktoriaus 2019 m. balandžio 30 d. įsakymu Nr. V-62 „Dėl 2019 m. kelių priežiūros ir plėtros programos finansavimo lėšų, skirtų keliams tiesti, taisyti (remontuoti) ir prižiūrėti valstybės saugomose teritorijose finansuoti, paskirstymo“ Molėtų savivaldybei skiriama 61 tūkst. Eur</w:t>
      </w:r>
      <w:r w:rsidR="00950010">
        <w:rPr>
          <w:lang w:val="lt-LT"/>
        </w:rPr>
        <w:t>. Lėšos skiriamos</w:t>
      </w:r>
      <w:r w:rsidR="00E25C60">
        <w:rPr>
          <w:lang w:val="lt-LT"/>
        </w:rPr>
        <w:t xml:space="preserve"> Asvejos </w:t>
      </w:r>
      <w:r w:rsidR="00950010">
        <w:rPr>
          <w:lang w:val="lt-LT"/>
        </w:rPr>
        <w:t xml:space="preserve">regioninio parko direkcijai priklausančiam privažiavimo kelio prie Jurkiškio upelio pažintinio tako Dubinbių sen. Molėtų r. remontui. </w:t>
      </w:r>
    </w:p>
    <w:p w:rsidR="006340D0" w:rsidRDefault="0087118F" w:rsidP="00E25C60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950010">
        <w:t>2</w:t>
      </w:r>
      <w:r>
        <w:t xml:space="preserve">. </w:t>
      </w:r>
      <w:r w:rsidR="006340D0" w:rsidRPr="00F558EA">
        <w:rPr>
          <w:lang w:val="lt-LT"/>
        </w:rPr>
        <w:t>Vadovaujantis</w:t>
      </w:r>
      <w:r w:rsidR="006340D0">
        <w:t xml:space="preserve"> Lietuvos Respublikos švietimo, mokslo ir sporto ministro 2019 m. </w:t>
      </w:r>
      <w:r w:rsidR="00950010">
        <w:t>birželio 25</w:t>
      </w:r>
      <w:r w:rsidR="006340D0">
        <w:t xml:space="preserve"> d. įsakymu Nr. V-</w:t>
      </w:r>
      <w:r w:rsidR="00950010">
        <w:t>733 „Dėl 2019 metų</w:t>
      </w:r>
      <w:r w:rsidR="006340D0">
        <w:t xml:space="preserve"> </w:t>
      </w:r>
      <w:r w:rsidR="00950010">
        <w:t xml:space="preserve"> švietimo įstaigų modernizavimo lėšų paskirstymo švietimo įstaigoms patvirtinimo” </w:t>
      </w:r>
      <w:r w:rsidR="006340D0">
        <w:t>Molėtų rajono savivaldybei skiriama 16,</w:t>
      </w:r>
      <w:r w:rsidR="00950010">
        <w:t>4 tūkst. Eur valstybės biudžeto lėšų, skirtų ilgalaikiam materialiam turtui įsigyti.</w:t>
      </w:r>
      <w:r w:rsidR="002D0F6A">
        <w:t xml:space="preserve"> Lėšos bus panaudotos</w:t>
      </w:r>
      <w:r w:rsidR="00A533E4">
        <w:t xml:space="preserve"> Molėtų progimnazijos sanitarinių mazgų remontui.</w:t>
      </w:r>
    </w:p>
    <w:p w:rsidR="002A2525" w:rsidRDefault="002A2525" w:rsidP="00E25C60">
      <w:pPr>
        <w:tabs>
          <w:tab w:val="left" w:pos="720"/>
          <w:tab w:val="num" w:pos="3960"/>
        </w:tabs>
        <w:spacing w:line="360" w:lineRule="auto"/>
        <w:jc w:val="both"/>
      </w:pPr>
      <w:r>
        <w:tab/>
        <w:t xml:space="preserve">3. Vadovaujantis Lietuvos Respublikos finansų ministro 2019 m. balandžio 2 d. įsakymu Nr. 1K-104 “Dėl dotacijų skyrimo” Molėtų rajono savivaldybei skiriama valstybės biudžeto lėšų dotacijų, suma 452,2 tūkst. Eur. Dotacijos skiriamos </w:t>
      </w:r>
      <w:r w:rsidR="00B87291">
        <w:t xml:space="preserve">nuosavai lėšų daliai padengti </w:t>
      </w:r>
      <w:r>
        <w:t>Europos Sąjungos struktūrinių fondų lėšomis bendrai finansuojamiems projektams:</w:t>
      </w:r>
    </w:p>
    <w:p w:rsidR="00B87291" w:rsidRDefault="00B87291" w:rsidP="00E25C60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3.1. Kūrybiškumą skatinančių edukacinių erdvių kūrimas Molėtų gimnazijos vidaus patalpose- 24</w:t>
      </w:r>
      <w:proofErr w:type="gramStart"/>
      <w:r>
        <w:t>,2</w:t>
      </w:r>
      <w:proofErr w:type="gramEnd"/>
      <w:r>
        <w:t xml:space="preserve"> tūkst. Eur;</w:t>
      </w:r>
    </w:p>
    <w:p w:rsidR="00B87291" w:rsidRDefault="00B87291" w:rsidP="00E25C60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3.2. Dviračių ir pėsčiųjų takų tinklo palei Ąžuolų g. iki mokyklų komplekso plėtra didinant atskirų Molėtų miesto teritorijų tarpusavio integraciją- 26</w:t>
      </w:r>
      <w:proofErr w:type="gramStart"/>
      <w:r>
        <w:t>,</w:t>
      </w:r>
      <w:r w:rsidR="005B566F">
        <w:t>3</w:t>
      </w:r>
      <w:proofErr w:type="gramEnd"/>
      <w:r>
        <w:t xml:space="preserve"> tūkst. Eur;</w:t>
      </w:r>
    </w:p>
    <w:p w:rsidR="00B87291" w:rsidRDefault="00B87291" w:rsidP="00E25C60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3.3. Molėtų miesto centrinės dalies kompleksinis sutvarkymas (II etapas) – 21</w:t>
      </w:r>
      <w:proofErr w:type="gramStart"/>
      <w:r>
        <w:t>,4</w:t>
      </w:r>
      <w:proofErr w:type="gramEnd"/>
      <w:r>
        <w:t xml:space="preserve"> tūkst. Eur;</w:t>
      </w:r>
    </w:p>
    <w:p w:rsidR="00B87291" w:rsidRDefault="00B87291" w:rsidP="00E25C60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3.4. Molėtų miesto J. Janonio gatvės gyvenamojo kvartalo viešosios infrastruktūros sutvarkymas- 28</w:t>
      </w:r>
      <w:proofErr w:type="gramStart"/>
      <w:r>
        <w:t>,6</w:t>
      </w:r>
      <w:proofErr w:type="gramEnd"/>
      <w:r>
        <w:t xml:space="preserve"> tūkst. Eur;</w:t>
      </w:r>
    </w:p>
    <w:p w:rsidR="00B87291" w:rsidRDefault="00B87291" w:rsidP="00E25C60">
      <w:pPr>
        <w:tabs>
          <w:tab w:val="left" w:pos="720"/>
          <w:tab w:val="num" w:pos="3960"/>
        </w:tabs>
        <w:spacing w:line="360" w:lineRule="auto"/>
        <w:jc w:val="both"/>
      </w:pPr>
      <w:r>
        <w:tab/>
        <w:t>3.5. Kraštovaizdžio planavimas, tvarkymas ir būklės gerinimas Molėtų rajone – 37</w:t>
      </w:r>
      <w:proofErr w:type="gramStart"/>
      <w:r>
        <w:t>,6</w:t>
      </w:r>
      <w:proofErr w:type="gramEnd"/>
      <w:r>
        <w:t xml:space="preserve"> tūkst. Eur. </w:t>
      </w:r>
    </w:p>
    <w:p w:rsidR="00B87291" w:rsidRDefault="00B87291" w:rsidP="00E25C60">
      <w:pPr>
        <w:tabs>
          <w:tab w:val="left" w:pos="720"/>
          <w:tab w:val="num" w:pos="3960"/>
        </w:tabs>
        <w:spacing w:line="360" w:lineRule="auto"/>
        <w:jc w:val="both"/>
      </w:pPr>
      <w:r>
        <w:lastRenderedPageBreak/>
        <w:tab/>
        <w:t>3.6. Vandens tiekimo ir nuotekų tvarkymo infrastruktūros plėtra ir rekonstrukcija Molėtų rajone (II etapas) – 314</w:t>
      </w:r>
      <w:proofErr w:type="gramStart"/>
      <w:r>
        <w:t>,1</w:t>
      </w:r>
      <w:proofErr w:type="gramEnd"/>
      <w:r>
        <w:t xml:space="preserve"> tūkst. Eur.</w:t>
      </w:r>
    </w:p>
    <w:p w:rsidR="00B87291" w:rsidRDefault="00B87291" w:rsidP="00E25C60">
      <w:pPr>
        <w:tabs>
          <w:tab w:val="left" w:pos="720"/>
          <w:tab w:val="num" w:pos="3960"/>
        </w:tabs>
        <w:spacing w:line="360" w:lineRule="auto"/>
        <w:jc w:val="both"/>
      </w:pPr>
      <w:r>
        <w:tab/>
        <w:t>4.</w:t>
      </w:r>
      <w:r w:rsidR="005B566F">
        <w:t xml:space="preserve"> </w:t>
      </w:r>
      <w:r w:rsidR="005B566F">
        <w:t xml:space="preserve">Vadovaujantis Lietuvos Respublikos finansų ministro 2019 m. </w:t>
      </w:r>
      <w:r w:rsidR="005B566F">
        <w:t>birželio 17</w:t>
      </w:r>
      <w:r w:rsidR="005B566F">
        <w:t xml:space="preserve"> d. įsakymu Nr. 1K-1</w:t>
      </w:r>
      <w:r w:rsidR="005B566F">
        <w:t>92</w:t>
      </w:r>
      <w:r w:rsidR="005B566F">
        <w:t xml:space="preserve"> “Dėl dotacijų skyrimo” Molėtų rajono savivaldybei skiriama v</w:t>
      </w:r>
      <w:r w:rsidR="005B566F">
        <w:t>alstybės biudžeto lėšų dotacijų projektui “Paslaugų ir asmenų aptarnavimo kokybės gerinimas Molėtų rajono savivaldybėje”, suma 26 tūkst. Eur.</w:t>
      </w:r>
    </w:p>
    <w:p w:rsidR="00A533E4" w:rsidRDefault="00A533E4" w:rsidP="00E25C60">
      <w:pPr>
        <w:tabs>
          <w:tab w:val="left" w:pos="720"/>
          <w:tab w:val="num" w:pos="3960"/>
        </w:tabs>
        <w:spacing w:line="360" w:lineRule="auto"/>
        <w:jc w:val="both"/>
      </w:pPr>
      <w:r>
        <w:tab/>
      </w:r>
      <w:r w:rsidR="00B87291">
        <w:t>5</w:t>
      </w:r>
      <w:r>
        <w:t xml:space="preserve">. Atsižvelgiant į Lietuvos Respublikos Socialinės apsaugos ir darbo ministerijos </w:t>
      </w:r>
      <w:r w:rsidR="00813C6E">
        <w:t>2019 m. liepos 1 d. raštą Nr. (21.12.15E-22)SD-3325 “Dėl papildomo finansavimo” Molėtų socialinės paramos centrui skiriama 31,2 tūkst. Eur Europos Sąjungos fondų lėšų įgyvendinamam projektui “Integralios pagalbos teikimas Molėtų rajone”</w:t>
      </w:r>
      <w:r w:rsidR="002A2525">
        <w:t xml:space="preserve"> finansuoti. </w:t>
      </w:r>
    </w:p>
    <w:p w:rsidR="00981DD3" w:rsidRDefault="00807D97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B87291">
        <w:t>6</w:t>
      </w:r>
      <w:r w:rsidR="002A2525">
        <w:t xml:space="preserve">. </w:t>
      </w:r>
      <w:r w:rsidR="001A16E9">
        <w:t>43</w:t>
      </w:r>
      <w:proofErr w:type="gramStart"/>
      <w:r w:rsidR="001A16E9">
        <w:t>,4</w:t>
      </w:r>
      <w:proofErr w:type="gramEnd"/>
      <w:r w:rsidR="001A16E9">
        <w:t xml:space="preserve"> tūkst. Eur didinamos savivaldybės pajamos:</w:t>
      </w:r>
    </w:p>
    <w:p w:rsidR="001A16E9" w:rsidRDefault="001A16E9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6.1. 21</w:t>
      </w:r>
      <w:proofErr w:type="gramStart"/>
      <w:r>
        <w:t>,5</w:t>
      </w:r>
      <w:proofErr w:type="gramEnd"/>
      <w:r>
        <w:t xml:space="preserve"> tūkst. Eur pajamos gautos iš negyvenamųjų pastatų realizavimo;</w:t>
      </w:r>
    </w:p>
    <w:p w:rsidR="001A16E9" w:rsidRDefault="001A16E9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6.2. 8 tūkst. Eur pajamų gauta iš žemės realizavimo;</w:t>
      </w:r>
    </w:p>
    <w:p w:rsidR="001A16E9" w:rsidRDefault="001A16E9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6.3. 11</w:t>
      </w:r>
      <w:proofErr w:type="gramStart"/>
      <w:r>
        <w:t>,9</w:t>
      </w:r>
      <w:proofErr w:type="gramEnd"/>
      <w:r>
        <w:t xml:space="preserve"> tūkst. Eur pajamų gauta iš delspinigių savivaldybės biudžetui ir iš baudų už administracinius nusižengimus;</w:t>
      </w:r>
    </w:p>
    <w:p w:rsidR="001A16E9" w:rsidRDefault="001A16E9" w:rsidP="001A16E9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>6.4. 2 tūkst. Eur gauta iš vietinių rinkliavų.</w:t>
      </w:r>
    </w:p>
    <w:p w:rsidR="008A7D83" w:rsidRDefault="008A7D83" w:rsidP="001A16E9">
      <w:pPr>
        <w:tabs>
          <w:tab w:val="left" w:pos="720"/>
          <w:tab w:val="num" w:pos="3960"/>
        </w:tabs>
        <w:spacing w:line="360" w:lineRule="auto"/>
        <w:jc w:val="both"/>
      </w:pPr>
      <w:r>
        <w:tab/>
        <w:t>Molėtų rajono savivaldybės biudžeto pajamų tikslinimas detalizuojamas lentelėje:</w:t>
      </w:r>
    </w:p>
    <w:tbl>
      <w:tblPr>
        <w:tblW w:w="9400" w:type="dxa"/>
        <w:tblLook w:val="04A0" w:firstRow="1" w:lastRow="0" w:firstColumn="1" w:lastColumn="0" w:noHBand="0" w:noVBand="1"/>
      </w:tblPr>
      <w:tblGrid>
        <w:gridCol w:w="920"/>
        <w:gridCol w:w="7420"/>
        <w:gridCol w:w="1060"/>
      </w:tblGrid>
      <w:tr w:rsidR="00946007" w:rsidRPr="00946007" w:rsidTr="00946007">
        <w:trPr>
          <w:trHeight w:val="31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7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Pavadinimas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jc w:val="center"/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Suma</w:t>
            </w:r>
          </w:p>
        </w:tc>
      </w:tr>
      <w:tr w:rsidR="00946007" w:rsidRPr="00946007" w:rsidTr="009460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61</w:t>
            </w:r>
          </w:p>
        </w:tc>
      </w:tr>
      <w:tr w:rsidR="00946007" w:rsidRPr="00946007" w:rsidTr="009460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2.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Švietimo įstaigų modernizavimo lėšos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16,4</w:t>
            </w:r>
          </w:p>
        </w:tc>
      </w:tr>
      <w:tr w:rsidR="00946007" w:rsidRPr="00946007" w:rsidTr="009460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Tikslinė dotacija projektams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478,2</w:t>
            </w:r>
          </w:p>
        </w:tc>
      </w:tr>
      <w:tr w:rsidR="00946007" w:rsidRPr="00946007" w:rsidTr="009460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Integrali pagalba (Europos Sąjungos finansinės paramos lėšos)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31,2</w:t>
            </w:r>
          </w:p>
        </w:tc>
      </w:tr>
      <w:tr w:rsidR="00946007" w:rsidRPr="00946007" w:rsidTr="009460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 xml:space="preserve">Vietinės rinkliavos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2</w:t>
            </w:r>
          </w:p>
        </w:tc>
      </w:tr>
      <w:tr w:rsidR="00946007" w:rsidRPr="00946007" w:rsidTr="009460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Pajamos iš baudų ir konfiskacijos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11,9</w:t>
            </w:r>
          </w:p>
        </w:tc>
      </w:tr>
      <w:tr w:rsidR="00946007" w:rsidRPr="00946007" w:rsidTr="009460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Žemės realizavimo pajamos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8</w:t>
            </w:r>
          </w:p>
        </w:tc>
      </w:tr>
      <w:tr w:rsidR="00946007" w:rsidRPr="00946007" w:rsidTr="009460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 xml:space="preserve">8. 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Pastatų ir statinių realizavimo pajamos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21,5</w:t>
            </w:r>
          </w:p>
        </w:tc>
      </w:tr>
      <w:tr w:rsidR="00946007" w:rsidRPr="00946007" w:rsidTr="00946007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9.</w:t>
            </w:r>
          </w:p>
        </w:tc>
        <w:tc>
          <w:tcPr>
            <w:tcW w:w="7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630,2</w:t>
            </w:r>
          </w:p>
        </w:tc>
      </w:tr>
    </w:tbl>
    <w:p w:rsidR="00B31F3A" w:rsidRPr="00B31F3A" w:rsidRDefault="00B31F3A" w:rsidP="00B31F3A">
      <w:pPr>
        <w:spacing w:line="360" w:lineRule="auto"/>
        <w:jc w:val="both"/>
        <w:rPr>
          <w:color w:val="000000"/>
          <w:lang w:val="lt-LT" w:eastAsia="lt-LT"/>
        </w:rPr>
      </w:pPr>
    </w:p>
    <w:p w:rsidR="007675CB" w:rsidRDefault="00817ACD" w:rsidP="008A7D83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</w:r>
      <w:r w:rsidR="005D7AF2">
        <w:t>Gautomis pajamomis tikslinami</w:t>
      </w:r>
      <w:r w:rsidR="007675CB">
        <w:t>:</w:t>
      </w:r>
    </w:p>
    <w:p w:rsidR="00817ACD" w:rsidRDefault="007675CB" w:rsidP="008A7D83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tab/>
        <w:t xml:space="preserve">1. </w:t>
      </w:r>
      <w:r w:rsidR="00817ACD">
        <w:t xml:space="preserve"> Molėtų rajono savivaldybės administracijos </w:t>
      </w:r>
      <w:r w:rsidR="005D7AF2">
        <w:t>asignavimai</w:t>
      </w:r>
      <w:r w:rsidR="00F1220C">
        <w:t xml:space="preserve"> sprendimo 5 ir 3 prieduose</w:t>
      </w:r>
      <w:r w:rsidR="005D7AF2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3016"/>
        <w:gridCol w:w="1413"/>
        <w:gridCol w:w="906"/>
        <w:gridCol w:w="1331"/>
        <w:gridCol w:w="1296"/>
        <w:gridCol w:w="1110"/>
      </w:tblGrid>
      <w:tr w:rsidR="00946007" w:rsidRPr="00946007" w:rsidTr="00946007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 xml:space="preserve">Eil. </w:t>
            </w:r>
            <w:r w:rsidRPr="00946007">
              <w:rPr>
                <w:color w:val="000000"/>
                <w:lang w:val="lt-LT" w:eastAsia="lt-LT"/>
              </w:rPr>
              <w:br/>
              <w:t xml:space="preserve">Nr.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jc w:val="center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 xml:space="preserve">Asignavimų pavadinimas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jc w:val="center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Programos kodas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 xml:space="preserve">Suma, </w:t>
            </w:r>
            <w:r w:rsidRPr="00946007">
              <w:rPr>
                <w:color w:val="000000"/>
                <w:lang w:val="lt-LT" w:eastAsia="lt-LT"/>
              </w:rPr>
              <w:br/>
              <w:t xml:space="preserve">tūkst. Eur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Kitoms išlaidoms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 xml:space="preserve">Darbo </w:t>
            </w:r>
            <w:r w:rsidRPr="00946007">
              <w:rPr>
                <w:color w:val="000000"/>
                <w:lang w:val="lt-LT" w:eastAsia="lt-LT"/>
              </w:rPr>
              <w:br/>
              <w:t>užmokestis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 xml:space="preserve">Ilgalaikis </w:t>
            </w:r>
            <w:r w:rsidRPr="00946007">
              <w:rPr>
                <w:color w:val="000000"/>
                <w:lang w:val="lt-LT" w:eastAsia="lt-LT"/>
              </w:rPr>
              <w:br/>
              <w:t>turtas</w:t>
            </w:r>
          </w:p>
        </w:tc>
      </w:tr>
      <w:tr w:rsidR="00946007" w:rsidRPr="00946007" w:rsidTr="0094600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Kita tikslinė dotacija kelių priežiūrai ir rekonstrukcijai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</w:tr>
      <w:tr w:rsidR="00946007" w:rsidRPr="00946007" w:rsidTr="0094600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Kita tikslinė dotacija Europos Sąjungos projektams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478,2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414,6</w:t>
            </w:r>
          </w:p>
        </w:tc>
      </w:tr>
      <w:tr w:rsidR="00946007" w:rsidRPr="00946007" w:rsidTr="00946007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Švietimo įstaigų modernizavimo lėšos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16,4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16,4</w:t>
            </w:r>
          </w:p>
        </w:tc>
      </w:tr>
      <w:tr w:rsidR="00946007" w:rsidRPr="00946007" w:rsidTr="00946007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Žemės sklypų matavimams iš valstybinės žemės realizavimo pajamų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</w:tr>
      <w:tr w:rsidR="00946007" w:rsidRPr="00946007" w:rsidTr="00946007">
        <w:trPr>
          <w:trHeight w:val="3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Socialinių programų vykdymui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</w:tr>
      <w:tr w:rsidR="00946007" w:rsidRPr="00946007" w:rsidTr="00946007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Lėšos savivaldybės investicijoms ir nekilnojamojo turto remontui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34,3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34,3</w:t>
            </w:r>
          </w:p>
        </w:tc>
      </w:tr>
      <w:tr w:rsidR="00946007" w:rsidRPr="00946007" w:rsidTr="00946007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color w:val="000000"/>
                <w:lang w:val="lt-LT" w:eastAsia="lt-LT"/>
              </w:rPr>
            </w:pPr>
            <w:r w:rsidRPr="00946007">
              <w:rPr>
                <w:color w:val="000000"/>
                <w:lang w:val="lt-LT" w:eastAsia="lt-LT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6007" w:rsidRPr="00946007" w:rsidRDefault="00946007" w:rsidP="00946007">
            <w:pPr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 xml:space="preserve">Iš viso: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133,7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6007" w:rsidRPr="00946007" w:rsidRDefault="00946007" w:rsidP="0094600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  <w:r w:rsidRPr="00946007">
              <w:rPr>
                <w:b/>
                <w:bCs/>
                <w:color w:val="000000"/>
                <w:lang w:val="lt-LT" w:eastAsia="lt-LT"/>
              </w:rPr>
              <w:t>465,3</w:t>
            </w:r>
          </w:p>
        </w:tc>
      </w:tr>
      <w:tr w:rsidR="00946007" w:rsidRPr="00946007" w:rsidTr="0094600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right"/>
              <w:rPr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rPr>
                <w:sz w:val="20"/>
                <w:szCs w:val="20"/>
                <w:lang w:val="lt-LT" w:eastAsia="lt-L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007" w:rsidRPr="00946007" w:rsidRDefault="00946007" w:rsidP="0094600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</w:pPr>
            <w:r w:rsidRPr="0094600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lt-LT" w:eastAsia="lt-LT"/>
              </w:rPr>
              <w:t>599</w:t>
            </w:r>
          </w:p>
        </w:tc>
      </w:tr>
    </w:tbl>
    <w:p w:rsidR="00BF0C34" w:rsidRDefault="00FD51DF" w:rsidP="00E443D2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</w:r>
    </w:p>
    <w:p w:rsidR="00946007" w:rsidRDefault="007675CB" w:rsidP="00946007">
      <w:pPr>
        <w:tabs>
          <w:tab w:val="left" w:pos="720"/>
          <w:tab w:val="num" w:pos="3960"/>
        </w:tabs>
        <w:spacing w:line="360" w:lineRule="auto"/>
        <w:jc w:val="both"/>
      </w:pPr>
      <w:r>
        <w:rPr>
          <w:lang w:val="lt-LT"/>
        </w:rPr>
        <w:tab/>
        <w:t xml:space="preserve">2. </w:t>
      </w:r>
      <w:r w:rsidR="00946007">
        <w:rPr>
          <w:lang w:val="lt-LT"/>
        </w:rPr>
        <w:t xml:space="preserve">Molėtų r. socialinės paramos centro </w:t>
      </w:r>
      <w:r>
        <w:rPr>
          <w:lang w:val="lt-LT"/>
        </w:rPr>
        <w:t xml:space="preserve"> asignavimai 3 priede. </w:t>
      </w:r>
      <w:r w:rsidR="00946007">
        <w:t>Molėtų socialinės paramos centrui skiriama 31</w:t>
      </w:r>
      <w:proofErr w:type="gramStart"/>
      <w:r w:rsidR="00946007">
        <w:t>,2</w:t>
      </w:r>
      <w:proofErr w:type="gramEnd"/>
      <w:r w:rsidR="00946007">
        <w:t xml:space="preserve"> tūkst. Eur Europos Sąjungos fondų lėšų įgyvendinamam projektui “Integralios pagalbos teikimas Molėtų rajone” finansuoti. </w:t>
      </w:r>
      <w:r w:rsidR="00946007">
        <w:t>28</w:t>
      </w:r>
      <w:proofErr w:type="gramStart"/>
      <w:r w:rsidR="00946007">
        <w:t>,3</w:t>
      </w:r>
      <w:proofErr w:type="gramEnd"/>
      <w:r w:rsidR="00946007">
        <w:t xml:space="preserve"> tūkst. Eur skiriama darbo užmokesčiui finansuoti. </w:t>
      </w:r>
    </w:p>
    <w:p w:rsidR="00F8762E" w:rsidRDefault="00D30F76" w:rsidP="008C5B59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2. </w:t>
      </w:r>
      <w:r w:rsidR="008C5B59">
        <w:rPr>
          <w:b/>
          <w:lang w:val="lt-LT"/>
        </w:rPr>
        <w:t>Šiuo metu esantis teisinis reglamentavimas</w:t>
      </w:r>
      <w:r w:rsidR="00F8762E">
        <w:rPr>
          <w:b/>
          <w:lang w:val="lt-LT"/>
        </w:rPr>
        <w:t xml:space="preserve">: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Lietuvos Respublikos biudžeto sandaros įstatymas;  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>Lietuvos Respublikos Vyriausybės 2001 m. gegužės 14 d. nutarimas Nr. 543 ,,Dėl Lietuvos Respublikos valstybės biudžeto ir savivaldybių biudžetų sudarymo ir vykdymo taisyklių patvirtinimo”;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ab/>
        <w:t xml:space="preserve">Molėtų rajono savivaldybės biudžeto </w:t>
      </w:r>
      <w:r w:rsidR="0020377E">
        <w:rPr>
          <w:lang w:val="lt-LT"/>
        </w:rPr>
        <w:t>projekto rengimo, tvirtinimo, biudžeto vykdymo, asignavimų išdavimo ir atskaitomybės tvarkos aprašas, patvirtintas 2019 m. balandžio 3 d. Molėtų rajono savivaldybės administracijos ditrektoriaus įsakymu Nr. B6-268 „Dėl Molėtų rajono savivaldybės biudžeto projekto rengimo, tvirtinimo, biudžeto vykdymo, asignavimų išdavimo ir atskaitomybės tvarkos aprašo tvirtinimo“.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ab/>
      </w:r>
      <w:r w:rsidR="00F8762E">
        <w:rPr>
          <w:b/>
          <w:lang w:val="lt-LT"/>
        </w:rPr>
        <w:t xml:space="preserve">3. </w:t>
      </w:r>
      <w:r w:rsidR="00F8762E">
        <w:rPr>
          <w:b/>
          <w:lang w:val="pt-BR"/>
        </w:rPr>
        <w:t>Galimos teigiamos ir neigiamos pasekmės priėmus siūlomą tarybos sprendimo projektą</w:t>
      </w:r>
      <w:r w:rsidR="00F8762E">
        <w:rPr>
          <w:b/>
          <w:lang w:val="lt-LT"/>
        </w:rPr>
        <w:t xml:space="preserve"> </w:t>
      </w:r>
    </w:p>
    <w:p w:rsidR="00946007" w:rsidRDefault="00F8762E" w:rsidP="0045363E">
      <w:pPr>
        <w:tabs>
          <w:tab w:val="left" w:pos="720"/>
          <w:tab w:val="num" w:pos="3960"/>
        </w:tabs>
        <w:spacing w:line="360" w:lineRule="auto"/>
        <w:ind w:left="-142"/>
        <w:jc w:val="both"/>
        <w:rPr>
          <w:lang w:val="lt-LT"/>
        </w:rPr>
      </w:pPr>
      <w:r>
        <w:rPr>
          <w:lang w:val="lt-LT"/>
        </w:rPr>
        <w:tab/>
        <w:t xml:space="preserve">Neigiamų pasekmių </w:t>
      </w:r>
      <w:r w:rsidR="00966288">
        <w:rPr>
          <w:lang w:val="lt-LT"/>
        </w:rPr>
        <w:t xml:space="preserve">- nenumatoma. </w:t>
      </w:r>
    </w:p>
    <w:p w:rsidR="00F8762E" w:rsidRPr="007E01EC" w:rsidRDefault="00946007" w:rsidP="0045363E">
      <w:pPr>
        <w:tabs>
          <w:tab w:val="left" w:pos="720"/>
          <w:tab w:val="num" w:pos="3960"/>
        </w:tabs>
        <w:spacing w:line="360" w:lineRule="auto"/>
        <w:ind w:left="-142"/>
        <w:jc w:val="both"/>
      </w:pPr>
      <w:r>
        <w:rPr>
          <w:lang w:val="lt-LT"/>
        </w:rPr>
        <w:tab/>
      </w:r>
      <w:r w:rsidR="00966288">
        <w:rPr>
          <w:lang w:val="lt-LT"/>
        </w:rPr>
        <w:t>Teigiamos pasekmės</w:t>
      </w:r>
      <w:r w:rsidR="00F8762E">
        <w:rPr>
          <w:lang w:val="lt-LT"/>
        </w:rPr>
        <w:t xml:space="preserve"> –</w:t>
      </w:r>
      <w:r w:rsidR="0020377E" w:rsidRPr="0020377E">
        <w:rPr>
          <w:lang w:val="lt-LT"/>
        </w:rPr>
        <w:t xml:space="preserve"> </w:t>
      </w:r>
      <w:r w:rsidR="0020377E">
        <w:rPr>
          <w:lang w:val="lt-LT"/>
        </w:rPr>
        <w:t xml:space="preserve">didinamas savivaldybės biudžetas, </w:t>
      </w:r>
      <w:r w:rsidR="00B31F3A">
        <w:rPr>
          <w:lang w:val="lt-LT"/>
        </w:rPr>
        <w:t>lėšos paskirstomos asignavimų valdytojams</w:t>
      </w:r>
      <w:r>
        <w:rPr>
          <w:lang w:val="lt-LT"/>
        </w:rPr>
        <w:t>.</w:t>
      </w:r>
      <w:bookmarkStart w:id="0" w:name="_GoBack"/>
      <w:bookmarkEnd w:id="0"/>
    </w:p>
    <w:p w:rsidR="00F8762E" w:rsidRDefault="00D30F76" w:rsidP="008C5B59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ab/>
      </w:r>
      <w:r w:rsidR="00F8762E">
        <w:rPr>
          <w:b/>
        </w:rPr>
        <w:t>4. Priemonės sprendimui įgyvendinti</w:t>
      </w:r>
    </w:p>
    <w:p w:rsidR="00F8762E" w:rsidRDefault="00F8762E" w:rsidP="008C5B59">
      <w:pPr>
        <w:spacing w:line="360" w:lineRule="auto"/>
        <w:jc w:val="both"/>
      </w:pPr>
      <w:r>
        <w:t xml:space="preserve">            Priimti teigiamą sprendimą.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ab/>
      </w:r>
      <w:r w:rsidR="00F8762E">
        <w:rPr>
          <w:b/>
        </w:rPr>
        <w:t>5. Lėšų poreikis ir jų šaltiniai (prireikus skaičiavimai ir išlaidų sąmatos)</w:t>
      </w:r>
    </w:p>
    <w:p w:rsidR="00F8762E" w:rsidRDefault="00F8762E" w:rsidP="008C5B59">
      <w:pPr>
        <w:tabs>
          <w:tab w:val="left" w:pos="720"/>
          <w:tab w:val="num" w:pos="3960"/>
        </w:tabs>
        <w:spacing w:line="360" w:lineRule="auto"/>
        <w:ind w:firstLine="851"/>
        <w:jc w:val="both"/>
      </w:pPr>
      <w:r>
        <w:t>-</w:t>
      </w:r>
    </w:p>
    <w:p w:rsidR="00F8762E" w:rsidRDefault="00D30F76" w:rsidP="008C5B59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lastRenderedPageBreak/>
        <w:tab/>
      </w:r>
      <w:proofErr w:type="gramStart"/>
      <w:r w:rsidR="00F8762E">
        <w:rPr>
          <w:b/>
        </w:rPr>
        <w:t>6.Vykdytojai</w:t>
      </w:r>
      <w:proofErr w:type="gramEnd"/>
      <w:r w:rsidR="00F8762E">
        <w:rPr>
          <w:b/>
        </w:rPr>
        <w:t xml:space="preserve">, įvykdymo terminai  </w:t>
      </w:r>
    </w:p>
    <w:p w:rsidR="004C38FD" w:rsidRDefault="00F8762E" w:rsidP="008C5B59">
      <w:pPr>
        <w:jc w:val="both"/>
      </w:pPr>
      <w:r>
        <w:rPr>
          <w:lang w:val="lt-LT"/>
        </w:rPr>
        <w:t xml:space="preserve">            Savivaldybės admi</w:t>
      </w:r>
      <w:r w:rsidR="00665FE2">
        <w:rPr>
          <w:lang w:val="lt-LT"/>
        </w:rPr>
        <w:t>nistracija, asignavimų valdytojai.</w:t>
      </w:r>
    </w:p>
    <w:sectPr w:rsidR="004C38FD" w:rsidSect="00966288">
      <w:headerReference w:type="default" r:id="rId8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37A" w:rsidRDefault="000C337A" w:rsidP="00F8762E">
      <w:r>
        <w:separator/>
      </w:r>
    </w:p>
  </w:endnote>
  <w:endnote w:type="continuationSeparator" w:id="0">
    <w:p w:rsidR="000C337A" w:rsidRDefault="000C337A" w:rsidP="00F8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37A" w:rsidRDefault="000C337A" w:rsidP="00F8762E">
      <w:r>
        <w:separator/>
      </w:r>
    </w:p>
  </w:footnote>
  <w:footnote w:type="continuationSeparator" w:id="0">
    <w:p w:rsidR="000C337A" w:rsidRDefault="000C337A" w:rsidP="00F87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078370"/>
      <w:docPartObj>
        <w:docPartGallery w:val="Page Numbers (Top of Page)"/>
        <w:docPartUnique/>
      </w:docPartObj>
    </w:sdtPr>
    <w:sdtEndPr/>
    <w:sdtContent>
      <w:p w:rsidR="00966288" w:rsidRDefault="00966288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2E" w:rsidRPr="00D30F2E">
          <w:rPr>
            <w:noProof/>
            <w:lang w:val="lt-LT"/>
          </w:rPr>
          <w:t>4</w:t>
        </w:r>
        <w:r>
          <w:fldChar w:fldCharType="end"/>
        </w:r>
      </w:p>
    </w:sdtContent>
  </w:sdt>
  <w:p w:rsidR="00966288" w:rsidRDefault="0096628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0E8"/>
    <w:multiLevelType w:val="hybridMultilevel"/>
    <w:tmpl w:val="CB4495F0"/>
    <w:lvl w:ilvl="0" w:tplc="8E188F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42AA1"/>
    <w:multiLevelType w:val="hybridMultilevel"/>
    <w:tmpl w:val="E06E7B9C"/>
    <w:lvl w:ilvl="0" w:tplc="91A25B96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2" w15:restartNumberingAfterBreak="0">
    <w:nsid w:val="144E239B"/>
    <w:multiLevelType w:val="hybridMultilevel"/>
    <w:tmpl w:val="24E6FDAC"/>
    <w:lvl w:ilvl="0" w:tplc="16B47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1020FD"/>
    <w:multiLevelType w:val="hybridMultilevel"/>
    <w:tmpl w:val="CE369C3C"/>
    <w:lvl w:ilvl="0" w:tplc="B7D26798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4" w15:restartNumberingAfterBreak="0">
    <w:nsid w:val="304F0555"/>
    <w:multiLevelType w:val="hybridMultilevel"/>
    <w:tmpl w:val="AB962BC6"/>
    <w:lvl w:ilvl="0" w:tplc="66D43B1A">
      <w:start w:val="1"/>
      <w:numFmt w:val="decimal"/>
      <w:lvlText w:val="%1."/>
      <w:lvlJc w:val="left"/>
      <w:pPr>
        <w:ind w:left="107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3" w:hanging="360"/>
      </w:pPr>
    </w:lvl>
    <w:lvl w:ilvl="2" w:tplc="0427001B" w:tentative="1">
      <w:start w:val="1"/>
      <w:numFmt w:val="lowerRoman"/>
      <w:lvlText w:val="%3."/>
      <w:lvlJc w:val="right"/>
      <w:pPr>
        <w:ind w:left="2513" w:hanging="180"/>
      </w:pPr>
    </w:lvl>
    <w:lvl w:ilvl="3" w:tplc="0427000F" w:tentative="1">
      <w:start w:val="1"/>
      <w:numFmt w:val="decimal"/>
      <w:lvlText w:val="%4."/>
      <w:lvlJc w:val="left"/>
      <w:pPr>
        <w:ind w:left="3233" w:hanging="360"/>
      </w:pPr>
    </w:lvl>
    <w:lvl w:ilvl="4" w:tplc="04270019" w:tentative="1">
      <w:start w:val="1"/>
      <w:numFmt w:val="lowerLetter"/>
      <w:lvlText w:val="%5."/>
      <w:lvlJc w:val="left"/>
      <w:pPr>
        <w:ind w:left="3953" w:hanging="360"/>
      </w:pPr>
    </w:lvl>
    <w:lvl w:ilvl="5" w:tplc="0427001B" w:tentative="1">
      <w:start w:val="1"/>
      <w:numFmt w:val="lowerRoman"/>
      <w:lvlText w:val="%6."/>
      <w:lvlJc w:val="right"/>
      <w:pPr>
        <w:ind w:left="4673" w:hanging="180"/>
      </w:pPr>
    </w:lvl>
    <w:lvl w:ilvl="6" w:tplc="0427000F" w:tentative="1">
      <w:start w:val="1"/>
      <w:numFmt w:val="decimal"/>
      <w:lvlText w:val="%7."/>
      <w:lvlJc w:val="left"/>
      <w:pPr>
        <w:ind w:left="5393" w:hanging="360"/>
      </w:pPr>
    </w:lvl>
    <w:lvl w:ilvl="7" w:tplc="04270019" w:tentative="1">
      <w:start w:val="1"/>
      <w:numFmt w:val="lowerLetter"/>
      <w:lvlText w:val="%8."/>
      <w:lvlJc w:val="left"/>
      <w:pPr>
        <w:ind w:left="6113" w:hanging="360"/>
      </w:pPr>
    </w:lvl>
    <w:lvl w:ilvl="8" w:tplc="0427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5" w15:restartNumberingAfterBreak="0">
    <w:nsid w:val="32732DE2"/>
    <w:multiLevelType w:val="hybridMultilevel"/>
    <w:tmpl w:val="FF40FE20"/>
    <w:lvl w:ilvl="0" w:tplc="06AEBC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801436"/>
    <w:multiLevelType w:val="hybridMultilevel"/>
    <w:tmpl w:val="339433F0"/>
    <w:lvl w:ilvl="0" w:tplc="FB185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33F97"/>
    <w:multiLevelType w:val="hybridMultilevel"/>
    <w:tmpl w:val="38CEBA36"/>
    <w:lvl w:ilvl="0" w:tplc="D5F0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26118D"/>
    <w:multiLevelType w:val="multilevel"/>
    <w:tmpl w:val="2130B5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5FC26232"/>
    <w:multiLevelType w:val="multilevel"/>
    <w:tmpl w:val="4FDE708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</w:lvl>
    <w:lvl w:ilvl="2">
      <w:start w:val="1"/>
      <w:numFmt w:val="decimal"/>
      <w:isLgl/>
      <w:lvlText w:val="%1.%2.%3."/>
      <w:lvlJc w:val="left"/>
      <w:pPr>
        <w:ind w:left="2880" w:hanging="720"/>
      </w:pPr>
    </w:lvl>
    <w:lvl w:ilvl="3">
      <w:start w:val="1"/>
      <w:numFmt w:val="decimal"/>
      <w:isLgl/>
      <w:lvlText w:val="%1.%2.%3.%4."/>
      <w:lvlJc w:val="left"/>
      <w:pPr>
        <w:ind w:left="3600" w:hanging="720"/>
      </w:pPr>
    </w:lvl>
    <w:lvl w:ilvl="4">
      <w:start w:val="1"/>
      <w:numFmt w:val="decimal"/>
      <w:isLgl/>
      <w:lvlText w:val="%1.%2.%3.%4.%5."/>
      <w:lvlJc w:val="left"/>
      <w:pPr>
        <w:ind w:left="4680" w:hanging="1080"/>
      </w:pPr>
    </w:lvl>
    <w:lvl w:ilvl="5">
      <w:start w:val="1"/>
      <w:numFmt w:val="decimal"/>
      <w:isLgl/>
      <w:lvlText w:val="%1.%2.%3.%4.%5.%6."/>
      <w:lvlJc w:val="left"/>
      <w:pPr>
        <w:ind w:left="5400" w:hanging="1080"/>
      </w:pPr>
    </w:lvl>
    <w:lvl w:ilvl="6">
      <w:start w:val="1"/>
      <w:numFmt w:val="decimal"/>
      <w:isLgl/>
      <w:lvlText w:val="%1.%2.%3.%4.%5.%6.%7."/>
      <w:lvlJc w:val="left"/>
      <w:pPr>
        <w:ind w:left="6480" w:hanging="1440"/>
      </w:p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</w:lvl>
  </w:abstractNum>
  <w:abstractNum w:abstractNumId="10" w15:restartNumberingAfterBreak="0">
    <w:nsid w:val="63E93A73"/>
    <w:multiLevelType w:val="hybridMultilevel"/>
    <w:tmpl w:val="E9B2F2F4"/>
    <w:lvl w:ilvl="0" w:tplc="537660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FC6793"/>
    <w:multiLevelType w:val="hybridMultilevel"/>
    <w:tmpl w:val="1124D8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2E"/>
    <w:rsid w:val="00044E77"/>
    <w:rsid w:val="00054E16"/>
    <w:rsid w:val="00065B88"/>
    <w:rsid w:val="000B00D0"/>
    <w:rsid w:val="000B5438"/>
    <w:rsid w:val="000C220B"/>
    <w:rsid w:val="000C337A"/>
    <w:rsid w:val="000C3F70"/>
    <w:rsid w:val="000C6547"/>
    <w:rsid w:val="000F0AF5"/>
    <w:rsid w:val="00105394"/>
    <w:rsid w:val="001366AA"/>
    <w:rsid w:val="00144633"/>
    <w:rsid w:val="00151B39"/>
    <w:rsid w:val="001722D4"/>
    <w:rsid w:val="001A10AA"/>
    <w:rsid w:val="001A16E9"/>
    <w:rsid w:val="001B5C55"/>
    <w:rsid w:val="001C5937"/>
    <w:rsid w:val="001E5929"/>
    <w:rsid w:val="001F25FA"/>
    <w:rsid w:val="0020377E"/>
    <w:rsid w:val="0020552F"/>
    <w:rsid w:val="00222E8E"/>
    <w:rsid w:val="00250D78"/>
    <w:rsid w:val="00255EC0"/>
    <w:rsid w:val="00277D13"/>
    <w:rsid w:val="00285BF4"/>
    <w:rsid w:val="00294345"/>
    <w:rsid w:val="00297A28"/>
    <w:rsid w:val="002A2525"/>
    <w:rsid w:val="002A6E5B"/>
    <w:rsid w:val="002A7C44"/>
    <w:rsid w:val="002B0F74"/>
    <w:rsid w:val="002D0F6A"/>
    <w:rsid w:val="002D4246"/>
    <w:rsid w:val="003177D5"/>
    <w:rsid w:val="003535E4"/>
    <w:rsid w:val="0037459A"/>
    <w:rsid w:val="00380E30"/>
    <w:rsid w:val="003A52C1"/>
    <w:rsid w:val="003A6AFF"/>
    <w:rsid w:val="003D476F"/>
    <w:rsid w:val="003E6AD6"/>
    <w:rsid w:val="003F40AA"/>
    <w:rsid w:val="0045167D"/>
    <w:rsid w:val="00452378"/>
    <w:rsid w:val="0045363E"/>
    <w:rsid w:val="004948F7"/>
    <w:rsid w:val="004A1B95"/>
    <w:rsid w:val="004B3D9A"/>
    <w:rsid w:val="004C38FD"/>
    <w:rsid w:val="004C66EF"/>
    <w:rsid w:val="004F4B56"/>
    <w:rsid w:val="00545892"/>
    <w:rsid w:val="005467E9"/>
    <w:rsid w:val="00557990"/>
    <w:rsid w:val="0056323B"/>
    <w:rsid w:val="005705FE"/>
    <w:rsid w:val="005A7BE5"/>
    <w:rsid w:val="005B566F"/>
    <w:rsid w:val="005D40DC"/>
    <w:rsid w:val="005D7AF2"/>
    <w:rsid w:val="005F54D4"/>
    <w:rsid w:val="005F7349"/>
    <w:rsid w:val="00605F3D"/>
    <w:rsid w:val="006340D0"/>
    <w:rsid w:val="00637895"/>
    <w:rsid w:val="0064314C"/>
    <w:rsid w:val="00665FE2"/>
    <w:rsid w:val="006B1D90"/>
    <w:rsid w:val="006C26A1"/>
    <w:rsid w:val="006F1E3A"/>
    <w:rsid w:val="00713CED"/>
    <w:rsid w:val="007269C5"/>
    <w:rsid w:val="0073317D"/>
    <w:rsid w:val="00763935"/>
    <w:rsid w:val="00765E1B"/>
    <w:rsid w:val="007675CB"/>
    <w:rsid w:val="00770C2C"/>
    <w:rsid w:val="007829B4"/>
    <w:rsid w:val="0079594B"/>
    <w:rsid w:val="007B0FCE"/>
    <w:rsid w:val="007B4CC2"/>
    <w:rsid w:val="007C42FC"/>
    <w:rsid w:val="007E01EC"/>
    <w:rsid w:val="007E22AD"/>
    <w:rsid w:val="0080510D"/>
    <w:rsid w:val="00807D97"/>
    <w:rsid w:val="008131D3"/>
    <w:rsid w:val="00813C6E"/>
    <w:rsid w:val="00817ACD"/>
    <w:rsid w:val="0087118F"/>
    <w:rsid w:val="008832B3"/>
    <w:rsid w:val="008965D3"/>
    <w:rsid w:val="008A7D83"/>
    <w:rsid w:val="008C5B59"/>
    <w:rsid w:val="008E6728"/>
    <w:rsid w:val="00904E75"/>
    <w:rsid w:val="0090590A"/>
    <w:rsid w:val="00917F86"/>
    <w:rsid w:val="00926802"/>
    <w:rsid w:val="00927C8B"/>
    <w:rsid w:val="00946007"/>
    <w:rsid w:val="00950010"/>
    <w:rsid w:val="009573A5"/>
    <w:rsid w:val="009626E9"/>
    <w:rsid w:val="00966288"/>
    <w:rsid w:val="0097276F"/>
    <w:rsid w:val="00972D6B"/>
    <w:rsid w:val="00981DD3"/>
    <w:rsid w:val="00982DC6"/>
    <w:rsid w:val="009A4D3B"/>
    <w:rsid w:val="009B1C32"/>
    <w:rsid w:val="009B7C4B"/>
    <w:rsid w:val="009C13EC"/>
    <w:rsid w:val="009D2217"/>
    <w:rsid w:val="009E044D"/>
    <w:rsid w:val="00A331CC"/>
    <w:rsid w:val="00A533E4"/>
    <w:rsid w:val="00A542D3"/>
    <w:rsid w:val="00A543C0"/>
    <w:rsid w:val="00A76CE0"/>
    <w:rsid w:val="00A770A3"/>
    <w:rsid w:val="00A77DB1"/>
    <w:rsid w:val="00A90210"/>
    <w:rsid w:val="00AA2BE5"/>
    <w:rsid w:val="00AA7FB4"/>
    <w:rsid w:val="00AE5AD5"/>
    <w:rsid w:val="00B05D2A"/>
    <w:rsid w:val="00B06DD8"/>
    <w:rsid w:val="00B07517"/>
    <w:rsid w:val="00B100BB"/>
    <w:rsid w:val="00B22920"/>
    <w:rsid w:val="00B310BB"/>
    <w:rsid w:val="00B31F3A"/>
    <w:rsid w:val="00B76393"/>
    <w:rsid w:val="00B81E61"/>
    <w:rsid w:val="00B8460B"/>
    <w:rsid w:val="00B87291"/>
    <w:rsid w:val="00BD74A5"/>
    <w:rsid w:val="00BD7851"/>
    <w:rsid w:val="00BF0C34"/>
    <w:rsid w:val="00BF3FED"/>
    <w:rsid w:val="00C056B9"/>
    <w:rsid w:val="00C10A8E"/>
    <w:rsid w:val="00C13EE3"/>
    <w:rsid w:val="00C430B6"/>
    <w:rsid w:val="00C766C9"/>
    <w:rsid w:val="00C945B7"/>
    <w:rsid w:val="00CA5E85"/>
    <w:rsid w:val="00CB5391"/>
    <w:rsid w:val="00CB6C75"/>
    <w:rsid w:val="00CC7339"/>
    <w:rsid w:val="00CD5EEB"/>
    <w:rsid w:val="00CE3E76"/>
    <w:rsid w:val="00D030AB"/>
    <w:rsid w:val="00D12F0C"/>
    <w:rsid w:val="00D14C71"/>
    <w:rsid w:val="00D30F2E"/>
    <w:rsid w:val="00D30F76"/>
    <w:rsid w:val="00D917FC"/>
    <w:rsid w:val="00D97D9F"/>
    <w:rsid w:val="00DA7C05"/>
    <w:rsid w:val="00DF2095"/>
    <w:rsid w:val="00E07F14"/>
    <w:rsid w:val="00E21B32"/>
    <w:rsid w:val="00E22870"/>
    <w:rsid w:val="00E25C60"/>
    <w:rsid w:val="00E305EE"/>
    <w:rsid w:val="00E33C7B"/>
    <w:rsid w:val="00E40D0C"/>
    <w:rsid w:val="00E443D2"/>
    <w:rsid w:val="00EA4ACD"/>
    <w:rsid w:val="00ED02DD"/>
    <w:rsid w:val="00EE0214"/>
    <w:rsid w:val="00EE3A51"/>
    <w:rsid w:val="00F1220C"/>
    <w:rsid w:val="00F41A02"/>
    <w:rsid w:val="00F558EA"/>
    <w:rsid w:val="00F62E77"/>
    <w:rsid w:val="00F66BFB"/>
    <w:rsid w:val="00F70DC8"/>
    <w:rsid w:val="00F8762E"/>
    <w:rsid w:val="00F97A7B"/>
    <w:rsid w:val="00FA51C2"/>
    <w:rsid w:val="00FB4482"/>
    <w:rsid w:val="00FC79E8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1725"/>
  <w15:chartTrackingRefBased/>
  <w15:docId w15:val="{511F1C12-BD73-42EE-8FD9-16E52C43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8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8762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F8762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62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8F7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8F7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DiagramaDiagrama3">
    <w:name w:val="Diagrama Diagrama3"/>
    <w:basedOn w:val="prastasis"/>
    <w:rsid w:val="00637895"/>
    <w:pPr>
      <w:spacing w:after="160" w:line="240" w:lineRule="exact"/>
    </w:pPr>
    <w:rPr>
      <w:rFonts w:ascii="Tahoma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6391-0137-4DCB-B0F3-127AD0E0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4002</Words>
  <Characters>2282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Kulbienė Genė</dc:creator>
  <cp:keywords/>
  <dc:description/>
  <cp:lastModifiedBy>Maigienė Rūta</cp:lastModifiedBy>
  <cp:revision>19</cp:revision>
  <cp:lastPrinted>2019-05-03T08:48:00Z</cp:lastPrinted>
  <dcterms:created xsi:type="dcterms:W3CDTF">2019-05-02T08:47:00Z</dcterms:created>
  <dcterms:modified xsi:type="dcterms:W3CDTF">2019-07-17T08:43:00Z</dcterms:modified>
</cp:coreProperties>
</file>