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>
        <w:t>bendradarbiavimo sutarties pasirašymo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</w:p>
    <w:p w:rsidR="00831788" w:rsidRPr="00511807" w:rsidRDefault="00831788" w:rsidP="00831788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rPr>
          <w:rFonts w:eastAsia="Times New Roman" w:cs="Times New Roman"/>
          <w:szCs w:val="24"/>
        </w:rPr>
        <w:t xml:space="preserve">    </w:t>
      </w:r>
      <w:r>
        <w:t xml:space="preserve">    </w:t>
      </w:r>
      <w:r>
        <w:t>S</w:t>
      </w:r>
      <w:r w:rsidRPr="001F0D82">
        <w:t>pre</w:t>
      </w:r>
      <w:r>
        <w:t xml:space="preserve">ndimo projekto </w:t>
      </w:r>
      <w:r>
        <w:t xml:space="preserve">tikslas </w:t>
      </w:r>
      <w:r>
        <w:t>–</w:t>
      </w:r>
      <w:r>
        <w:t xml:space="preserve"> pritarti</w:t>
      </w:r>
      <w:r>
        <w:t xml:space="preserve">, kad </w:t>
      </w:r>
      <w:r>
        <w:t>Molėtų raj</w:t>
      </w:r>
      <w:r>
        <w:t xml:space="preserve">ono savivaldybės administracija (toliau-Savivaldybė)  pasirašytų bendradarbiavimo sutartį </w:t>
      </w:r>
      <w:r w:rsidRPr="001F0D82">
        <w:t xml:space="preserve">su Lietuvos automobilių kelių direkcija prie Susisiekimo ministerijos </w:t>
      </w:r>
      <w:r>
        <w:t xml:space="preserve">(toliau-Kelių direkcija) dėl </w:t>
      </w:r>
      <w:r>
        <w:t xml:space="preserve"> </w:t>
      </w:r>
      <w:r w:rsidRPr="001F0D82">
        <w:t> </w:t>
      </w:r>
      <w:r>
        <w:t xml:space="preserve">pėsčiųjų </w:t>
      </w:r>
      <w:r w:rsidRPr="00321CE7">
        <w:t>tako  įrengimo</w:t>
      </w:r>
      <w:r w:rsidRPr="00321CE7">
        <w:rPr>
          <w:rFonts w:cs="Times New Roman"/>
          <w:szCs w:val="24"/>
        </w:rPr>
        <w:t xml:space="preserve"> valstybinės reikšmės krašto kelio Nr. 172 Raudondvaris–Giedraičiai–Molėtai (Giedraičių miestelyje suteiktas Vilniaus gatvės pavadinimas) ruože nuo 28,668 iki 29,725 km</w:t>
      </w:r>
      <w:r w:rsidR="007E3501">
        <w:rPr>
          <w:rFonts w:cs="Times New Roman"/>
          <w:szCs w:val="24"/>
        </w:rPr>
        <w:t xml:space="preserve"> (toliau-projektas)</w:t>
      </w:r>
      <w:r>
        <w:rPr>
          <w:rFonts w:cs="Times New Roman"/>
          <w:szCs w:val="24"/>
        </w:rPr>
        <w:t>.</w:t>
      </w:r>
      <w:r>
        <w:t xml:space="preserve"> </w:t>
      </w:r>
    </w:p>
    <w:p w:rsidR="00110EDB" w:rsidRPr="00110EDB" w:rsidRDefault="00110EDB" w:rsidP="00110EDB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t xml:space="preserve">    Savivaldybė planuoja teikti paraišką ES struktūrinių fondų paramai gauti</w:t>
      </w:r>
      <w:r w:rsidRPr="00110EDB">
        <w:t xml:space="preserve">  projekt</w:t>
      </w:r>
      <w:r>
        <w:t>ui</w:t>
      </w:r>
      <w:r w:rsidRPr="00110EDB">
        <w:t xml:space="preserve"> „Saugaus eismo priemonių diegimas Molėtų rajono Giedraičių miestelyje“ pagal 2014–2020 metų Europos Sąjungos fondų investicijų veiksmų programos 6 prioriteto „Darnaus transporto ir pagrindinių tinklų infrastruktūros plėtra“ 06.2.1-TID-R-511 priemonė „Vietinių kelių vystymas“</w:t>
      </w:r>
      <w:r>
        <w:t>. Įgyvendinus projektą būtų atnaujinta apie 1060 m. šaligatvio.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t xml:space="preserve">     Siekiant kompleksiškai parengti </w:t>
      </w:r>
      <w:r>
        <w:t xml:space="preserve">pėsčiųjų tako (šaligatvio) </w:t>
      </w:r>
      <w:r>
        <w:rPr>
          <w:rFonts w:cs="Times New Roman"/>
          <w:szCs w:val="24"/>
        </w:rPr>
        <w:t xml:space="preserve">įrengimo sprendinius, būtini Savivaldybės ir Kelių direkcijos, kaip atskirų turto valdytojų bendri veiksmai dėl projektavimo procedūrų, statybą leidžiančių dokumentų gavimo ir rangos darbų įgyvendinimo. Tuo tikslu pasirašoma </w:t>
      </w:r>
      <w:r w:rsidR="00110EDB">
        <w:rPr>
          <w:rFonts w:cs="Times New Roman"/>
          <w:szCs w:val="24"/>
        </w:rPr>
        <w:t>bendradarbiavimo</w:t>
      </w:r>
      <w:r>
        <w:rPr>
          <w:rFonts w:cs="Times New Roman"/>
          <w:szCs w:val="24"/>
        </w:rPr>
        <w:t xml:space="preserve"> sutartis, kurioje numatyti </w:t>
      </w:r>
      <w:r w:rsidR="00110EDB">
        <w:rPr>
          <w:rFonts w:cs="Times New Roman"/>
          <w:szCs w:val="24"/>
        </w:rPr>
        <w:t>šalių</w:t>
      </w:r>
      <w:r>
        <w:rPr>
          <w:rFonts w:cs="Times New Roman"/>
          <w:szCs w:val="24"/>
        </w:rPr>
        <w:t xml:space="preserve"> įsipareigojimai, finansavimo sąlygos ir kt. </w:t>
      </w:r>
    </w:p>
    <w:p w:rsidR="00831788" w:rsidRPr="00511807" w:rsidRDefault="00831788" w:rsidP="00110EDB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0D05A9">
        <w:rPr>
          <w:rFonts w:eastAsia="Times New Roman" w:cs="Times New Roman"/>
          <w:szCs w:val="24"/>
        </w:rPr>
        <w:t xml:space="preserve"> 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>
        <w:t>Lietuvos Respublikos Kelių įstatymas;</w:t>
      </w:r>
    </w:p>
    <w:p w:rsidR="00831788" w:rsidRPr="001F0D82" w:rsidRDefault="000D6702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>
        <w:t>K</w:t>
      </w:r>
      <w:r w:rsidR="00831788" w:rsidRPr="001F0D82">
        <w:t xml:space="preserve">elių direkcijos </w:t>
      </w:r>
      <w:r>
        <w:t>ir S</w:t>
      </w:r>
      <w:r w:rsidR="00831788" w:rsidRPr="001F0D82">
        <w:t>avivaldybės a</w:t>
      </w:r>
      <w:r w:rsidR="00831788">
        <w:t>tstov</w:t>
      </w:r>
      <w:r>
        <w:t>ų</w:t>
      </w:r>
      <w:r w:rsidR="00831788">
        <w:t xml:space="preserve"> </w:t>
      </w:r>
      <w:r>
        <w:t xml:space="preserve">2019-02-13 </w:t>
      </w:r>
      <w:r>
        <w:t xml:space="preserve"> pasitarimo </w:t>
      </w:r>
      <w:r w:rsidR="00831788">
        <w:t>protokolas</w:t>
      </w:r>
      <w:r w:rsidR="00831788" w:rsidRPr="001F0D82">
        <w:t xml:space="preserve"> Nr. AP-</w:t>
      </w:r>
      <w:r w:rsidR="00110EDB">
        <w:t>39</w:t>
      </w:r>
      <w:r w:rsidR="00831788" w:rsidRPr="001F0D82">
        <w:t>.</w:t>
      </w:r>
    </w:p>
    <w:p w:rsidR="00831788" w:rsidRPr="00511807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831788" w:rsidRPr="003B32D9" w:rsidRDefault="00831788" w:rsidP="0083178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Teigiamos –</w:t>
      </w:r>
      <w:r w:rsidR="00110EDB">
        <w:rPr>
          <w:rFonts w:eastAsia="Times New Roman" w:cs="Times New Roman"/>
          <w:szCs w:val="24"/>
        </w:rPr>
        <w:t xml:space="preserve"> </w:t>
      </w:r>
      <w:r w:rsidRPr="003B32D9">
        <w:rPr>
          <w:rFonts w:eastAsia="Times New Roman" w:cs="Times New Roman"/>
          <w:szCs w:val="24"/>
        </w:rPr>
        <w:t xml:space="preserve">pasirašius </w:t>
      </w:r>
      <w:r w:rsidR="00110EDB">
        <w:rPr>
          <w:rFonts w:eastAsia="Times New Roman" w:cs="Times New Roman"/>
          <w:szCs w:val="24"/>
        </w:rPr>
        <w:t>bendradarbiavimo</w:t>
      </w:r>
      <w:r w:rsidRPr="003B32D9">
        <w:rPr>
          <w:rFonts w:eastAsia="Times New Roman" w:cs="Times New Roman"/>
          <w:szCs w:val="24"/>
        </w:rPr>
        <w:t xml:space="preserve"> sutartį su </w:t>
      </w:r>
      <w:r w:rsidR="000D6702">
        <w:rPr>
          <w:rFonts w:eastAsia="Times New Roman" w:cs="Times New Roman"/>
          <w:szCs w:val="24"/>
        </w:rPr>
        <w:t>K</w:t>
      </w:r>
      <w:r w:rsidRPr="003B32D9">
        <w:rPr>
          <w:rFonts w:eastAsia="Times New Roman" w:cs="Times New Roman"/>
          <w:szCs w:val="24"/>
        </w:rPr>
        <w:t>elių direkcija bus sudarytos sąlygos įgyvendinti projekt</w:t>
      </w:r>
      <w:r w:rsidR="000D6702">
        <w:rPr>
          <w:rFonts w:eastAsia="Times New Roman" w:cs="Times New Roman"/>
          <w:szCs w:val="24"/>
        </w:rPr>
        <w:t>ą</w:t>
      </w:r>
      <w:r w:rsidRPr="003B32D9">
        <w:rPr>
          <w:rFonts w:eastAsia="Times New Roman" w:cs="Times New Roman"/>
          <w:szCs w:val="24"/>
        </w:rPr>
        <w:t>.</w:t>
      </w:r>
    </w:p>
    <w:p w:rsidR="00831788" w:rsidRDefault="00831788" w:rsidP="0083178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7E3501" w:rsidRDefault="007E3501" w:rsidP="0083178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-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831788" w:rsidRPr="00511807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F14A03">
        <w:t xml:space="preserve">Techninio </w:t>
      </w:r>
      <w:r w:rsidR="000A3D10">
        <w:t xml:space="preserve">darbo </w:t>
      </w:r>
      <w:r w:rsidRPr="00F14A03">
        <w:t xml:space="preserve">projekto </w:t>
      </w:r>
      <w:r w:rsidR="000A3D10">
        <w:t xml:space="preserve">parengimui </w:t>
      </w:r>
      <w:r w:rsidRPr="00F14A03">
        <w:t xml:space="preserve"> planuojama panaudoti apie </w:t>
      </w:r>
      <w:r w:rsidR="000A3D10">
        <w:t>6</w:t>
      </w:r>
      <w:r w:rsidRPr="00F14A03">
        <w:t>000 eurų iš</w:t>
      </w:r>
      <w:r>
        <w:rPr>
          <w:b/>
        </w:rPr>
        <w:t xml:space="preserve"> </w:t>
      </w:r>
      <w:r>
        <w:rPr>
          <w:lang w:val="pt-BR"/>
        </w:rPr>
        <w:t>Kelių priežiūros ir plėtros programos lėšų</w:t>
      </w:r>
      <w:r w:rsidR="000A3D10">
        <w:rPr>
          <w:lang w:val="pt-BR"/>
        </w:rPr>
        <w:t>, šaligatvio įrengimui – apie 150 000 eurų ES fondų lėš</w:t>
      </w:r>
      <w:r w:rsidR="007E3501">
        <w:rPr>
          <w:lang w:val="pt-BR"/>
        </w:rPr>
        <w:t>ų</w:t>
      </w:r>
      <w:r>
        <w:rPr>
          <w:lang w:val="pt-BR"/>
        </w:rPr>
        <w:t>.</w:t>
      </w:r>
      <w:r w:rsidR="007E3501">
        <w:rPr>
          <w:lang w:val="pt-BR"/>
        </w:rPr>
        <w:t xml:space="preserve"> </w:t>
      </w:r>
      <w:bookmarkStart w:id="0" w:name="_GoBack"/>
      <w:bookmarkEnd w:id="0"/>
    </w:p>
    <w:p w:rsidR="00831788" w:rsidRPr="00511807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831788" w:rsidRPr="00924844" w:rsidRDefault="007E3501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831788">
        <w:rPr>
          <w:rFonts w:eastAsia="Times New Roman" w:cs="Times New Roman"/>
          <w:szCs w:val="24"/>
        </w:rPr>
        <w:t>avivaldybė</w:t>
      </w:r>
      <w:r>
        <w:rPr>
          <w:rFonts w:eastAsia="Times New Roman" w:cs="Times New Roman"/>
          <w:szCs w:val="24"/>
        </w:rPr>
        <w:t xml:space="preserve"> ir K</w:t>
      </w:r>
      <w:r w:rsidR="00831788" w:rsidRPr="003B32D9">
        <w:rPr>
          <w:rFonts w:eastAsia="Times New Roman" w:cs="Times New Roman"/>
          <w:szCs w:val="24"/>
        </w:rPr>
        <w:t>elių direkcija</w:t>
      </w:r>
      <w:r>
        <w:rPr>
          <w:rFonts w:eastAsia="Times New Roman" w:cs="Times New Roman"/>
          <w:szCs w:val="24"/>
        </w:rPr>
        <w:t>. Planuojama projekto</w:t>
      </w:r>
      <w:r w:rsidR="00831788">
        <w:rPr>
          <w:rFonts w:eastAsia="Times New Roman" w:cs="Times New Roman"/>
          <w:szCs w:val="24"/>
        </w:rPr>
        <w:t xml:space="preserve"> įgyvendinimo pradžia 2019 m.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831788" w:rsidRDefault="00831788" w:rsidP="00831788">
      <w:pPr>
        <w:spacing w:after="0"/>
      </w:pPr>
    </w:p>
    <w:p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8"/>
    <w:rsid w:val="000A3D10"/>
    <w:rsid w:val="000D6702"/>
    <w:rsid w:val="00110EDB"/>
    <w:rsid w:val="007E3501"/>
    <w:rsid w:val="00831788"/>
    <w:rsid w:val="00A63BFC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DFDA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2019-02-18T13:58:00Z</dcterms:created>
  <dcterms:modified xsi:type="dcterms:W3CDTF">2019-02-18T15:14:00Z</dcterms:modified>
</cp:coreProperties>
</file>