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C7" w:rsidRPr="00CC5C79" w:rsidRDefault="00586CC7" w:rsidP="00586CC7">
      <w:pPr>
        <w:jc w:val="center"/>
        <w:rPr>
          <w:caps/>
        </w:rPr>
      </w:pPr>
      <w:bookmarkStart w:id="0" w:name="_GoBack"/>
      <w:bookmarkEnd w:id="0"/>
      <w:r w:rsidRPr="00CC5C79">
        <w:rPr>
          <w:caps/>
        </w:rPr>
        <w:t>Aiškinamasis raštas</w:t>
      </w:r>
    </w:p>
    <w:p w:rsidR="00586CC7" w:rsidRDefault="00586CC7" w:rsidP="00586CC7">
      <w:pPr>
        <w:jc w:val="center"/>
        <w:rPr>
          <w:b/>
        </w:rPr>
      </w:pPr>
    </w:p>
    <w:p w:rsidR="00586CC7" w:rsidRDefault="00586CC7" w:rsidP="00586CC7">
      <w:pPr>
        <w:jc w:val="center"/>
      </w:pPr>
      <w:r>
        <w:t>Dėl</w:t>
      </w:r>
      <w:r w:rsidR="00AC1770">
        <w:t xml:space="preserve"> Molėtų rajono savivaldybės </w:t>
      </w:r>
      <w:r w:rsidR="00A2110B">
        <w:t xml:space="preserve">specialiosios tikslinės dotacijos mokymo lėšų </w:t>
      </w:r>
      <w:r w:rsidR="00CC5C79" w:rsidRPr="00CC5C79">
        <w:t>dalies</w:t>
      </w:r>
      <w:r w:rsidR="00CC5C79">
        <w:t xml:space="preserve"> </w:t>
      </w:r>
      <w:r w:rsidR="00A2110B">
        <w:t>apskaičiavimo, paskirstymo ir panaudojimo tvarkos aprašo patvirtinimo</w:t>
      </w:r>
    </w:p>
    <w:p w:rsidR="00CC5C79" w:rsidRDefault="00CC5C79" w:rsidP="00586CC7">
      <w:pPr>
        <w:spacing w:line="360" w:lineRule="auto"/>
        <w:ind w:firstLine="720"/>
        <w:jc w:val="both"/>
        <w:rPr>
          <w:b/>
        </w:rPr>
      </w:pPr>
    </w:p>
    <w:p w:rsidR="00586CC7" w:rsidRDefault="00CC5C79" w:rsidP="00CC5C79">
      <w:pPr>
        <w:spacing w:line="360" w:lineRule="auto"/>
        <w:jc w:val="both"/>
        <w:rPr>
          <w:b/>
        </w:rPr>
      </w:pPr>
      <w:r>
        <w:rPr>
          <w:b/>
        </w:rPr>
        <w:t xml:space="preserve">1. </w:t>
      </w:r>
      <w:r w:rsidR="00586CC7">
        <w:rPr>
          <w:b/>
        </w:rPr>
        <w:t>Parengto tarybos sprendimo projekto tikslai ir uždaviniai</w:t>
      </w:r>
    </w:p>
    <w:p w:rsidR="00B22F07" w:rsidRDefault="00586CC7" w:rsidP="00586CC7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>
        <w:t>Teikiamu sprendimo projektu bus pa</w:t>
      </w:r>
      <w:r w:rsidR="0037202B">
        <w:t>tvirtintas</w:t>
      </w:r>
      <w:r>
        <w:t xml:space="preserve"> </w:t>
      </w:r>
      <w:r w:rsidR="0037202B">
        <w:t xml:space="preserve">Molėtų rajono savivaldybės </w:t>
      </w:r>
      <w:r w:rsidR="00A2110B">
        <w:t xml:space="preserve">specialiosios tikslinės dotacijos mokymo lėšų dalies apskaičiavimo, paskirstymo ir panaudojimo </w:t>
      </w:r>
      <w:r>
        <w:t xml:space="preserve"> tvarkos aprašas.</w:t>
      </w:r>
    </w:p>
    <w:p w:rsidR="00586CC7" w:rsidRDefault="0037202B" w:rsidP="00586CC7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>
        <w:t xml:space="preserve">Teikiamas tvirtinti sprendimas parengtas vadovaujantis Mokymo lėšų apskaičiavimo, paskirstymo ir panaudojimo tvarkos aprašo, patvirtinto Lietuvos Respublikos Vyriausybės 2018 m. liepos 11 d. nutarimu Nr. 679 „Dėl </w:t>
      </w:r>
      <w:r w:rsidR="00CC5C79">
        <w:t>M</w:t>
      </w:r>
      <w:r>
        <w:t>okymo lėšų apskaičiavimo, paskirstymo ir panaudojimo tvarkos aprašo patvirtinimo“</w:t>
      </w:r>
      <w:r w:rsidR="00B22F07">
        <w:t xml:space="preserve"> (toliau – Aprašas)</w:t>
      </w:r>
      <w:r>
        <w:t xml:space="preserve"> 1 punktu.</w:t>
      </w:r>
    </w:p>
    <w:p w:rsidR="00B22F07" w:rsidRDefault="00B22F07" w:rsidP="00586CC7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>
        <w:t>Aprašas bus taikomas paskirstant mokymo lėšas mokykloms pagal lėšų skyrimo klasei (grupei) principą (pagal m</w:t>
      </w:r>
      <w:r w:rsidR="00CC5C79">
        <w:t>okinių skaičių rugsėjo 1 dieną)</w:t>
      </w:r>
      <w:r>
        <w:t>.</w:t>
      </w:r>
      <w:r w:rsidR="002979E0">
        <w:t xml:space="preserve"> Atsižvelgiant į Lietuvos Respublikos švietimo ir mokslo ministerijos 2018 m. liepos 27 d. rašto Nr. SR-3365 „Dėl Lietuvos Respublikos valstybės ir savivaldybių įstaigų darbuotojų darbo apmokėjimo įstatymo Nr. XIII-198 2,3,4,7,8,14, 17 straipsnių ir 5 priedo pakeitimo įstatymo bei </w:t>
      </w:r>
      <w:r w:rsidR="00CC5C79">
        <w:t>M</w:t>
      </w:r>
      <w:r w:rsidR="002979E0">
        <w:t>okymo lėšų apskaičiavimo, paskirstymo ir panaudojimo tvarkos aprašo įgyvendinimo“ rekomendac</w:t>
      </w:r>
      <w:r w:rsidR="0029564C">
        <w:t>ijas, a</w:t>
      </w:r>
      <w:r w:rsidR="002979E0">
        <w:t>prašas papildė 2018 m. rugsėjo 4 d. sprendimu Nr. B1-187 patvirtintą</w:t>
      </w:r>
      <w:r w:rsidR="00CC5C79">
        <w:t xml:space="preserve"> </w:t>
      </w:r>
      <w:r w:rsidR="00DE76CD">
        <w:t>Molėtų rajono savivaldybės mokymo lėšų apskaičiavimo, paskirstym</w:t>
      </w:r>
      <w:r w:rsidR="00CC5C79">
        <w:t>o ir panaudojimo tvarkos aprašą</w:t>
      </w:r>
      <w:r w:rsidR="00DE76CD">
        <w:t>. Įrašyta</w:t>
      </w:r>
      <w:r w:rsidR="00A9522C">
        <w:t>,</w:t>
      </w:r>
      <w:r w:rsidR="00DE76CD">
        <w:t xml:space="preserve"> kokiais teisės aktais vadovaujantis nustatomas </w:t>
      </w:r>
      <w:r w:rsidR="00DA5830">
        <w:t xml:space="preserve">švietimo pagalbos </w:t>
      </w:r>
      <w:r w:rsidR="00DE76CD">
        <w:t>specialistų pareigybių skaičius mokyklose,</w:t>
      </w:r>
      <w:r w:rsidR="00DA5830">
        <w:t xml:space="preserve"> kokia tvarka savivaldybė paskirsto švietimo pagalbai organizuoti apskaičiuotas lėšas bendrojo ugdymo, ikimokyklinio ugdymo mokykloms ir Švietimo pagalbos tarnybai.</w:t>
      </w:r>
    </w:p>
    <w:p w:rsidR="00586CC7" w:rsidRDefault="00586CC7" w:rsidP="00CC5C79">
      <w:pPr>
        <w:pStyle w:val="Pagrindiniotekstotrauka3"/>
        <w:tabs>
          <w:tab w:val="left" w:pos="900"/>
        </w:tabs>
        <w:spacing w:line="360" w:lineRule="auto"/>
        <w:ind w:firstLine="0"/>
        <w:jc w:val="both"/>
        <w:rPr>
          <w:b/>
        </w:rPr>
      </w:pPr>
      <w:r>
        <w:rPr>
          <w:b/>
        </w:rPr>
        <w:t>2. Šiuo metu esantis teisinis reglamentavimas</w:t>
      </w:r>
    </w:p>
    <w:p w:rsidR="000E30F8" w:rsidRDefault="000E30F8" w:rsidP="00586CC7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>
        <w:t>Lietuvos Respublikos vietos savivaldos įstatymas</w:t>
      </w:r>
      <w:r w:rsidR="00CC5C79">
        <w:t>;</w:t>
      </w:r>
    </w:p>
    <w:p w:rsidR="000E30F8" w:rsidRDefault="000E30F8" w:rsidP="00586CC7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>
        <w:t>Lietuvos Respublikos 2018 metų valstybės biudžeto ir savivaldybių biudžetų finansinių rodiklių patvirtinimo įstatymas</w:t>
      </w:r>
      <w:r w:rsidR="00CC5C79">
        <w:t>;</w:t>
      </w:r>
    </w:p>
    <w:p w:rsidR="00B22F07" w:rsidRDefault="000E30F8" w:rsidP="00586CC7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>
        <w:t xml:space="preserve">Mokymo lėšų apskaičiavimo, paskirstymo ir panaudojimo tvarkos aprašas, patvirtintas Lietuvos Respublikos Vyriausybės 2018 m. liepos 11 d. nutarimu Nr. 679 „Dėl </w:t>
      </w:r>
      <w:r w:rsidR="00CC5C79">
        <w:t>M</w:t>
      </w:r>
      <w:r>
        <w:t>okymo lėšų apskaičiavimo, paskirstymo ir panaudojimo tvarkos aprašo patvirtinimo“.</w:t>
      </w:r>
    </w:p>
    <w:p w:rsidR="00586CC7" w:rsidRDefault="00586CC7" w:rsidP="00CC5C79">
      <w:pPr>
        <w:spacing w:line="360" w:lineRule="auto"/>
        <w:jc w:val="both"/>
        <w:rPr>
          <w:b/>
        </w:rPr>
      </w:pPr>
      <w:r>
        <w:rPr>
          <w:b/>
        </w:rPr>
        <w:t>3. Galimos teigiamos ir neigiamos pasekmės priėmus siūlomą tarybos sprendimo projektą</w:t>
      </w:r>
    </w:p>
    <w:p w:rsidR="00586CC7" w:rsidRDefault="000E30F8" w:rsidP="00586CC7">
      <w:pPr>
        <w:spacing w:line="360" w:lineRule="auto"/>
        <w:ind w:firstLine="720"/>
        <w:jc w:val="both"/>
      </w:pPr>
      <w:r>
        <w:t>Lėšos ugdomajai veiklai skiriamos pagal lėšų skyrimo klasei (grupei) principą</w:t>
      </w:r>
      <w:r w:rsidR="00586CC7">
        <w:t>. Neigiamų pasekmių nenumatoma.</w:t>
      </w:r>
    </w:p>
    <w:p w:rsidR="00586CC7" w:rsidRDefault="00586CC7" w:rsidP="00CC5C79">
      <w:pPr>
        <w:spacing w:line="360" w:lineRule="auto"/>
        <w:jc w:val="both"/>
        <w:rPr>
          <w:b/>
        </w:rPr>
      </w:pPr>
      <w:r>
        <w:rPr>
          <w:b/>
        </w:rPr>
        <w:t>4. Priemonės sprendimui įgyvendinti</w:t>
      </w:r>
    </w:p>
    <w:p w:rsidR="00586CC7" w:rsidRDefault="00586CC7" w:rsidP="00586CC7">
      <w:pPr>
        <w:spacing w:line="360" w:lineRule="auto"/>
        <w:ind w:firstLine="720"/>
        <w:jc w:val="both"/>
      </w:pPr>
      <w:r>
        <w:t>Nėra</w:t>
      </w:r>
    </w:p>
    <w:p w:rsidR="00586CC7" w:rsidRDefault="00586CC7" w:rsidP="00CC5C79">
      <w:pPr>
        <w:spacing w:line="360" w:lineRule="auto"/>
        <w:jc w:val="both"/>
        <w:rPr>
          <w:b/>
        </w:rPr>
      </w:pPr>
      <w:r>
        <w:rPr>
          <w:b/>
        </w:rPr>
        <w:lastRenderedPageBreak/>
        <w:t>5. Lėšų poreikis ir jų šaltiniai (prireikus skaičiavimai ir išlaidų sąmatos)</w:t>
      </w:r>
    </w:p>
    <w:p w:rsidR="00586CC7" w:rsidRDefault="00586CC7" w:rsidP="00586CC7">
      <w:pPr>
        <w:spacing w:line="360" w:lineRule="auto"/>
        <w:ind w:firstLine="720"/>
        <w:jc w:val="both"/>
      </w:pPr>
      <w:r>
        <w:t>Mok</w:t>
      </w:r>
      <w:r w:rsidR="000E30F8">
        <w:t>ymo</w:t>
      </w:r>
      <w:r>
        <w:t xml:space="preserve"> lėšos.</w:t>
      </w:r>
    </w:p>
    <w:p w:rsidR="00586CC7" w:rsidRDefault="00586CC7" w:rsidP="00CC5C79">
      <w:pPr>
        <w:spacing w:line="360" w:lineRule="auto"/>
        <w:jc w:val="both"/>
        <w:rPr>
          <w:b/>
        </w:rPr>
      </w:pPr>
      <w:r>
        <w:rPr>
          <w:b/>
        </w:rPr>
        <w:t>6. Vykdytojai, įvykdymo terminai</w:t>
      </w:r>
    </w:p>
    <w:p w:rsidR="00586CC7" w:rsidRDefault="00586CC7" w:rsidP="00586CC7">
      <w:pPr>
        <w:spacing w:line="360" w:lineRule="auto"/>
        <w:ind w:firstLine="720"/>
        <w:jc w:val="both"/>
      </w:pPr>
      <w:r>
        <w:t>Molėtų rajono savivaldybės administracijos Kultūros ir švietimo skyrius, ugdymo įstaigos.</w:t>
      </w:r>
    </w:p>
    <w:p w:rsidR="00586CC7" w:rsidRDefault="00586CC7" w:rsidP="00586CC7">
      <w:pPr>
        <w:spacing w:line="360" w:lineRule="auto"/>
        <w:ind w:firstLine="720"/>
        <w:jc w:val="both"/>
      </w:pPr>
    </w:p>
    <w:p w:rsidR="007B3624" w:rsidRDefault="007B3624"/>
    <w:sectPr w:rsidR="007B3624" w:rsidSect="00CC5C79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C79" w:rsidRDefault="00CC5C79" w:rsidP="00CC5C79">
      <w:r>
        <w:separator/>
      </w:r>
    </w:p>
  </w:endnote>
  <w:endnote w:type="continuationSeparator" w:id="0">
    <w:p w:rsidR="00CC5C79" w:rsidRDefault="00CC5C79" w:rsidP="00CC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C79" w:rsidRDefault="00CC5C79" w:rsidP="00CC5C79">
      <w:r>
        <w:separator/>
      </w:r>
    </w:p>
  </w:footnote>
  <w:footnote w:type="continuationSeparator" w:id="0">
    <w:p w:rsidR="00CC5C79" w:rsidRDefault="00CC5C79" w:rsidP="00CC5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564583"/>
      <w:docPartObj>
        <w:docPartGallery w:val="Page Numbers (Top of Page)"/>
        <w:docPartUnique/>
      </w:docPartObj>
    </w:sdtPr>
    <w:sdtEndPr/>
    <w:sdtContent>
      <w:p w:rsidR="00CC5C79" w:rsidRDefault="00CC5C7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D2D">
          <w:rPr>
            <w:noProof/>
          </w:rPr>
          <w:t>2</w:t>
        </w:r>
        <w:r>
          <w:fldChar w:fldCharType="end"/>
        </w:r>
      </w:p>
    </w:sdtContent>
  </w:sdt>
  <w:p w:rsidR="00CC5C79" w:rsidRDefault="00CC5C7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C7"/>
    <w:rsid w:val="000E30F8"/>
    <w:rsid w:val="0029564C"/>
    <w:rsid w:val="002979E0"/>
    <w:rsid w:val="0037202B"/>
    <w:rsid w:val="003C6D2D"/>
    <w:rsid w:val="00586CC7"/>
    <w:rsid w:val="006177B6"/>
    <w:rsid w:val="006B153E"/>
    <w:rsid w:val="006C50D9"/>
    <w:rsid w:val="007144A7"/>
    <w:rsid w:val="007B3624"/>
    <w:rsid w:val="00A2110B"/>
    <w:rsid w:val="00A9522C"/>
    <w:rsid w:val="00AC1770"/>
    <w:rsid w:val="00B22F07"/>
    <w:rsid w:val="00CC5C79"/>
    <w:rsid w:val="00CF709A"/>
    <w:rsid w:val="00D16374"/>
    <w:rsid w:val="00DA5830"/>
    <w:rsid w:val="00DE76CD"/>
    <w:rsid w:val="00FC280A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C7E50-7D6D-49A9-AC43-2E1883BF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semiHidden/>
    <w:unhideWhenUsed/>
    <w:rsid w:val="00586CC7"/>
    <w:pPr>
      <w:tabs>
        <w:tab w:val="left" w:pos="0"/>
        <w:tab w:val="left" w:pos="1674"/>
      </w:tabs>
      <w:ind w:hanging="1395"/>
    </w:pPr>
    <w:rPr>
      <w:lang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586CC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C5C7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CC5C7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C5C7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C5C7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C5C79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1673</Words>
  <Characters>954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Jurkšaitis Arvydas</dc:creator>
  <cp:lastModifiedBy>Vytautas Kralikevičius</cp:lastModifiedBy>
  <cp:revision>2</cp:revision>
  <dcterms:created xsi:type="dcterms:W3CDTF">2018-10-16T06:41:00Z</dcterms:created>
  <dcterms:modified xsi:type="dcterms:W3CDTF">2018-10-16T06:41:00Z</dcterms:modified>
</cp:coreProperties>
</file>