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46386" w:rsidRPr="00C1024E" w:rsidRDefault="00AC06DE" w:rsidP="00C102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107280">
        <w:rPr>
          <w:lang w:val="lt-LT"/>
        </w:rPr>
        <w:t xml:space="preserve">įgaliojimų suteikimo </w:t>
      </w:r>
      <w:r w:rsidR="00AA096E">
        <w:rPr>
          <w:lang w:val="lt-LT"/>
        </w:rPr>
        <w:t xml:space="preserve">savivaldybės merui </w:t>
      </w:r>
    </w:p>
    <w:p w:rsidR="00746386" w:rsidRPr="0073085F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814C6" w:rsidRPr="00A814C6" w:rsidRDefault="00AC06DE" w:rsidP="00A814C6">
      <w:pPr>
        <w:pStyle w:val="HTMLiankstoformatuotas"/>
        <w:spacing w:line="360" w:lineRule="auto"/>
        <w:ind w:firstLine="958"/>
        <w:jc w:val="both"/>
        <w:rPr>
          <w:rFonts w:ascii="Times New Roman" w:hAnsi="Times New Roman"/>
          <w:sz w:val="24"/>
          <w:szCs w:val="24"/>
          <w:lang w:val="lt-LT"/>
        </w:rPr>
      </w:pPr>
      <w:r w:rsidRPr="00742112">
        <w:rPr>
          <w:rFonts w:ascii="Times New Roman" w:hAnsi="Times New Roman"/>
          <w:b/>
          <w:sz w:val="24"/>
          <w:szCs w:val="24"/>
          <w:lang w:val="lt-LT"/>
        </w:rPr>
        <w:t>1</w:t>
      </w:r>
      <w:r w:rsidR="00746386" w:rsidRPr="00742112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7F3552" w:rsidRPr="00742112">
        <w:rPr>
          <w:rFonts w:ascii="Times New Roman" w:hAnsi="Times New Roman"/>
          <w:b/>
          <w:sz w:val="24"/>
          <w:szCs w:val="24"/>
          <w:lang w:val="lt-LT"/>
        </w:rPr>
        <w:t>P</w:t>
      </w:r>
      <w:r w:rsidR="007F3552" w:rsidRPr="00742112">
        <w:rPr>
          <w:rFonts w:ascii="Times New Roman" w:hAnsi="Times New Roman"/>
          <w:b/>
          <w:sz w:val="24"/>
          <w:szCs w:val="24"/>
          <w:lang w:val="pt-BR"/>
        </w:rPr>
        <w:t>arengto tarybos sprendimo projekto tikslai ir uždaviniai</w:t>
      </w:r>
      <w:r w:rsidR="00A814C6">
        <w:rPr>
          <w:rFonts w:ascii="Times New Roman" w:hAnsi="Times New Roman"/>
          <w:b/>
          <w:sz w:val="24"/>
          <w:szCs w:val="24"/>
          <w:lang w:val="pt-BR"/>
        </w:rPr>
        <w:t>.</w:t>
      </w:r>
      <w:r w:rsidR="00746386" w:rsidRPr="0074211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t xml:space="preserve">Pagal Lietuvos Respublikos švietimo įstatymo 59 straipsnio 1 dalies nuostatas Valstybinės ar savivaldybės </w:t>
      </w:r>
      <w:bookmarkStart w:id="0" w:name="508z"/>
      <w:r w:rsidR="00A814C6" w:rsidRPr="00742112">
        <w:rPr>
          <w:rFonts w:ascii="Times New Roman" w:hAnsi="Times New Roman"/>
          <w:sz w:val="24"/>
          <w:szCs w:val="24"/>
          <w:lang w:val="lt-LT"/>
        </w:rPr>
        <w:fldChar w:fldCharType="begin"/>
      </w:r>
      <w:r w:rsidR="00A814C6" w:rsidRPr="00742112">
        <w:rPr>
          <w:rFonts w:ascii="Times New Roman" w:hAnsi="Times New Roman"/>
          <w:sz w:val="24"/>
          <w:szCs w:val="24"/>
          <w:lang w:val="lt-LT"/>
        </w:rPr>
        <w:instrText xml:space="preserve"> HYPERLINK "http://litlex.molsav.lt/LL.DLL?Tekstas=1?Id=2550&amp;Zd=%F0vietimo&amp;BF=4" \l "509z" </w:instrTex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A814C6" w:rsidRPr="00742112">
        <w:rPr>
          <w:rFonts w:ascii="Times New Roman" w:hAnsi="Times New Roman"/>
          <w:sz w:val="24"/>
          <w:szCs w:val="24"/>
          <w:lang w:val="lt-LT"/>
        </w:rPr>
        <w:t>švietimo</w: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fldChar w:fldCharType="end"/>
      </w:r>
      <w:bookmarkEnd w:id="0"/>
      <w:r w:rsidR="00A814C6" w:rsidRPr="00742112">
        <w:rPr>
          <w:rFonts w:ascii="Times New Roman" w:hAnsi="Times New Roman"/>
          <w:sz w:val="24"/>
          <w:szCs w:val="24"/>
          <w:lang w:val="lt-LT"/>
        </w:rPr>
        <w:t xml:space="preserve"> įstaigos   (išskyrus</w:t>
      </w:r>
      <w:r w:rsidR="00A814C6">
        <w:rPr>
          <w:rFonts w:ascii="Times New Roman" w:hAnsi="Times New Roman"/>
          <w:sz w:val="24"/>
          <w:szCs w:val="24"/>
          <w:lang w:val="lt-LT"/>
        </w:rPr>
        <w:t xml:space="preserve"> aukštąsias </w: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t xml:space="preserve"> mokyklas)  </w:t>
      </w:r>
      <w:r w:rsidR="00A814C6" w:rsidRPr="00A814C6">
        <w:rPr>
          <w:rFonts w:ascii="Times New Roman" w:hAnsi="Times New Roman"/>
          <w:i/>
          <w:sz w:val="24"/>
          <w:szCs w:val="24"/>
          <w:u w:val="single"/>
          <w:lang w:val="lt-LT"/>
        </w:rPr>
        <w:t xml:space="preserve">vadovo  pareigybės  aprašymą </w:t>
      </w:r>
      <w:r w:rsidR="00A814C6" w:rsidRPr="00A814C6">
        <w:rPr>
          <w:rFonts w:ascii="Times New Roman" w:hAnsi="Times New Roman"/>
          <w:i/>
          <w:sz w:val="24"/>
          <w:szCs w:val="24"/>
          <w:u w:val="single"/>
          <w:lang w:val="lt-LT"/>
        </w:rPr>
        <w:t>tvirtina</w: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t>,</w:t>
      </w:r>
      <w:bookmarkStart w:id="1" w:name="509z"/>
      <w:r w:rsidR="00A814C6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6" w:anchor="510z" w:history="1">
        <w:r w:rsidR="00A814C6" w:rsidRPr="00742112">
          <w:rPr>
            <w:rFonts w:ascii="Times New Roman" w:hAnsi="Times New Roman"/>
            <w:sz w:val="24"/>
            <w:szCs w:val="24"/>
            <w:lang w:val="lt-LT"/>
          </w:rPr>
          <w:t>švietimo</w:t>
        </w:r>
      </w:hyperlink>
      <w:bookmarkEnd w:id="1"/>
      <w:r w:rsidR="00A814C6" w:rsidRPr="00742112">
        <w:rPr>
          <w:rFonts w:ascii="Times New Roman" w:hAnsi="Times New Roman"/>
          <w:sz w:val="24"/>
          <w:szCs w:val="24"/>
          <w:lang w:val="lt-LT"/>
        </w:rPr>
        <w:t xml:space="preserve">   įstaigos  vado</w:t>
      </w:r>
      <w:r w:rsidR="00A814C6">
        <w:rPr>
          <w:rFonts w:ascii="Times New Roman" w:hAnsi="Times New Roman"/>
          <w:sz w:val="24"/>
          <w:szCs w:val="24"/>
          <w:lang w:val="lt-LT"/>
        </w:rPr>
        <w:t xml:space="preserve">vą  viešo  konkurso  būdu  į  </w: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t>pareigas</w:t>
      </w:r>
      <w:r w:rsidR="00A814C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814C6" w:rsidRPr="00742112">
        <w:rPr>
          <w:rFonts w:ascii="Times New Roman" w:hAnsi="Times New Roman"/>
          <w:sz w:val="24"/>
          <w:szCs w:val="24"/>
          <w:lang w:val="lt-LT"/>
        </w:rPr>
        <w:t>penkeriems  metams  skiria  ir iš jų atleidžia</w:t>
      </w:r>
      <w:r w:rsidR="00A814C6" w:rsidRPr="00A814C6">
        <w:rPr>
          <w:rFonts w:ascii="Times New Roman" w:hAnsi="Times New Roman"/>
          <w:i/>
          <w:sz w:val="24"/>
          <w:szCs w:val="24"/>
          <w:u w:val="single"/>
          <w:lang w:val="lt-LT"/>
        </w:rPr>
        <w:t>,  viešą   konkursą</w:t>
      </w:r>
      <w:bookmarkStart w:id="2" w:name="510z"/>
      <w:r w:rsidR="00A814C6" w:rsidRPr="00A814C6">
        <w:rPr>
          <w:rFonts w:ascii="Times New Roman" w:hAnsi="Times New Roman"/>
          <w:i/>
          <w:sz w:val="24"/>
          <w:szCs w:val="24"/>
          <w:u w:val="single"/>
          <w:lang w:val="lt-LT"/>
        </w:rPr>
        <w:t xml:space="preserve"> </w:t>
      </w:r>
      <w:hyperlink r:id="rId7" w:anchor="511z" w:history="1">
        <w:r w:rsidR="00A814C6" w:rsidRPr="00A814C6">
          <w:rPr>
            <w:rFonts w:ascii="Times New Roman" w:hAnsi="Times New Roman"/>
            <w:i/>
            <w:sz w:val="24"/>
            <w:szCs w:val="24"/>
            <w:u w:val="single"/>
            <w:lang w:val="lt-LT"/>
          </w:rPr>
          <w:t>švietimo</w:t>
        </w:r>
      </w:hyperlink>
      <w:bookmarkEnd w:id="2"/>
      <w:r w:rsidR="00A814C6" w:rsidRPr="00A814C6">
        <w:rPr>
          <w:rFonts w:ascii="Times New Roman" w:hAnsi="Times New Roman"/>
          <w:i/>
          <w:sz w:val="24"/>
          <w:szCs w:val="24"/>
          <w:u w:val="single"/>
          <w:lang w:val="lt-LT"/>
        </w:rPr>
        <w:t xml:space="preserve">  įstaigos  vadovo pareigoms eiti organizuoja </w:t>
      </w:r>
      <w:r w:rsidR="00A814C6" w:rsidRPr="00742112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A814C6" w:rsidRPr="00A814C6">
        <w:rPr>
          <w:rFonts w:ascii="Times New Roman" w:hAnsi="Times New Roman"/>
          <w:sz w:val="24"/>
          <w:szCs w:val="24"/>
          <w:lang w:val="lt-LT"/>
        </w:rPr>
        <w:t xml:space="preserve">savininko teises   ir   pareigas   įgyvendinanti  institucija   (dalyvių susirinkimas) ar jos (jo) įgaliotas asmuo. </w:t>
      </w:r>
    </w:p>
    <w:p w:rsidR="0073085F" w:rsidRPr="00742112" w:rsidRDefault="00107280" w:rsidP="00742112">
      <w:pPr>
        <w:pStyle w:val="HTMLiankstoformatuotas"/>
        <w:spacing w:line="360" w:lineRule="auto"/>
        <w:ind w:firstLine="958"/>
        <w:jc w:val="both"/>
        <w:rPr>
          <w:rFonts w:ascii="Times New Roman" w:hAnsi="Times New Roman"/>
          <w:sz w:val="24"/>
          <w:szCs w:val="24"/>
          <w:lang w:val="lt-LT"/>
        </w:rPr>
      </w:pPr>
      <w:r w:rsidRPr="00742112">
        <w:rPr>
          <w:rFonts w:ascii="Times New Roman" w:hAnsi="Times New Roman"/>
          <w:sz w:val="24"/>
          <w:szCs w:val="24"/>
          <w:lang w:val="lt-LT"/>
        </w:rPr>
        <w:t xml:space="preserve">Sprendimo tikslas – suteikti </w:t>
      </w:r>
      <w:r w:rsidR="00A814C6">
        <w:rPr>
          <w:rFonts w:ascii="Times New Roman" w:hAnsi="Times New Roman"/>
          <w:sz w:val="24"/>
          <w:szCs w:val="24"/>
          <w:lang w:val="lt-LT"/>
        </w:rPr>
        <w:t xml:space="preserve">merui įgaliojimus tvirtinti </w:t>
      </w:r>
      <w:r w:rsidRPr="00742112">
        <w:rPr>
          <w:rFonts w:ascii="Times New Roman" w:hAnsi="Times New Roman"/>
          <w:sz w:val="24"/>
          <w:szCs w:val="24"/>
          <w:lang w:val="lt-LT"/>
        </w:rPr>
        <w:t>švietimo įstaigų direktorių pareigybių</w:t>
      </w:r>
      <w:r w:rsidR="00AA096E" w:rsidRPr="00742112">
        <w:rPr>
          <w:rFonts w:ascii="Times New Roman" w:hAnsi="Times New Roman"/>
          <w:sz w:val="24"/>
          <w:szCs w:val="24"/>
          <w:lang w:val="lt-LT"/>
        </w:rPr>
        <w:t xml:space="preserve"> aprašymus, </w:t>
      </w:r>
      <w:r w:rsidR="00A94BD1" w:rsidRPr="00742112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742112" w:rsidRPr="00742112">
        <w:rPr>
          <w:rFonts w:ascii="Times New Roman" w:hAnsi="Times New Roman"/>
          <w:sz w:val="24"/>
          <w:szCs w:val="24"/>
          <w:lang w:val="lt-LT"/>
        </w:rPr>
        <w:t xml:space="preserve">organizuoti viešus konkursus eiti vadovų pareigas </w:t>
      </w:r>
      <w:r w:rsidR="00AA096E" w:rsidRPr="00742112">
        <w:rPr>
          <w:rFonts w:ascii="Times New Roman" w:hAnsi="Times New Roman"/>
          <w:sz w:val="24"/>
          <w:szCs w:val="24"/>
          <w:lang w:val="lt-LT"/>
        </w:rPr>
        <w:t>siekiant operatyviai</w:t>
      </w:r>
      <w:r w:rsidRPr="00742112">
        <w:rPr>
          <w:rFonts w:ascii="Times New Roman" w:hAnsi="Times New Roman"/>
          <w:sz w:val="24"/>
          <w:szCs w:val="24"/>
          <w:lang w:val="lt-LT"/>
        </w:rPr>
        <w:t xml:space="preserve"> priimti sprendimus ir </w:t>
      </w:r>
      <w:r w:rsidR="000E6769" w:rsidRPr="00742112">
        <w:rPr>
          <w:rFonts w:ascii="Times New Roman" w:hAnsi="Times New Roman"/>
          <w:sz w:val="24"/>
          <w:szCs w:val="24"/>
          <w:lang w:val="lt-LT"/>
        </w:rPr>
        <w:t>taikyti vienodą praktiką savivaldybėje</w:t>
      </w:r>
      <w:r w:rsidR="0073085F" w:rsidRPr="00742112">
        <w:rPr>
          <w:rFonts w:ascii="Times New Roman" w:hAnsi="Times New Roman"/>
          <w:sz w:val="24"/>
          <w:szCs w:val="24"/>
          <w:lang w:val="lt-LT"/>
        </w:rPr>
        <w:t>,</w:t>
      </w:r>
      <w:r w:rsidR="000E6769" w:rsidRPr="00742112">
        <w:rPr>
          <w:rFonts w:ascii="Times New Roman" w:hAnsi="Times New Roman"/>
          <w:sz w:val="24"/>
          <w:szCs w:val="24"/>
          <w:lang w:val="lt-LT"/>
        </w:rPr>
        <w:t xml:space="preserve"> kai  biudžetinių įstaigų vadovų pareigybių aprašymus tvirtina </w:t>
      </w:r>
      <w:r w:rsidR="00742112" w:rsidRPr="00742112">
        <w:rPr>
          <w:rFonts w:ascii="Times New Roman" w:hAnsi="Times New Roman"/>
          <w:sz w:val="24"/>
          <w:szCs w:val="24"/>
          <w:lang w:val="lt-LT"/>
        </w:rPr>
        <w:t xml:space="preserve">savivaldybės meras, </w:t>
      </w:r>
      <w:r w:rsidR="000E6769" w:rsidRPr="00742112">
        <w:rPr>
          <w:rFonts w:ascii="Times New Roman" w:hAnsi="Times New Roman"/>
          <w:sz w:val="24"/>
          <w:szCs w:val="24"/>
          <w:lang w:val="lt-LT"/>
        </w:rPr>
        <w:t xml:space="preserve">vadovaudamasis Lietuvos Respublikos vietos savivaldos įstatymo 20 straipsnio </w:t>
      </w:r>
      <w:r w:rsidR="00742112" w:rsidRPr="00742112">
        <w:rPr>
          <w:rFonts w:ascii="Times New Roman" w:hAnsi="Times New Roman"/>
          <w:sz w:val="24"/>
          <w:szCs w:val="24"/>
          <w:lang w:val="lt-LT"/>
        </w:rPr>
        <w:t xml:space="preserve">2 dalies 16 p </w:t>
      </w:r>
      <w:r w:rsidR="0073085F" w:rsidRPr="00742112">
        <w:rPr>
          <w:rFonts w:ascii="Times New Roman" w:hAnsi="Times New Roman"/>
          <w:sz w:val="24"/>
          <w:szCs w:val="24"/>
          <w:lang w:val="lt-LT"/>
        </w:rPr>
        <w:t xml:space="preserve">norma, nustatančia, kad meras  priima  į  pareigas  ir atleidžia  iš  jų   biudžetinių įstaigų,  išskyrus švietimo įstaigas ir seniūnijas -  biudžetines įstaigas, vadovus; įgyvendina kitas funkcijas, susijusias su visų biudžetinių  įstaigų  vadovų darbo santykiais, </w:t>
      </w:r>
      <w:bookmarkStart w:id="3" w:name="P224420_1"/>
      <w:r w:rsidR="0073085F" w:rsidRPr="00742112">
        <w:rPr>
          <w:rFonts w:ascii="Times New Roman" w:hAnsi="Times New Roman"/>
          <w:sz w:val="24"/>
          <w:szCs w:val="24"/>
          <w:lang w:val="lt-LT"/>
        </w:rPr>
        <w:fldChar w:fldCharType="begin"/>
      </w:r>
      <w:r w:rsidR="0073085F" w:rsidRPr="00742112">
        <w:rPr>
          <w:rFonts w:ascii="Times New Roman" w:hAnsi="Times New Roman"/>
          <w:sz w:val="24"/>
          <w:szCs w:val="24"/>
          <w:lang w:val="lt-LT"/>
        </w:rPr>
        <w:instrText xml:space="preserve"> HYPERLINK "http://litlex.molsav.lt/ll.dll?Tekstas=1&amp;Id=224420&amp;BF=1" \t "FTurinys" </w:instrText>
      </w:r>
      <w:r w:rsidR="0073085F" w:rsidRPr="00742112">
        <w:rPr>
          <w:rFonts w:ascii="Times New Roman" w:hAnsi="Times New Roman"/>
          <w:sz w:val="24"/>
          <w:szCs w:val="24"/>
          <w:lang w:val="lt-LT"/>
        </w:rPr>
        <w:fldChar w:fldCharType="separate"/>
      </w:r>
      <w:r w:rsidR="0073085F" w:rsidRPr="00742112">
        <w:rPr>
          <w:rFonts w:ascii="Times New Roman" w:hAnsi="Times New Roman"/>
          <w:sz w:val="24"/>
          <w:szCs w:val="24"/>
          <w:lang w:val="lt-LT"/>
        </w:rPr>
        <w:t>Darbo kodekso</w:t>
      </w:r>
      <w:r w:rsidR="0073085F" w:rsidRPr="00742112">
        <w:rPr>
          <w:rFonts w:ascii="Times New Roman" w:hAnsi="Times New Roman"/>
          <w:sz w:val="24"/>
          <w:szCs w:val="24"/>
          <w:lang w:val="lt-LT"/>
        </w:rPr>
        <w:fldChar w:fldCharType="end"/>
      </w:r>
      <w:bookmarkEnd w:id="3"/>
      <w:r w:rsidR="0073085F" w:rsidRPr="00742112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03E3EF1C" wp14:editId="5A58BE1E">
            <wp:extent cx="114300" cy="114300"/>
            <wp:effectExtent l="0" t="0" r="0" b="0"/>
            <wp:docPr id="3" name="Paveikslėlis 3" descr="http://litlex.molsav.lt/LLR12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lex.molsav.lt/LLR12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85F" w:rsidRPr="00742112">
        <w:rPr>
          <w:rFonts w:ascii="Times New Roman" w:hAnsi="Times New Roman"/>
          <w:sz w:val="24"/>
          <w:szCs w:val="24"/>
          <w:lang w:val="lt-LT"/>
        </w:rPr>
        <w:t xml:space="preserve">   ir kitų  teisės  aktų  nustatyta tvarka.</w:t>
      </w:r>
      <w:bookmarkStart w:id="4" w:name="_GoBack"/>
      <w:bookmarkEnd w:id="4"/>
    </w:p>
    <w:p w:rsidR="00341A7E" w:rsidRPr="0073085F" w:rsidRDefault="00C1024E" w:rsidP="00C102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41A7E">
        <w:rPr>
          <w:lang w:val="lt-LT"/>
        </w:rPr>
        <w:tab/>
      </w:r>
    </w:p>
    <w:p w:rsidR="001626E8" w:rsidRDefault="00746386" w:rsidP="00177F6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  <w:r w:rsidR="0073085F">
        <w:rPr>
          <w:b/>
          <w:lang w:val="pt-BR"/>
        </w:rPr>
        <w:t xml:space="preserve">. </w:t>
      </w:r>
      <w:r w:rsidR="00C1024E" w:rsidRPr="00C1024E">
        <w:rPr>
          <w:lang w:val="lt-LT"/>
        </w:rPr>
        <w:t xml:space="preserve"> </w:t>
      </w:r>
    </w:p>
    <w:p w:rsidR="00746386" w:rsidRPr="00FB3A04" w:rsidRDefault="001626E8" w:rsidP="00F8582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73085F">
        <w:rPr>
          <w:lang w:val="lt-LT"/>
        </w:rPr>
        <w:t>Lietuvos Respublikos švietimo įstatymo 59 straipsnio 1 dalis, Lietuvos Respublikos vietos savivaldos įstatymo 16 straipsnio 4 dalis.</w:t>
      </w:r>
    </w:p>
    <w:p w:rsidR="00DA2979" w:rsidRDefault="00746386" w:rsidP="003258C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="00341A7E">
        <w:rPr>
          <w:b/>
          <w:lang w:val="pt-BR"/>
        </w:rPr>
        <w:t>.</w:t>
      </w:r>
      <w:r w:rsidRPr="00FB3A04">
        <w:rPr>
          <w:b/>
          <w:lang w:val="lt-LT"/>
        </w:rPr>
        <w:t xml:space="preserve"> </w:t>
      </w:r>
    </w:p>
    <w:p w:rsidR="00746386" w:rsidRPr="0082795B" w:rsidRDefault="00DA2979" w:rsidP="00DA297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82795B" w:rsidRPr="0082795B">
        <w:rPr>
          <w:lang w:val="lt-LT"/>
        </w:rPr>
        <w:t>Įgyvendintos teisės aktų normos.</w:t>
      </w:r>
    </w:p>
    <w:p w:rsidR="00DA2979" w:rsidRDefault="00746386" w:rsidP="00C102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DA2979">
        <w:rPr>
          <w:b/>
          <w:lang w:val="lt-LT"/>
        </w:rPr>
        <w:t xml:space="preserve"> įgyvendinti</w:t>
      </w:r>
      <w:r w:rsidR="00C1024E">
        <w:rPr>
          <w:b/>
          <w:lang w:val="lt-LT"/>
        </w:rPr>
        <w:t xml:space="preserve"> </w:t>
      </w:r>
    </w:p>
    <w:p w:rsidR="00746386" w:rsidRPr="00C1024E" w:rsidRDefault="00DA2979" w:rsidP="00C1024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</w:p>
    <w:p w:rsidR="00DA2979" w:rsidRDefault="00746386" w:rsidP="00C102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DA2979">
        <w:rPr>
          <w:b/>
          <w:lang w:val="lt-LT"/>
        </w:rPr>
        <w:t>kaičiavimai ir išlaidų sąmatos)</w:t>
      </w:r>
      <w:r w:rsidR="00C1024E">
        <w:rPr>
          <w:b/>
          <w:lang w:val="lt-LT"/>
        </w:rPr>
        <w:t xml:space="preserve"> </w:t>
      </w:r>
    </w:p>
    <w:p w:rsidR="00746386" w:rsidRPr="00C1024E" w:rsidRDefault="00DA2979" w:rsidP="00C102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C1024E" w:rsidRPr="00C1024E">
        <w:rPr>
          <w:lang w:val="lt-LT"/>
        </w:rPr>
        <w:t>Lėšų poreikio nenumatoma.</w:t>
      </w:r>
    </w:p>
    <w:p w:rsidR="00DA2979" w:rsidRDefault="00DA297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6.Vykdytojai, įvykdymo terminai</w:t>
      </w:r>
      <w:r w:rsidR="00746386" w:rsidRPr="00FB3A04">
        <w:rPr>
          <w:b/>
          <w:lang w:val="lt-LT"/>
        </w:rPr>
        <w:t xml:space="preserve"> </w:t>
      </w:r>
    </w:p>
    <w:p w:rsidR="00746386" w:rsidRPr="00C1024E" w:rsidRDefault="00DA2979" w:rsidP="00AC06D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="00C1024E" w:rsidRPr="00C1024E">
        <w:rPr>
          <w:lang w:val="lt-LT"/>
        </w:rPr>
        <w:t>Molėtų ra</w:t>
      </w:r>
      <w:r w:rsidR="004915B3">
        <w:rPr>
          <w:lang w:val="lt-LT"/>
        </w:rPr>
        <w:t>jono savivald</w:t>
      </w:r>
      <w:r w:rsidR="0073085F">
        <w:rPr>
          <w:lang w:val="lt-LT"/>
        </w:rPr>
        <w:t>ybės meras</w:t>
      </w:r>
      <w:r w:rsidR="003258C2">
        <w:rPr>
          <w:lang w:val="lt-LT"/>
        </w:rPr>
        <w:t>.</w:t>
      </w:r>
    </w:p>
    <w:p w:rsidR="00746386" w:rsidRPr="00FB3A04" w:rsidRDefault="00746386" w:rsidP="00AC06DE">
      <w:pPr>
        <w:spacing w:line="360" w:lineRule="auto"/>
        <w:rPr>
          <w:b/>
          <w:lang w:val="lt-LT"/>
        </w:rPr>
      </w:pPr>
    </w:p>
    <w:p w:rsidR="0073085F" w:rsidRPr="0073085F" w:rsidRDefault="0073085F">
      <w:pPr>
        <w:pStyle w:val="HTMLiankstoformatuotas"/>
        <w:spacing w:line="360" w:lineRule="auto"/>
        <w:rPr>
          <w:rFonts w:ascii="Times New Roman" w:hAnsi="Times New Roman"/>
          <w:sz w:val="24"/>
          <w:szCs w:val="24"/>
        </w:rPr>
      </w:pPr>
    </w:p>
    <w:sectPr w:rsidR="0073085F" w:rsidRPr="0073085F" w:rsidSect="00DA2979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A7" w:rsidRDefault="00B12BA7" w:rsidP="00DA2979">
      <w:r>
        <w:separator/>
      </w:r>
    </w:p>
  </w:endnote>
  <w:endnote w:type="continuationSeparator" w:id="0">
    <w:p w:rsidR="00B12BA7" w:rsidRDefault="00B12BA7" w:rsidP="00D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A7" w:rsidRDefault="00B12BA7" w:rsidP="00DA2979">
      <w:r>
        <w:separator/>
      </w:r>
    </w:p>
  </w:footnote>
  <w:footnote w:type="continuationSeparator" w:id="0">
    <w:p w:rsidR="00B12BA7" w:rsidRDefault="00B12BA7" w:rsidP="00DA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79" w:rsidRDefault="00DA297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42112" w:rsidRPr="00742112">
      <w:rPr>
        <w:noProof/>
        <w:lang w:val="lt-LT"/>
      </w:rPr>
      <w:t>2</w:t>
    </w:r>
    <w:r>
      <w:fldChar w:fldCharType="end"/>
    </w:r>
  </w:p>
  <w:p w:rsidR="00DA2979" w:rsidRDefault="00DA29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332E6"/>
    <w:rsid w:val="00042DAF"/>
    <w:rsid w:val="000E6769"/>
    <w:rsid w:val="00107280"/>
    <w:rsid w:val="001318DD"/>
    <w:rsid w:val="001626E8"/>
    <w:rsid w:val="00177F6F"/>
    <w:rsid w:val="003258C2"/>
    <w:rsid w:val="00341A7E"/>
    <w:rsid w:val="00344DD1"/>
    <w:rsid w:val="00396158"/>
    <w:rsid w:val="004915B3"/>
    <w:rsid w:val="004F419C"/>
    <w:rsid w:val="00514B4D"/>
    <w:rsid w:val="0073085F"/>
    <w:rsid w:val="00730AA6"/>
    <w:rsid w:val="00742112"/>
    <w:rsid w:val="00746386"/>
    <w:rsid w:val="007A2995"/>
    <w:rsid w:val="007F3552"/>
    <w:rsid w:val="0082795B"/>
    <w:rsid w:val="008668B5"/>
    <w:rsid w:val="008B5A5F"/>
    <w:rsid w:val="008B629D"/>
    <w:rsid w:val="009D7A64"/>
    <w:rsid w:val="00A814C6"/>
    <w:rsid w:val="00A94BD1"/>
    <w:rsid w:val="00AA096E"/>
    <w:rsid w:val="00AC06DE"/>
    <w:rsid w:val="00B12BA7"/>
    <w:rsid w:val="00C1024E"/>
    <w:rsid w:val="00CE738E"/>
    <w:rsid w:val="00D6732D"/>
    <w:rsid w:val="00DA2979"/>
    <w:rsid w:val="00DC1633"/>
    <w:rsid w:val="00F8582E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0773"/>
  <w15:chartTrackingRefBased/>
  <w15:docId w15:val="{B0627C81-A524-45F5-8E7D-476A0DD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DA29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A2979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A29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A2979"/>
    <w:rPr>
      <w:sz w:val="24"/>
      <w:szCs w:val="24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514B4D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14B4D"/>
    <w:rPr>
      <w:rFonts w:ascii="Consolas" w:hAnsi="Consolas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51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.molsav.lt/LL.DLL?Tekstas=1?Id=252610&amp;Zd=vietos%2Bsavivaldos&amp;BF=4#P224420_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lex.molsav.lt/LL.DLL?Tekstas=1?Id=2550&amp;Zd=%F0vietimo&amp;BF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lex.molsav.lt/LL.DLL?Tekstas=1?Id=2550&amp;Zd=%F0vietimo&amp;BF=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Sabaliauskienė Irena</cp:lastModifiedBy>
  <cp:revision>9</cp:revision>
  <dcterms:created xsi:type="dcterms:W3CDTF">2018-08-21T12:59:00Z</dcterms:created>
  <dcterms:modified xsi:type="dcterms:W3CDTF">2018-10-15T13:06:00Z</dcterms:modified>
</cp:coreProperties>
</file>