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7D" w:rsidRPr="00807610" w:rsidRDefault="00143E7D" w:rsidP="00143E7D">
      <w:pPr>
        <w:ind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PATVIRTINTA: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7610">
        <w:rPr>
          <w:rFonts w:ascii="Times New Roman" w:hAnsi="Times New Roman" w:cs="Times New Roman"/>
          <w:sz w:val="24"/>
          <w:szCs w:val="24"/>
        </w:rPr>
        <w:t>Molėtų rajono savivaldybės tarybos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2018 m. vasario 22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sprendimu Nr. B1-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</w:t>
      </w:r>
      <w:r>
        <w:rPr>
          <w:rFonts w:ascii="Times New Roman" w:hAnsi="Times New Roman" w:cs="Times New Roman"/>
          <w:sz w:val="24"/>
          <w:szCs w:val="24"/>
        </w:rPr>
        <w:t xml:space="preserve">aldybės tarybos 2018 m.  </w:t>
      </w:r>
    </w:p>
    <w:p w:rsidR="00143E7D" w:rsidRDefault="00143E7D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1C29">
        <w:rPr>
          <w:rFonts w:ascii="Times New Roman" w:hAnsi="Times New Roman" w:cs="Times New Roman"/>
          <w:sz w:val="24"/>
          <w:szCs w:val="24"/>
        </w:rPr>
        <w:t>rugpjūčio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0F250E" w:rsidRDefault="000F250E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</w:p>
    <w:p w:rsidR="000F250E" w:rsidRDefault="00DE4778" w:rsidP="00DE4778">
      <w:pPr>
        <w:rPr>
          <w:rFonts w:ascii="Times New Roman" w:hAnsi="Times New Roman" w:cs="Times New Roman"/>
          <w:sz w:val="24"/>
          <w:szCs w:val="24"/>
        </w:rPr>
      </w:pPr>
      <w:r w:rsidRPr="003E3709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MOLĖTŲ RAJONO SAVIVALDYBĖS  2018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2018 metų valstybės biudžeto ir savivaldybių biudžetų finansinių rodiklių patvirtinimo įstatymo 2, 3, 4, 13 straipsniais, Molėtų rajono savivaldybės 2018-2024 metų strateginiu plėtros planu, patvirtintu Molėtų rajono savivaldybės tarybos 2018 m. sausio 25 d. sprendimu Nr. B1-3 „Dėl Molėtų rajono savivaldybės 2018-2024 metų strateginio plėtros plano  patvirtinimo“,</w:t>
      </w:r>
      <w:r w:rsidRPr="000F25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strateginiu veiklos planu 2018-2020 metams, patvirtintu Molėtų rajono savivaldybės tarybos 2018 m. vasario 22 d. sprendimu Nr. B1-28 ,,Dėl Molėtų rajono savivaldybės strateginio veiklos plano 2018-2020 metams patvirtinimo“,</w:t>
      </w:r>
      <w:r w:rsidRPr="000F250E">
        <w:rPr>
          <w:rFonts w:ascii="Times New Roman" w:hAnsi="Times New Roman" w:cs="Times New Roman"/>
          <w:color w:val="8EAADB" w:themeColor="accent5" w:themeTint="99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2018 m. vasario 14  d. įsakymą Nr. B6-125  ,,Dėl Molėtų rajono savivaldybės 2018 metų biudžeto projekto teikimo Molėtų rajono savivaldybės tarybai tvirtinti”,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 Patvirtinti Molėtų rajono savivaldybės 2018 metų biudžetą: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 xml:space="preserve">1.1. </w:t>
      </w:r>
      <w:r w:rsidR="00292350" w:rsidRPr="00641C29">
        <w:rPr>
          <w:rFonts w:ascii="Times New Roman" w:hAnsi="Times New Roman" w:cs="Times New Roman"/>
          <w:b/>
          <w:sz w:val="24"/>
          <w:szCs w:val="24"/>
        </w:rPr>
        <w:t>21199,6</w:t>
      </w:r>
      <w:r w:rsidRPr="000F250E">
        <w:rPr>
          <w:rFonts w:ascii="Times New Roman" w:hAnsi="Times New Roman" w:cs="Times New Roman"/>
          <w:sz w:val="24"/>
          <w:szCs w:val="24"/>
        </w:rPr>
        <w:t xml:space="preserve">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pajamų, 777,9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2017 m. nepanaudotų biudžeto lėšų, kuriomis koreguojamos 2018 m. pajamos ir 450,0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finansinių įsipareigojimų (paskolų) lėšų  (1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lastRenderedPageBreak/>
        <w:t xml:space="preserve">1.2.  391,3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biudžetinių įstaigų įmokų į Savivaldybės biudžetą iš pajamų už teikiamas paslaugas, išlaikymą švietimo, socialinės apsaugos bei kitose įstaigose ir patalpų nuomą (2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1.3.</w:t>
      </w:r>
      <w:r w:rsidR="006D5F5C">
        <w:rPr>
          <w:rFonts w:ascii="Times New Roman" w:hAnsi="Times New Roman" w:cs="Times New Roman"/>
          <w:sz w:val="24"/>
          <w:szCs w:val="24"/>
        </w:rPr>
        <w:t xml:space="preserve"> </w:t>
      </w:r>
      <w:r w:rsidR="00292350">
        <w:rPr>
          <w:rFonts w:ascii="Times New Roman" w:hAnsi="Times New Roman" w:cs="Times New Roman"/>
          <w:sz w:val="24"/>
          <w:szCs w:val="24"/>
        </w:rPr>
        <w:t xml:space="preserve"> </w:t>
      </w:r>
      <w:r w:rsidR="00292350" w:rsidRPr="00641C29">
        <w:rPr>
          <w:rFonts w:ascii="Times New Roman" w:hAnsi="Times New Roman" w:cs="Times New Roman"/>
          <w:b/>
          <w:sz w:val="24"/>
          <w:szCs w:val="24"/>
        </w:rPr>
        <w:t>22427,5</w:t>
      </w:r>
      <w:r w:rsidR="00292350" w:rsidRPr="00292350">
        <w:rPr>
          <w:rFonts w:ascii="Times New Roman" w:hAnsi="Times New Roman" w:cs="Times New Roman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asignavimų išlaidoms ir turtui įsigyti pagal programas ir įstaigas, iš jų 195,1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trumpalaikiams įsipareigojimams, buvusiems 2017 metų gruodžio 31 dieną ir tikslinės paskirties lėšoms padengti ir 471,4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paskoloms grąžinti  (3, 4, 6, 7  priedai);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1.4</w:t>
      </w:r>
      <w:r w:rsidRPr="004A6245">
        <w:rPr>
          <w:rFonts w:ascii="Times New Roman" w:hAnsi="Times New Roman" w:cs="Times New Roman"/>
          <w:sz w:val="24"/>
          <w:szCs w:val="24"/>
        </w:rPr>
        <w:t xml:space="preserve">. </w:t>
      </w:r>
      <w:r w:rsidR="00292350" w:rsidRPr="00641C29">
        <w:rPr>
          <w:rFonts w:ascii="Times New Roman" w:hAnsi="Times New Roman" w:cs="Times New Roman"/>
          <w:b/>
          <w:sz w:val="24"/>
          <w:szCs w:val="24"/>
        </w:rPr>
        <w:t>11772,1</w:t>
      </w:r>
      <w:r w:rsidR="007B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administracijos asignavimų (be ilgalaikių paskolų) pagal išlaidų rūšis (5 priedas).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2019 m. sausio 1 d. esantis įsiskolinimas (mokėtinos sumos) turi būti ne didesnis už 2018 m. sausio 1 d. įsiskolinimą (mokėtinas sumas).</w:t>
      </w:r>
    </w:p>
    <w:p w:rsid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2018 m. biudžeto patvirtinimo, patvirtinti 2018 m. programų sąmatas ir pateikti jas Molėtų rajono savivaldybės administracijos Finansų skyriui.</w:t>
      </w:r>
    </w:p>
    <w:tbl>
      <w:tblPr>
        <w:tblW w:w="9592" w:type="dxa"/>
        <w:tblLook w:val="04A0" w:firstRow="1" w:lastRow="0" w:firstColumn="1" w:lastColumn="0" w:noHBand="0" w:noVBand="1"/>
      </w:tblPr>
      <w:tblGrid>
        <w:gridCol w:w="1056"/>
        <w:gridCol w:w="7420"/>
        <w:gridCol w:w="1116"/>
      </w:tblGrid>
      <w:tr w:rsidR="00196A9F" w:rsidRPr="00196A9F" w:rsidTr="00616373">
        <w:trPr>
          <w:trHeight w:val="3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BIUDŽETO PAJAMOS 2018 M. (tūkst. </w:t>
            </w:r>
            <w:proofErr w:type="spellStart"/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  <w:r w:rsidRPr="0019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10011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9715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2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10659,3</w:t>
            </w:r>
          </w:p>
          <w:p w:rsidR="00615196" w:rsidRP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10661,8</w:t>
            </w:r>
          </w:p>
        </w:tc>
      </w:tr>
      <w:tr w:rsidR="00196A9F" w:rsidRPr="00330801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3003,4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ES parama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Integrali pagalba (ES parama)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21,3</w:t>
            </w:r>
          </w:p>
        </w:tc>
      </w:tr>
      <w:tr w:rsidR="00196A9F" w:rsidRPr="00615196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2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  <w:t>7655,9</w:t>
            </w:r>
          </w:p>
          <w:p w:rsidR="00615196" w:rsidRP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7658,4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2" w:rsidRPr="00990952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41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1588,7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registrui tvarkyti ir duomenims  valstybės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2" w:rsidRPr="00990952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41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173,5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</w:tr>
      <w:tr w:rsidR="00196A9F" w:rsidRPr="00196A9F" w:rsidTr="0061637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krepšeliui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59,3</w:t>
            </w:r>
          </w:p>
        </w:tc>
      </w:tr>
      <w:tr w:rsidR="00196A9F" w:rsidRPr="00196A9F" w:rsidTr="0061637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tikslinė dotacija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766,8</w:t>
            </w:r>
          </w:p>
          <w:p w:rsidR="00615196" w:rsidRP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769,3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330801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330801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952" w:rsidRPr="00641C29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41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1112,7</w:t>
            </w:r>
          </w:p>
        </w:tc>
      </w:tr>
      <w:tr w:rsidR="003F4EAE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Speciali tikslinė dotacija Valstybės investicijų programoje numatytiems projektams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500,0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519,3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</w:p>
        </w:tc>
      </w:tr>
      <w:tr w:rsidR="00196A9F" w:rsidRPr="00196A9F" w:rsidTr="00616373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417,3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ilgalaikio ir trumpalaikio turto 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96A9F" w:rsidRPr="00641C29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2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21199,6</w:t>
            </w:r>
          </w:p>
          <w:p w:rsidR="00615196" w:rsidRP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21202,1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2017 metų nepanaudotos biudžeto lėšos, kuriomis koreguojama 2018 m. pajamų dalis: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777,9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t.t. Tikslinės paskirties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su 2017 metais nepanaudotomis lėšomis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2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21977,5</w:t>
            </w:r>
          </w:p>
          <w:p w:rsidR="00615196" w:rsidRP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21980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450</w:t>
            </w:r>
          </w:p>
        </w:tc>
      </w:tr>
      <w:tr w:rsidR="00196A9F" w:rsidRPr="00990952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2" w:rsidRPr="00615196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615196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22427,5</w:t>
            </w:r>
          </w:p>
          <w:p w:rsidR="00615196" w:rsidRPr="00990952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22430</w:t>
            </w:r>
          </w:p>
        </w:tc>
      </w:tr>
    </w:tbl>
    <w:p w:rsidR="00143E7D" w:rsidRDefault="00143E7D" w:rsidP="00196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556"/>
        <w:gridCol w:w="3176"/>
        <w:gridCol w:w="836"/>
        <w:gridCol w:w="1309"/>
        <w:gridCol w:w="1163"/>
        <w:gridCol w:w="1443"/>
        <w:gridCol w:w="1342"/>
      </w:tblGrid>
      <w:tr w:rsidR="008847FD" w:rsidRPr="00417A69" w:rsidTr="008847FD">
        <w:trPr>
          <w:trHeight w:val="1185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BIUDŽETINIŲ ĮSTAIGŲ PAJAMOS</w:t>
            </w: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8847FD" w:rsidRPr="00417A69" w:rsidTr="008847FD">
        <w:trPr>
          <w:trHeight w:val="10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85,5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615196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38</w:t>
            </w:r>
          </w:p>
          <w:p w:rsidR="00615196" w:rsidRPr="00615196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151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15196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38</w:t>
            </w:r>
          </w:p>
          <w:p w:rsidR="00615196" w:rsidRPr="00615196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15196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15196" w:rsidRPr="00417A69" w:rsidTr="00615196">
        <w:trPr>
          <w:trHeight w:val="3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615196" w:rsidRDefault="00615196" w:rsidP="008847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151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615196" w:rsidRDefault="00615196" w:rsidP="008847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151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615196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151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615196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151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E9437A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E9437A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96" w:rsidRPr="00E9437A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</w:tr>
      <w:tr w:rsidR="008847FD" w:rsidRPr="00417A69" w:rsidTr="008847FD">
        <w:trPr>
          <w:trHeight w:val="330"/>
        </w:trPr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615196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</w:t>
            </w:r>
            <w:r w:rsidR="008847F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.    </w:t>
            </w:r>
            <w:r w:rsidR="008847FD"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391,3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8847FD" w:rsidRDefault="008847FD" w:rsidP="008847FD"/>
    <w:tbl>
      <w:tblPr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559"/>
        <w:gridCol w:w="284"/>
        <w:gridCol w:w="2551"/>
        <w:gridCol w:w="993"/>
        <w:gridCol w:w="992"/>
        <w:gridCol w:w="850"/>
        <w:gridCol w:w="851"/>
      </w:tblGrid>
      <w:tr w:rsidR="0085380C" w:rsidRPr="00CE11AA" w:rsidTr="00BA1DDA">
        <w:trPr>
          <w:trHeight w:val="31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MOLĖTŲ RAJONO SAVIVALDYBĖS 2018 M. BIUDŽETO ASIGNAVIMAI (TŪKST. EUR)</w:t>
            </w:r>
          </w:p>
        </w:tc>
      </w:tr>
      <w:tr w:rsidR="00CE11AA" w:rsidRPr="00CE11AA" w:rsidTr="00BA1DDA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</w:tr>
      <w:tr w:rsidR="00CE11AA" w:rsidRPr="00CE11AA" w:rsidTr="00BA1DDA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Įstaigos,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struktūrinio padalinio pavadinimas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CE11AA" w:rsidRPr="00CE11AA" w:rsidTr="00BA1DDA">
        <w:trPr>
          <w:trHeight w:val="78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CE11A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99095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11986,4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6818,7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FC1204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FC1204" w:rsidRDefault="0099095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5167,7</w:t>
            </w:r>
          </w:p>
        </w:tc>
      </w:tr>
      <w:tr w:rsidR="00CE11AA" w:rsidRPr="00CE11AA" w:rsidTr="00BA1DD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2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C36CC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C36CC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2267,2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0C4D2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1403,2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85380C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color w:val="000000"/>
                <w:lang w:eastAsia="lt-LT"/>
              </w:rPr>
              <w:t>30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CE11AA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CE11AA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CE11AA" w:rsidRDefault="0085380C" w:rsidP="003308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tarnautojams  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30801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99095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7269,5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8847FD" w:rsidP="00AA7D7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33080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FC1204" w:rsidRDefault="00990952" w:rsidP="0099095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5132,6</w:t>
            </w:r>
          </w:p>
        </w:tc>
      </w:tr>
      <w:tr w:rsidR="00330801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1.3.1.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Pr="00FC1204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1392,5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330801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1.3.2.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30801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1.3.3.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330801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1.3.4.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10,7</w:t>
            </w:r>
          </w:p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821,1</w:t>
            </w:r>
          </w:p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30801" w:rsidRPr="00CE11AA" w:rsidTr="00BA1DD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1.3.5.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330801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1.3.6.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955647" w:rsidRDefault="00330801" w:rsidP="00CE11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01" w:rsidRPr="00955647" w:rsidRDefault="00330801" w:rsidP="00CE11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BA065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500</w:t>
            </w:r>
          </w:p>
        </w:tc>
      </w:tr>
      <w:tr w:rsidR="00330801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1.3.7.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70BFA" w:rsidRDefault="00330801" w:rsidP="00370B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01" w:rsidRPr="00370BFA" w:rsidRDefault="00330801" w:rsidP="00370B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0952" w:rsidRPr="00FC1204" w:rsidRDefault="0099095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highlight w:val="yellow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430,9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90952" w:rsidRPr="00FC1204" w:rsidRDefault="0099095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681,8</w:t>
            </w:r>
          </w:p>
        </w:tc>
      </w:tr>
      <w:tr w:rsidR="00370BFA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1.5.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1.5.1.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FC1204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FC1204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955647" w:rsidRDefault="00370BFA" w:rsidP="0033080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FC1204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FC1204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308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Socialinės atskirties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370BFA" w:rsidRPr="00CE11AA" w:rsidTr="00BA1DD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 patalpų nuomą ir būsto pardavimą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08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Sveikatos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641C29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764681" w:rsidP="00C11ED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764681" w:rsidP="00C11ED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471,5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C11ED6" w:rsidP="00C11ED6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 xml:space="preserve">     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764681" w:rsidP="00C11E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471,5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C11ED6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289,5</w:t>
            </w:r>
          </w:p>
          <w:p w:rsidR="00615196" w:rsidRPr="00C11ED6" w:rsidRDefault="0061519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C11ED6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53,7</w:t>
            </w:r>
          </w:p>
          <w:p w:rsidR="00615196" w:rsidRPr="00C11ED6" w:rsidRDefault="0061519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235,8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Čiulėnų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Luokesos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Videniškių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kultūros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641C29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641C29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641C29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41C29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41C29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41C29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krašto muziejus: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1,5</w:t>
            </w:r>
          </w:p>
        </w:tc>
      </w:tr>
      <w:tr w:rsidR="003C0E9B" w:rsidRPr="00CE11AA" w:rsidTr="00BA1DDA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C0E9B" w:rsidRPr="00CE11AA" w:rsidTr="00BA1DD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4EBE" w:rsidRDefault="00990952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918,7</w:t>
            </w:r>
          </w:p>
          <w:p w:rsidR="004B6927" w:rsidRP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4EBE" w:rsidRDefault="00990952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918,7</w:t>
            </w:r>
          </w:p>
          <w:p w:rsidR="004B6927" w:rsidRP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593,7</w:t>
            </w:r>
          </w:p>
          <w:p w:rsidR="004B6927" w:rsidRP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904,9</w:t>
            </w:r>
          </w:p>
          <w:p w:rsidR="004B6927" w:rsidRP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904,9</w:t>
            </w:r>
          </w:p>
          <w:p w:rsidR="004B6927" w:rsidRP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593,1</w:t>
            </w:r>
          </w:p>
          <w:p w:rsidR="004B6927" w:rsidRP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/>
                <w:color w:val="000000"/>
                <w:lang w:eastAsia="lt-LT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19.2.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641C29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641C29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641C29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19.3.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19.4.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19.5.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E11AA" w:rsidRDefault="004B6927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4B6927" w:rsidRDefault="004B6927" w:rsidP="004B692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/>
                <w:color w:val="000000"/>
                <w:lang w:eastAsia="lt-LT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/>
                <w:color w:val="000000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4B6927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/>
                <w:color w:val="000000"/>
                <w:lang w:eastAsia="lt-LT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19.6</w:t>
            </w:r>
            <w:r w:rsidR="003C0E9B"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4B6927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19.7</w:t>
            </w:r>
            <w:r w:rsidR="00990952"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626,1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626,1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604,5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604,5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398,8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641C2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0952" w:rsidRP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highlight w:val="yellow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0952" w:rsidRP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highlight w:val="yellow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Alantos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BA1DDA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BA1DDA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552,1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355,2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526,6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354,4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FC1204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progimnazija: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800,7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499,6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777,7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498,8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113,4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641C2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pradinė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4,5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430,6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4,5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4,5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Inturkės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15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11ED6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290,9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11ED6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290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11ED6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186,4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0,9</w:t>
            </w:r>
          </w:p>
        </w:tc>
      </w:tr>
      <w:tr w:rsidR="00BA1DDA" w:rsidRPr="00CE11AA" w:rsidTr="00C11ED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11ED6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11ED6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11ED6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BA1DDA" w:rsidRPr="00CE11AA" w:rsidTr="00BA1DD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11ED6" w:rsidRDefault="00BA1DDA" w:rsidP="00C11E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11ED6" w:rsidRDefault="00BA1DDA" w:rsidP="00C11E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143,1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11ED6" w:rsidRDefault="00BA1DDA" w:rsidP="00C11E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menų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BA1DD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BA1DDA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BA1DDA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pedagoginė-psichologinė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98,2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98,2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68,6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885A5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98,2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98,2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68,6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885A5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66,2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66,2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44,1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885A5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32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32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24,5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885A5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švietimo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168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166,5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90,1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1,5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168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166,5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90,1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1,5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128,6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127,1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88,1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1,5</w:t>
            </w:r>
          </w:p>
          <w:p w:rsidR="004B6927" w:rsidRPr="004B6927" w:rsidRDefault="0041541E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39,4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4B6927">
              <w:rPr>
                <w:rFonts w:eastAsia="Times New Roman" w:cs="Times New Roman"/>
                <w:strike/>
                <w:color w:val="000000"/>
                <w:lang w:eastAsia="lt-LT"/>
              </w:rPr>
              <w:t>39,4</w:t>
            </w:r>
          </w:p>
          <w:p w:rsidR="004B6927" w:rsidRPr="004B6927" w:rsidRDefault="00885A59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885A5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  <w:p w:rsidR="004B6927" w:rsidRPr="004B6927" w:rsidRDefault="004B6927" w:rsidP="00BA1DD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885A59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Kijėlių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specialusis ugdymo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Ugdymo proceso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31.7.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"Saulutės"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718,8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4,2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404,7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424,2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A1DDA" w:rsidRPr="00CE11AA" w:rsidTr="00FC1204">
        <w:trPr>
          <w:trHeight w:val="4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424,2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BA1DD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FC1204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1DDA" w:rsidRPr="00CE11AA" w:rsidRDefault="00BA1DDA" w:rsidP="00BA1D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5B4F70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Pr="00885A59" w:rsidRDefault="005B4F70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5B4F70" w:rsidRPr="00885A59" w:rsidRDefault="005B4F70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Molėtų r. paslaugų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115,1</w:t>
            </w:r>
          </w:p>
          <w:p w:rsidR="00885A59" w:rsidRPr="00885A59" w:rsidRDefault="00885A59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Pr="00C11ED6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115,1</w:t>
            </w:r>
          </w:p>
          <w:p w:rsidR="00885A59" w:rsidRPr="00885A59" w:rsidRDefault="00C11ED6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Pr="00FC1204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Pr="005B4F70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885A59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85A59" w:rsidRPr="00885A59" w:rsidRDefault="00885A59" w:rsidP="00885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115,1</w:t>
            </w:r>
          </w:p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C11ED6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115,1</w:t>
            </w:r>
          </w:p>
          <w:p w:rsidR="00885A59" w:rsidRPr="00885A59" w:rsidRDefault="00C11ED6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FC1204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C11ED6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885A59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37.2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115,1</w:t>
            </w:r>
          </w:p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115,1</w:t>
            </w:r>
          </w:p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FC1204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885A59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37.3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0</w:t>
            </w:r>
          </w:p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C11ED6" w:rsidP="00885A5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C11ED6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0</w:t>
            </w:r>
          </w:p>
        </w:tc>
      </w:tr>
      <w:tr w:rsidR="00885A59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/>
                <w:color w:val="000000"/>
                <w:lang w:eastAsia="lt-LT"/>
              </w:rPr>
              <w:t>38.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C11E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/>
                <w:color w:val="000000"/>
                <w:lang w:eastAsia="lt-LT"/>
              </w:rPr>
              <w:t xml:space="preserve">Molėtų r. švietimo pagalbos </w:t>
            </w:r>
            <w:r w:rsidR="00C11ED6">
              <w:rPr>
                <w:rFonts w:eastAsia="Times New Roman" w:cs="Times New Roman"/>
                <w:b/>
                <w:color w:val="000000"/>
                <w:lang w:eastAsia="lt-LT"/>
              </w:rPr>
              <w:t>tarnyba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885A59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38.1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85A59" w:rsidRPr="00CE11AA" w:rsidRDefault="00885A59" w:rsidP="00885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5A59" w:rsidRPr="00CE11AA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5A59" w:rsidRPr="00CE11AA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885A59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38.2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85A59" w:rsidRPr="00CE11AA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5A59" w:rsidRPr="00CE11AA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5A59" w:rsidRPr="00CE11AA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885A59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38.3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85A59" w:rsidRPr="00CE11AA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5A59" w:rsidRPr="00CE11AA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5A59" w:rsidRPr="00CE11AA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5A59" w:rsidRP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885A59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5A59" w:rsidRPr="00026052" w:rsidRDefault="00885A59" w:rsidP="00885A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39</w:t>
            </w: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85A59" w:rsidRPr="00CE11AA" w:rsidRDefault="00885A59" w:rsidP="00885A59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A59" w:rsidRDefault="00885A59" w:rsidP="00885A59">
            <w:pPr>
              <w:spacing w:after="0" w:line="240" w:lineRule="auto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22427,5</w:t>
            </w:r>
          </w:p>
          <w:p w:rsidR="00885A59" w:rsidRPr="00885A59" w:rsidRDefault="00885A59" w:rsidP="00885A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16745,7</w:t>
            </w:r>
          </w:p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16749,7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7498</w:t>
            </w:r>
          </w:p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5A59" w:rsidRDefault="00885A59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5681,8</w:t>
            </w:r>
          </w:p>
          <w:p w:rsidR="00885A59" w:rsidRPr="00885A59" w:rsidRDefault="0041541E" w:rsidP="00885A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5680,3</w:t>
            </w:r>
          </w:p>
        </w:tc>
      </w:tr>
    </w:tbl>
    <w:p w:rsidR="00BA1DDA" w:rsidRDefault="00BA1DDA">
      <w:r>
        <w:br w:type="page"/>
      </w:r>
    </w:p>
    <w:tbl>
      <w:tblPr>
        <w:tblW w:w="9923" w:type="dxa"/>
        <w:tblInd w:w="-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4"/>
        <w:gridCol w:w="2835"/>
        <w:gridCol w:w="993"/>
        <w:gridCol w:w="992"/>
        <w:gridCol w:w="850"/>
        <w:gridCol w:w="851"/>
      </w:tblGrid>
      <w:tr w:rsidR="00355B4F" w:rsidRPr="00CE11AA" w:rsidTr="00BA1DDA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Lėšų detalizavimas:</w:t>
            </w:r>
            <w:r w:rsidRPr="00CE11AA">
              <w:rPr>
                <w:rFonts w:eastAsia="Times New Roman" w:cs="Times New Roman"/>
                <w:b/>
                <w:color w:val="000000"/>
                <w:lang w:eastAsia="lt-LT"/>
              </w:rPr>
              <w:t> </w:t>
            </w:r>
          </w:p>
        </w:tc>
      </w:tr>
      <w:tr w:rsidR="00355B4F" w:rsidRPr="00CE11AA" w:rsidTr="00BA1DDA">
        <w:trPr>
          <w:trHeight w:val="24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355B4F" w:rsidRPr="00CE11AA" w:rsidTr="00BA1DD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355B4F" w:rsidRPr="00CE11AA" w:rsidTr="00BA1DDA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1588,7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330801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10091,2</w:t>
            </w:r>
          </w:p>
          <w:p w:rsidR="00DE3B55" w:rsidRP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/>
                <w:color w:val="000000"/>
                <w:lang w:eastAsia="lt-LT"/>
              </w:rPr>
              <w:t>10092,7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4188,5</w:t>
            </w:r>
          </w:p>
          <w:p w:rsidR="00DE3B55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4188,5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628,4</w:t>
            </w:r>
          </w:p>
          <w:p w:rsidR="00DE3B55" w:rsidRP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626,9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41541E" w:rsidRDefault="00DE3B55" w:rsidP="004154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41541E" w:rsidRDefault="00DE3B55" w:rsidP="004154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1A70F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A70F6">
              <w:rPr>
                <w:rFonts w:eastAsia="Times New Roman" w:cs="Times New Roman"/>
                <w:color w:val="000000"/>
                <w:lang w:eastAsia="lt-LT"/>
              </w:rPr>
              <w:t>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1A70F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A70F6">
              <w:rPr>
                <w:rFonts w:eastAsia="Times New Roman" w:cs="Times New Roman"/>
                <w:color w:val="000000"/>
                <w:lang w:eastAsia="lt-LT"/>
              </w:rPr>
              <w:t>442,6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1A70F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A70F6">
              <w:rPr>
                <w:rFonts w:eastAsia="Times New Roman" w:cs="Times New Roman"/>
                <w:color w:val="000000"/>
                <w:lang w:eastAsia="lt-LT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</w:tr>
      <w:tr w:rsidR="00DE3B55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Kitos tikslinės dotacijos ir dotacijos iš kitų valdymo lygių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2444,5</w:t>
            </w:r>
          </w:p>
          <w:p w:rsidR="00DE3B55" w:rsidRP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441,6</w:t>
            </w:r>
          </w:p>
          <w:p w:rsidR="00DE3B55" w:rsidRP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2002,9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 xml:space="preserve">49.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FC120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22427,5</w:t>
            </w:r>
          </w:p>
          <w:p w:rsidR="00DE3B55" w:rsidRP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16745,7</w:t>
            </w:r>
          </w:p>
          <w:p w:rsidR="00DE3B55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16749,7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7540</w:t>
            </w:r>
          </w:p>
          <w:p w:rsidR="00DE3B55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5681,8</w:t>
            </w:r>
          </w:p>
          <w:p w:rsidR="00DE3B55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5680,3</w:t>
            </w:r>
          </w:p>
        </w:tc>
      </w:tr>
      <w:tr w:rsidR="00DE3B55" w:rsidRPr="00CE11AA" w:rsidTr="00BA1DD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pavadinimas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DE3B55" w:rsidRPr="00CE11AA" w:rsidTr="00BA1DDA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DE3B55" w:rsidRPr="00CE11AA" w:rsidTr="00BA1DDA">
        <w:trPr>
          <w:trHeight w:val="3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52.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1.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 bei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kaimo plėtros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2.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41541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3363,3</w:t>
            </w:r>
          </w:p>
          <w:p w:rsidR="00DE3B55" w:rsidRPr="00C11ED6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3373,3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41541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2861,8</w:t>
            </w:r>
          </w:p>
          <w:p w:rsidR="00DE3B55" w:rsidRPr="00C11ED6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2871,8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11ED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1800,2</w:t>
            </w:r>
          </w:p>
          <w:p w:rsidR="00DE3B55" w:rsidRPr="00C11ED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11ED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501,5</w:t>
            </w:r>
          </w:p>
          <w:p w:rsidR="00DE3B55" w:rsidRPr="00C11ED6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487,7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41541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5" w:rsidRPr="0041541E" w:rsidRDefault="00DE3B55" w:rsidP="0041541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2392,3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5" w:rsidRPr="0041541E" w:rsidRDefault="00DE3B55" w:rsidP="004154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5" w:rsidRPr="0041541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</w:p>
          <w:p w:rsidR="00DE3B55" w:rsidRPr="0041541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55" w:rsidRPr="0041541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265,8</w:t>
            </w:r>
          </w:p>
        </w:tc>
      </w:tr>
      <w:tr w:rsidR="00DE3B55" w:rsidRPr="00CE11AA" w:rsidTr="00BA1DD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Valstybės tarnautojams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30,4</w:t>
            </w:r>
          </w:p>
          <w:p w:rsidR="00DE3B55" w:rsidRP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/>
                <w:color w:val="000000"/>
                <w:lang w:eastAsia="lt-LT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11ED6" w:rsidRDefault="00C11ED6" w:rsidP="00C11ED6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strike/>
                <w:color w:val="000000"/>
                <w:lang w:eastAsia="lt-LT"/>
              </w:rPr>
              <w:t>3</w:t>
            </w:r>
            <w:r w:rsidR="00DE3B55" w:rsidRPr="00C11ED6">
              <w:rPr>
                <w:rFonts w:eastAsia="Times New Roman" w:cs="Times New Roman"/>
                <w:strike/>
                <w:color w:val="000000"/>
                <w:lang w:eastAsia="lt-LT"/>
              </w:rPr>
              <w:t>0,4</w:t>
            </w:r>
          </w:p>
          <w:p w:rsidR="00C11ED6" w:rsidRPr="00C11ED6" w:rsidRDefault="00C11ED6" w:rsidP="00C11E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/>
                <w:color w:val="000000"/>
                <w:lang w:eastAsia="lt-LT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11ED6" w:rsidRDefault="00DE3B55" w:rsidP="00C11E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60.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3.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7525,7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2393,1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5132,6</w:t>
            </w:r>
          </w:p>
        </w:tc>
      </w:tr>
      <w:tr w:rsidR="00DE3B55" w:rsidRPr="00584338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1585,5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2002,9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67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68.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4.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4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70.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5.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026052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1207,6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026052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1201,1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026052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659,4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6,5</w:t>
            </w:r>
          </w:p>
        </w:tc>
      </w:tr>
      <w:tr w:rsidR="00DE3B55" w:rsidRPr="00584338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659,4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6,5</w:t>
            </w:r>
          </w:p>
        </w:tc>
      </w:tr>
      <w:tr w:rsidR="00DE3B55" w:rsidRPr="00584338" w:rsidTr="00BA1DD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73.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6.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6907,8</w:t>
            </w:r>
          </w:p>
          <w:p w:rsidR="00221310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6900,3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6871,7</w:t>
            </w:r>
          </w:p>
          <w:p w:rsidR="00221310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6865,7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4298,1</w:t>
            </w:r>
          </w:p>
          <w:p w:rsidR="00221310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36,1</w:t>
            </w:r>
          </w:p>
          <w:p w:rsidR="00221310" w:rsidRPr="00DE3B55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34,6</w:t>
            </w:r>
          </w:p>
        </w:tc>
      </w:tr>
      <w:tr w:rsidR="00221310" w:rsidRPr="00584338" w:rsidTr="0041541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74.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75.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3111,6</w:t>
            </w:r>
          </w:p>
          <w:p w:rsidR="00221310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3075,5</w:t>
            </w:r>
          </w:p>
          <w:p w:rsidR="00221310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1732,3</w:t>
            </w:r>
          </w:p>
          <w:p w:rsidR="00221310" w:rsidRPr="00DE3B55" w:rsidRDefault="0041541E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1732,3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36,1</w:t>
            </w:r>
          </w:p>
          <w:p w:rsidR="00221310" w:rsidRPr="00DE3B55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34,6</w:t>
            </w:r>
          </w:p>
        </w:tc>
      </w:tr>
      <w:tr w:rsidR="00221310" w:rsidRPr="00584338" w:rsidTr="0041541E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76.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77.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227,9</w:t>
            </w:r>
          </w:p>
          <w:p w:rsidR="00221310" w:rsidRPr="00DE3B55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strike/>
                <w:color w:val="000000"/>
                <w:lang w:eastAsia="lt-LT"/>
              </w:rPr>
              <w:t>227,9</w:t>
            </w:r>
          </w:p>
          <w:p w:rsidR="00221310" w:rsidRPr="00DE3B55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DE3B55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DE3B55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DE3B55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78.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221310" w:rsidRPr="00584338" w:rsidTr="0041541E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584338" w:rsidRDefault="00221310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79.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1310" w:rsidRPr="00584338" w:rsidRDefault="00221310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10" w:rsidRPr="00584338" w:rsidRDefault="00221310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221310" w:rsidRDefault="00221310" w:rsidP="0022131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21310">
              <w:rPr>
                <w:rFonts w:eastAsia="Times New Roman" w:cs="Times New Roman"/>
                <w:b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2131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2131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2131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1310" w:rsidRPr="00584338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DE3B55" w:rsidRPr="00584338" w:rsidTr="00BA1DDA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80.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7.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2997,2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2992,1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781,9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1990,5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1990,5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DE3B55" w:rsidRPr="00584338" w:rsidTr="00BA1DD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87.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8.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Sveikatos apsaugos </w:t>
            </w:r>
            <w:r w:rsidRPr="00584338">
              <w:rPr>
                <w:rFonts w:eastAsia="Times New Roman" w:cs="Times New Roman"/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88.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89</w:t>
            </w:r>
            <w:r w:rsidRPr="00584338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BA1DD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90</w:t>
            </w:r>
            <w:r w:rsidRPr="00584338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1310">
              <w:rPr>
                <w:rFonts w:eastAsia="Times New Roman" w:cs="Times New Roman"/>
                <w:strike/>
                <w:color w:val="000000"/>
                <w:lang w:eastAsia="lt-LT"/>
              </w:rPr>
              <w:t>22427,5</w:t>
            </w:r>
          </w:p>
          <w:p w:rsidR="00221310" w:rsidRPr="00221310" w:rsidRDefault="0022131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22430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1310">
              <w:rPr>
                <w:rFonts w:eastAsia="Times New Roman" w:cs="Times New Roman"/>
                <w:strike/>
                <w:color w:val="000000"/>
                <w:lang w:eastAsia="lt-LT"/>
              </w:rPr>
              <w:t>16745,7</w:t>
            </w:r>
          </w:p>
          <w:p w:rsidR="00221310" w:rsidRPr="00221310" w:rsidRDefault="001F237C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16749,7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1310">
              <w:rPr>
                <w:rFonts w:eastAsia="Times New Roman" w:cs="Times New Roman"/>
                <w:strike/>
                <w:color w:val="000000"/>
                <w:lang w:eastAsia="lt-LT"/>
              </w:rPr>
              <w:t>7540</w:t>
            </w:r>
          </w:p>
          <w:p w:rsidR="00221310" w:rsidRPr="00221310" w:rsidRDefault="001F237C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21310">
              <w:rPr>
                <w:rFonts w:eastAsia="Times New Roman" w:cs="Times New Roman"/>
                <w:strike/>
                <w:color w:val="000000"/>
                <w:lang w:eastAsia="lt-LT"/>
              </w:rPr>
              <w:t>5681,8</w:t>
            </w:r>
          </w:p>
          <w:p w:rsidR="00221310" w:rsidRPr="00221310" w:rsidRDefault="001F237C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5680,3</w:t>
            </w:r>
          </w:p>
        </w:tc>
      </w:tr>
    </w:tbl>
    <w:p w:rsidR="00BD2608" w:rsidRPr="00584338" w:rsidRDefault="0085380C" w:rsidP="00196A9F">
      <w:r w:rsidRPr="00584338">
        <w:tab/>
      </w:r>
      <w:r w:rsidRPr="00584338">
        <w:tab/>
      </w:r>
      <w:r w:rsidRPr="00584338">
        <w:tab/>
      </w:r>
    </w:p>
    <w:p w:rsidR="004A6245" w:rsidRDefault="004A6245" w:rsidP="00196A9F"/>
    <w:p w:rsidR="003D5653" w:rsidRDefault="003D5653" w:rsidP="00196A9F"/>
    <w:p w:rsidR="003D5653" w:rsidRDefault="003D5653" w:rsidP="00196A9F"/>
    <w:p w:rsidR="00221310" w:rsidRDefault="00221310" w:rsidP="00196A9F"/>
    <w:p w:rsidR="00221310" w:rsidRDefault="00221310" w:rsidP="00196A9F"/>
    <w:p w:rsidR="00221310" w:rsidRDefault="00221310" w:rsidP="00196A9F"/>
    <w:p w:rsidR="004A6245" w:rsidRPr="000F250E" w:rsidRDefault="004A6245" w:rsidP="00196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696"/>
        <w:gridCol w:w="4640"/>
        <w:gridCol w:w="1083"/>
        <w:gridCol w:w="960"/>
        <w:gridCol w:w="960"/>
        <w:gridCol w:w="1180"/>
      </w:tblGrid>
      <w:tr w:rsidR="004269C6" w:rsidRPr="005D171D" w:rsidTr="004269C6">
        <w:trPr>
          <w:trHeight w:val="112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2018 METŲ BIUDŽETO ASIGNAVIMAI </w:t>
            </w: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4269C6" w:rsidRPr="005D171D" w:rsidTr="004269C6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4269C6" w:rsidRPr="005D171D" w:rsidTr="004269C6">
        <w:trPr>
          <w:trHeight w:val="51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84338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84338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84338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Inturkės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84338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84338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Vaiko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Darbo rinkos politikos rengimas ir įgyvendinimas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92E" w:rsidRPr="00584338" w:rsidRDefault="000C4D28" w:rsidP="00A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162,8</w:t>
            </w:r>
          </w:p>
        </w:tc>
      </w:tr>
      <w:tr w:rsidR="004269C6" w:rsidRPr="005D171D" w:rsidTr="004269C6">
        <w:trPr>
          <w:trHeight w:val="48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297,3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6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63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608" w:rsidRPr="00584338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609,0</w:t>
            </w:r>
          </w:p>
        </w:tc>
      </w:tr>
    </w:tbl>
    <w:p w:rsidR="00D603D1" w:rsidRDefault="00D6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662"/>
        <w:gridCol w:w="6700"/>
        <w:gridCol w:w="1186"/>
        <w:gridCol w:w="1240"/>
      </w:tblGrid>
      <w:tr w:rsidR="0096187D" w:rsidTr="0096187D">
        <w:trPr>
          <w:trHeight w:val="1005"/>
        </w:trPr>
        <w:tc>
          <w:tcPr>
            <w:tcW w:w="9680" w:type="dxa"/>
            <w:gridSpan w:val="4"/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2018 M. BIUDŽETO SAVIVALDYBĖS</w:t>
            </w:r>
            <w:r w:rsidRPr="004A62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96187D" w:rsidTr="0096187D">
        <w:trPr>
          <w:trHeight w:val="225"/>
        </w:trPr>
        <w:tc>
          <w:tcPr>
            <w:tcW w:w="620" w:type="dxa"/>
            <w:noWrap/>
            <w:vAlign w:val="center"/>
            <w:hideMark/>
          </w:tcPr>
          <w:p w:rsidR="0096187D" w:rsidRDefault="009618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70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96187D" w:rsidTr="0096187D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2018 m.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1889,5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108,8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1765,7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CA" w:rsidRPr="004A6245" w:rsidRDefault="0038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841,6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Turizmo skatinimo ir verslo sąlygų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</w:tr>
      <w:tr w:rsidR="0096187D" w:rsidRPr="00A6091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9" w:rsidRPr="00A6091D" w:rsidRDefault="0027494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73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teikiamas paslaugas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iš valstybinės žemės realizavimo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164</w:t>
            </w:r>
          </w:p>
        </w:tc>
      </w:tr>
      <w:tr w:rsidR="0096187D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CB" w:rsidRPr="00274944" w:rsidRDefault="000725C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2433,8</w:t>
            </w:r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ES projektams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</w:tr>
      <w:tr w:rsidR="0096187D" w:rsidTr="0096187D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5CB" w:rsidRPr="00274944" w:rsidRDefault="000725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color w:val="000000"/>
                <w:szCs w:val="24"/>
                <w:lang w:eastAsia="lt-LT"/>
              </w:rPr>
              <w:t>1112,7</w:t>
            </w:r>
          </w:p>
        </w:tc>
      </w:tr>
      <w:tr w:rsidR="0033305A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,,Molėtų rajono savivaldybės 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500,0</w:t>
            </w:r>
          </w:p>
        </w:tc>
      </w:tr>
      <w:tr w:rsidR="0096187D" w:rsidRPr="00274944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E" w:rsidRPr="00274944" w:rsidRDefault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color w:val="000000"/>
                <w:szCs w:val="24"/>
                <w:lang w:eastAsia="lt-LT"/>
              </w:rPr>
              <w:t>821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2923,1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ES lėšos socialinio būsto pirkimui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9" w:rsidRPr="004A6245" w:rsidRDefault="00EF23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RPr="00274944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E" w:rsidRPr="00274944" w:rsidRDefault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color w:val="000000"/>
                <w:szCs w:val="24"/>
                <w:lang w:eastAsia="lt-LT"/>
              </w:rPr>
              <w:t>85,2</w:t>
            </w:r>
          </w:p>
        </w:tc>
      </w:tr>
      <w:tr w:rsidR="0096187D" w:rsidTr="0096187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suaugusiųjų neakivaizdiniam mokymui (mokinio krepšelis)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EB" w:rsidRPr="004A6245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  <w:r w:rsidR="0033305A"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,0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EB" w:rsidRPr="004A6245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  <w:r w:rsidR="0033305A"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,0</w:t>
            </w:r>
          </w:p>
          <w:p w:rsidR="007507EB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96187D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68" w:rsidRPr="004A6245" w:rsidRDefault="0027494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Atliekų tvarkymo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Sveikatos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A26DE" w:rsidRPr="003A26DE" w:rsidRDefault="000725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11772,1</w:t>
            </w:r>
          </w:p>
        </w:tc>
      </w:tr>
    </w:tbl>
    <w:p w:rsidR="0096187D" w:rsidRDefault="0096187D" w:rsidP="0096187D"/>
    <w:p w:rsidR="0058285E" w:rsidRPr="000F250E" w:rsidRDefault="0058285E">
      <w:pPr>
        <w:rPr>
          <w:rFonts w:ascii="Times New Roman" w:hAnsi="Times New Roman" w:cs="Times New Roman"/>
          <w:sz w:val="24"/>
          <w:szCs w:val="24"/>
        </w:rPr>
      </w:pPr>
    </w:p>
    <w:sectPr w:rsidR="0058285E" w:rsidRPr="000F250E" w:rsidSect="00CE11A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D"/>
    <w:rsid w:val="00020FF6"/>
    <w:rsid w:val="00022857"/>
    <w:rsid w:val="00026052"/>
    <w:rsid w:val="0005651E"/>
    <w:rsid w:val="000725CB"/>
    <w:rsid w:val="000C4D28"/>
    <w:rsid w:val="000E7418"/>
    <w:rsid w:val="000F250E"/>
    <w:rsid w:val="00143E7D"/>
    <w:rsid w:val="0015437A"/>
    <w:rsid w:val="00196A9F"/>
    <w:rsid w:val="001A70F6"/>
    <w:rsid w:val="001F237C"/>
    <w:rsid w:val="00221310"/>
    <w:rsid w:val="00274944"/>
    <w:rsid w:val="00292350"/>
    <w:rsid w:val="00330801"/>
    <w:rsid w:val="0033305A"/>
    <w:rsid w:val="003404CF"/>
    <w:rsid w:val="00355B4F"/>
    <w:rsid w:val="00370BFA"/>
    <w:rsid w:val="003876CA"/>
    <w:rsid w:val="003A1612"/>
    <w:rsid w:val="003A26DE"/>
    <w:rsid w:val="003C0E9B"/>
    <w:rsid w:val="003D5653"/>
    <w:rsid w:val="003F4EAE"/>
    <w:rsid w:val="0041541E"/>
    <w:rsid w:val="004269C6"/>
    <w:rsid w:val="0046656D"/>
    <w:rsid w:val="004A6245"/>
    <w:rsid w:val="004B6927"/>
    <w:rsid w:val="00552A24"/>
    <w:rsid w:val="0058285E"/>
    <w:rsid w:val="00584338"/>
    <w:rsid w:val="005B4F70"/>
    <w:rsid w:val="00611CCA"/>
    <w:rsid w:val="00615196"/>
    <w:rsid w:val="00616373"/>
    <w:rsid w:val="00641C29"/>
    <w:rsid w:val="00645137"/>
    <w:rsid w:val="0066308D"/>
    <w:rsid w:val="0067615F"/>
    <w:rsid w:val="00677981"/>
    <w:rsid w:val="006D5F5C"/>
    <w:rsid w:val="00716B1E"/>
    <w:rsid w:val="007507EB"/>
    <w:rsid w:val="00764681"/>
    <w:rsid w:val="0079259D"/>
    <w:rsid w:val="007B6D9A"/>
    <w:rsid w:val="008114B2"/>
    <w:rsid w:val="0085380C"/>
    <w:rsid w:val="00880407"/>
    <w:rsid w:val="008847FD"/>
    <w:rsid w:val="00885A59"/>
    <w:rsid w:val="00897E4A"/>
    <w:rsid w:val="008B087E"/>
    <w:rsid w:val="008E6962"/>
    <w:rsid w:val="00955647"/>
    <w:rsid w:val="0096187D"/>
    <w:rsid w:val="00990952"/>
    <w:rsid w:val="00A2292E"/>
    <w:rsid w:val="00A34EBE"/>
    <w:rsid w:val="00A6091D"/>
    <w:rsid w:val="00A7130E"/>
    <w:rsid w:val="00AA7D77"/>
    <w:rsid w:val="00AF153D"/>
    <w:rsid w:val="00BA065B"/>
    <w:rsid w:val="00BA1DDA"/>
    <w:rsid w:val="00BD2608"/>
    <w:rsid w:val="00C11ED6"/>
    <w:rsid w:val="00C36CC8"/>
    <w:rsid w:val="00CE11AA"/>
    <w:rsid w:val="00D15080"/>
    <w:rsid w:val="00D603D1"/>
    <w:rsid w:val="00D606F3"/>
    <w:rsid w:val="00DC6F51"/>
    <w:rsid w:val="00DE3B55"/>
    <w:rsid w:val="00DE4778"/>
    <w:rsid w:val="00E65E7A"/>
    <w:rsid w:val="00E82D0C"/>
    <w:rsid w:val="00EC7104"/>
    <w:rsid w:val="00EF2359"/>
    <w:rsid w:val="00F65368"/>
    <w:rsid w:val="00FC1204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2440-0ABB-4004-974D-2D741DB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3E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85380C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538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F059-5F29-421F-AF5F-FCB9FF44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22566</Words>
  <Characters>12863</Characters>
  <Application>Microsoft Office Word</Application>
  <DocSecurity>4</DocSecurity>
  <Lines>107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Vida Rukšėnaitė</cp:lastModifiedBy>
  <cp:revision>2</cp:revision>
  <dcterms:created xsi:type="dcterms:W3CDTF">2018-08-22T06:08:00Z</dcterms:created>
  <dcterms:modified xsi:type="dcterms:W3CDTF">2018-08-22T06:08:00Z</dcterms:modified>
</cp:coreProperties>
</file>