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9C3725" w:rsidRPr="009E4233">
        <w:rPr>
          <w:lang w:val="lt-LT"/>
        </w:rPr>
        <w:t>avivaldybės kultūros</w:t>
      </w:r>
      <w:r w:rsidRPr="009E4233">
        <w:rPr>
          <w:lang w:val="lt-LT"/>
        </w:rPr>
        <w:t xml:space="preserve"> įstaigų vadovų </w:t>
      </w:r>
      <w:r w:rsidR="007E7843">
        <w:rPr>
          <w:lang w:val="lt-LT"/>
        </w:rPr>
        <w:t>2017</w:t>
      </w:r>
      <w:bookmarkStart w:id="0" w:name="_GoBack"/>
      <w:bookmarkEnd w:id="0"/>
      <w:r w:rsidR="00574115">
        <w:rPr>
          <w:lang w:val="lt-LT"/>
        </w:rPr>
        <w:t xml:space="preserve"> m.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Default="00177D3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9C3725">
        <w:rPr>
          <w:lang w:val="lt-LT"/>
        </w:rPr>
        <w:t xml:space="preserve">avivaldybės kultūros </w:t>
      </w:r>
      <w:r w:rsidR="006435AE">
        <w:rPr>
          <w:lang w:val="lt-LT"/>
        </w:rPr>
        <w:t xml:space="preserve"> įstaigų vadovų ataskaitoms.</w:t>
      </w:r>
    </w:p>
    <w:p w:rsidR="006435AE" w:rsidRPr="004D70AA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Ataskaitos parengtos ir pristatytos vadovaujantis Molėtų rajono biudžetinių ir viešųjų įstaigų, kurių savininkė arba dalininkė yra savivaldybė, vadovų ataskaitų pateikimo tvarkos aprašu, patvirtintu Molėtų rajono savivaldybės a</w:t>
      </w:r>
      <w:r w:rsidR="009E4233">
        <w:rPr>
          <w:lang w:val="lt-LT"/>
        </w:rPr>
        <w:t>dministracijos direktoriaus 2016 m. kovo 2 d. įsakymu Nr. B6-206</w:t>
      </w:r>
      <w:r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16 straipsnio 2 dalies 19 punktas.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177D3E">
        <w:rPr>
          <w:lang w:val="lt-LT"/>
        </w:rPr>
        <w:t xml:space="preserve">Savivaldybės kultūros įstaigų vadovų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9E4233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Parengti kultūros </w:t>
      </w:r>
      <w:r w:rsidR="006435AE">
        <w:rPr>
          <w:lang w:val="lt-LT"/>
        </w:rPr>
        <w:t>įstaigų vadovų 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9E4233">
        <w:rPr>
          <w:lang w:val="lt-LT"/>
        </w:rPr>
        <w:t xml:space="preserve">vivaldybės kultūros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574115"/>
    <w:rsid w:val="005A0EDD"/>
    <w:rsid w:val="006435AE"/>
    <w:rsid w:val="007E7843"/>
    <w:rsid w:val="009C3725"/>
    <w:rsid w:val="009E4233"/>
    <w:rsid w:val="00AA468B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4DE2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3</cp:revision>
  <dcterms:created xsi:type="dcterms:W3CDTF">2018-04-13T12:43:00Z</dcterms:created>
  <dcterms:modified xsi:type="dcterms:W3CDTF">2018-04-13T12:45:00Z</dcterms:modified>
</cp:coreProperties>
</file>