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Default="00746386" w:rsidP="004961B9">
      <w:pPr>
        <w:tabs>
          <w:tab w:val="num" w:pos="0"/>
          <w:tab w:val="left" w:pos="720"/>
        </w:tabs>
        <w:spacing w:line="360" w:lineRule="auto"/>
        <w:jc w:val="center"/>
        <w:outlineLvl w:val="0"/>
        <w:rPr>
          <w:lang w:val="lt-LT"/>
        </w:rPr>
      </w:pPr>
      <w:r>
        <w:rPr>
          <w:lang w:val="lt-LT"/>
        </w:rPr>
        <w:t>AIŠKINAMASIS RAŠTAS</w:t>
      </w:r>
    </w:p>
    <w:p w:rsidR="006A0028" w:rsidRPr="006A0028" w:rsidRDefault="006A0028" w:rsidP="006A0028">
      <w:pPr>
        <w:jc w:val="center"/>
        <w:rPr>
          <w:lang w:val="lt-LT" w:eastAsia="lt-LT"/>
        </w:rPr>
      </w:pPr>
      <w:r>
        <w:rPr>
          <w:lang w:val="lt-LT" w:eastAsia="lt-LT"/>
        </w:rPr>
        <w:t>Dėl</w:t>
      </w:r>
      <w:r w:rsidRPr="006A0028">
        <w:rPr>
          <w:lang w:val="lt-LT" w:eastAsia="lt-LT"/>
        </w:rPr>
        <w:t xml:space="preserve"> uždarosios akcinės bendrovės </w:t>
      </w:r>
      <w:r>
        <w:rPr>
          <w:lang w:val="lt-LT"/>
        </w:rPr>
        <w:t>„M</w:t>
      </w:r>
      <w:r w:rsidRPr="006A0028">
        <w:rPr>
          <w:lang w:val="lt-LT"/>
        </w:rPr>
        <w:t xml:space="preserve">olėtų vanduo“ </w:t>
      </w:r>
      <w:r w:rsidRPr="006A0028">
        <w:rPr>
          <w:lang w:val="lt-LT" w:eastAsia="lt-LT"/>
        </w:rPr>
        <w:t>geriamojo vandens tiekimo ir nuotekų tvarkymo paslaugų bei atsiskaitomųjų apskaitos prietaisų priežiūros ir vartotojų aptarnavimo paslaugos bazinių kainų nustatymo</w:t>
      </w:r>
    </w:p>
    <w:p w:rsidR="00AA504D" w:rsidRPr="00783E2C" w:rsidRDefault="00AA504D" w:rsidP="000D3EF1">
      <w:pPr>
        <w:tabs>
          <w:tab w:val="left" w:pos="720"/>
          <w:tab w:val="num" w:pos="3960"/>
        </w:tabs>
        <w:jc w:val="center"/>
        <w:rPr>
          <w:lang w:val="lt-LT"/>
        </w:rPr>
      </w:pPr>
    </w:p>
    <w:p w:rsidR="00B5135B" w:rsidRPr="00783E2C" w:rsidRDefault="007F3552" w:rsidP="00B5135B">
      <w:pPr>
        <w:pStyle w:val="Sraopastraipa"/>
        <w:numPr>
          <w:ilvl w:val="0"/>
          <w:numId w:val="1"/>
        </w:numPr>
        <w:tabs>
          <w:tab w:val="left" w:pos="720"/>
          <w:tab w:val="num" w:pos="3960"/>
        </w:tabs>
        <w:spacing w:line="360" w:lineRule="auto"/>
        <w:rPr>
          <w:b/>
          <w:lang w:val="lt-LT"/>
        </w:rPr>
      </w:pPr>
      <w:r w:rsidRPr="00783E2C">
        <w:rPr>
          <w:b/>
          <w:lang w:val="lt-LT"/>
        </w:rPr>
        <w:t>Parengto tarybos sprendimo projekto tikslai ir uždaviniai</w:t>
      </w:r>
    </w:p>
    <w:p w:rsidR="00980A6F" w:rsidRDefault="00484587" w:rsidP="00980A6F">
      <w:pPr>
        <w:pStyle w:val="Default"/>
        <w:spacing w:line="360" w:lineRule="auto"/>
        <w:ind w:firstLine="709"/>
        <w:jc w:val="both"/>
        <w:rPr>
          <w:iCs w:val="0"/>
        </w:rPr>
      </w:pPr>
      <w:r w:rsidRPr="00E70E3F">
        <w:rPr>
          <w:iCs w:val="0"/>
        </w:rPr>
        <w:t xml:space="preserve">UAB „Molėtų vanduo“ (toliau – Bendrovė) 2017 m. rugsėjo 12 d. raštu Nr. IS-122 „Prašymas suderinti geriamojo vandens tiekimo ir nuotekų tvarkymo paslaugų bazines kainas“ Valstybinei </w:t>
      </w:r>
      <w:bookmarkStart w:id="0" w:name="_Hlk500854955"/>
      <w:r w:rsidRPr="00E70E3F">
        <w:rPr>
          <w:iCs w:val="0"/>
        </w:rPr>
        <w:t>kainų ir energetikos kontrolės komisijai</w:t>
      </w:r>
      <w:bookmarkEnd w:id="0"/>
      <w:r w:rsidRPr="00E70E3F">
        <w:rPr>
          <w:iCs w:val="0"/>
        </w:rPr>
        <w:t xml:space="preserve"> (toliau – Komisija) pateikė prašymą derinti geriamojo vandens tiekimo ir nuotekų tvarkymo, atsiskaitomųjų apskaitos prietaisų priežiūros ir vartotojų aptarnavimo paslaugų </w:t>
      </w:r>
      <w:r w:rsidR="00126173">
        <w:rPr>
          <w:iCs w:val="0"/>
        </w:rPr>
        <w:t>bazines kainas</w:t>
      </w:r>
      <w:r w:rsidRPr="00E70E3F">
        <w:rPr>
          <w:iCs w:val="0"/>
        </w:rPr>
        <w:t xml:space="preserve">. </w:t>
      </w:r>
      <w:r w:rsidR="00980A6F" w:rsidRPr="00025F0C">
        <w:rPr>
          <w:iCs w:val="0"/>
        </w:rPr>
        <w:t>Bendrovei geriamojo vandens tiekimo ir nuotekų tvarkymo paslaugų kainas Komisija suderino 201</w:t>
      </w:r>
      <w:r w:rsidR="00980A6F">
        <w:rPr>
          <w:iCs w:val="0"/>
        </w:rPr>
        <w:t>1</w:t>
      </w:r>
      <w:r w:rsidR="00980A6F" w:rsidRPr="00025F0C">
        <w:rPr>
          <w:iCs w:val="0"/>
        </w:rPr>
        <w:t xml:space="preserve"> m. </w:t>
      </w:r>
      <w:bookmarkStart w:id="1" w:name="_Hlk500859067"/>
      <w:r w:rsidR="00980A6F" w:rsidRPr="00025F0C">
        <w:rPr>
          <w:iCs w:val="0"/>
        </w:rPr>
        <w:t>b</w:t>
      </w:r>
      <w:r w:rsidR="00980A6F">
        <w:rPr>
          <w:iCs w:val="0"/>
        </w:rPr>
        <w:t>alandžio 26</w:t>
      </w:r>
      <w:r w:rsidR="00980A6F" w:rsidRPr="00025F0C">
        <w:rPr>
          <w:iCs w:val="0"/>
        </w:rPr>
        <w:t xml:space="preserve"> d. </w:t>
      </w:r>
      <w:bookmarkEnd w:id="1"/>
      <w:r w:rsidR="00980A6F" w:rsidRPr="00025F0C">
        <w:rPr>
          <w:iCs w:val="0"/>
        </w:rPr>
        <w:t>nutarimu Nr. O3-</w:t>
      </w:r>
      <w:r w:rsidR="00980A6F">
        <w:rPr>
          <w:iCs w:val="0"/>
        </w:rPr>
        <w:t>95</w:t>
      </w:r>
      <w:r w:rsidR="00980A6F" w:rsidRPr="00025F0C">
        <w:rPr>
          <w:iCs w:val="0"/>
        </w:rPr>
        <w:t xml:space="preserve"> </w:t>
      </w:r>
      <w:bookmarkStart w:id="2" w:name="_Hlk492646317"/>
      <w:r w:rsidR="00980A6F" w:rsidRPr="00025F0C">
        <w:rPr>
          <w:iCs w:val="0"/>
        </w:rPr>
        <w:t>„Dėl uždarosios akcinės bendrovės „</w:t>
      </w:r>
      <w:r w:rsidR="00980A6F">
        <w:rPr>
          <w:iCs w:val="0"/>
        </w:rPr>
        <w:t>Molėtų vanduo</w:t>
      </w:r>
      <w:r w:rsidR="00980A6F" w:rsidRPr="00025F0C">
        <w:rPr>
          <w:iCs w:val="0"/>
          <w:noProof/>
        </w:rPr>
        <w:t>“ geriamojo vandens tiekimo ir nuotekų tvarkymo</w:t>
      </w:r>
      <w:r w:rsidR="00980A6F" w:rsidRPr="00025F0C">
        <w:rPr>
          <w:iCs w:val="0"/>
        </w:rPr>
        <w:t xml:space="preserve"> paslaugų kainų“</w:t>
      </w:r>
      <w:bookmarkEnd w:id="2"/>
      <w:r w:rsidR="00980A6F" w:rsidRPr="00025F0C">
        <w:rPr>
          <w:iCs w:val="0"/>
        </w:rPr>
        <w:t xml:space="preserve">, o </w:t>
      </w:r>
      <w:r w:rsidR="00980A6F">
        <w:rPr>
          <w:iCs w:val="0"/>
        </w:rPr>
        <w:t xml:space="preserve">Molėtų rajono savivaldybės </w:t>
      </w:r>
      <w:r w:rsidR="00126173">
        <w:rPr>
          <w:iCs w:val="0"/>
        </w:rPr>
        <w:t xml:space="preserve">tarybos </w:t>
      </w:r>
      <w:bookmarkStart w:id="3" w:name="_GoBack"/>
      <w:bookmarkEnd w:id="3"/>
      <w:r w:rsidR="00980A6F">
        <w:rPr>
          <w:iCs w:val="0"/>
        </w:rPr>
        <w:t>2011</w:t>
      </w:r>
      <w:r w:rsidR="00980A6F" w:rsidRPr="00025F0C">
        <w:rPr>
          <w:iCs w:val="0"/>
        </w:rPr>
        <w:t xml:space="preserve"> m. </w:t>
      </w:r>
      <w:r w:rsidR="00980A6F">
        <w:rPr>
          <w:iCs w:val="0"/>
        </w:rPr>
        <w:t>birželio 30 d. sprendimu Nr. B1-140 „</w:t>
      </w:r>
      <w:r w:rsidR="00980A6F" w:rsidRPr="00025F0C">
        <w:rPr>
          <w:iCs w:val="0"/>
        </w:rPr>
        <w:t>Dėl uždarosios akcinės bendrovės „</w:t>
      </w:r>
      <w:r w:rsidR="00980A6F">
        <w:rPr>
          <w:iCs w:val="0"/>
        </w:rPr>
        <w:t>Molėtų vanduo</w:t>
      </w:r>
      <w:r w:rsidR="00980A6F" w:rsidRPr="00025F0C">
        <w:rPr>
          <w:iCs w:val="0"/>
          <w:noProof/>
        </w:rPr>
        <w:t>“ geriamojo vandens tiekimo ir nuotekų tvarkymo</w:t>
      </w:r>
      <w:r w:rsidR="00980A6F" w:rsidRPr="00025F0C">
        <w:rPr>
          <w:iCs w:val="0"/>
        </w:rPr>
        <w:t xml:space="preserve"> paslaugų kainų</w:t>
      </w:r>
      <w:r w:rsidR="00980A6F">
        <w:rPr>
          <w:iCs w:val="0"/>
        </w:rPr>
        <w:t xml:space="preserve"> patvirtinimo“ jos buvo patvirtintos ir įsigaliojo nuo 2011 m. rugsėjo 1 d.</w:t>
      </w:r>
    </w:p>
    <w:p w:rsidR="00980A6F" w:rsidRPr="00980A6F" w:rsidRDefault="00980A6F" w:rsidP="003B541B">
      <w:pPr>
        <w:tabs>
          <w:tab w:val="left" w:pos="567"/>
        </w:tabs>
        <w:spacing w:line="360" w:lineRule="auto"/>
        <w:ind w:firstLine="709"/>
        <w:jc w:val="both"/>
        <w:rPr>
          <w:lang w:val="lt-LT" w:eastAsia="lt-LT"/>
        </w:rPr>
      </w:pPr>
      <w:r w:rsidRPr="00980A6F">
        <w:rPr>
          <w:lang w:val="lt-LT" w:eastAsia="lt-LT"/>
        </w:rPr>
        <w:t xml:space="preserve">Pagrindinė kainų keitimo priežastis – 2014 m. lapkričio 1 d. įsigaliojęs Lietuvos Respublikos geriamojo vandens tiekimo ir nuotekų tvarkymo įstatymo Nr. X-764 pakeitimo įstatymas </w:t>
      </w:r>
      <w:r w:rsidRPr="00980A6F">
        <w:rPr>
          <w:lang w:val="lt-LT" w:eastAsia="lt-LT"/>
        </w:rPr>
        <w:br/>
        <w:t xml:space="preserve">Nr. XII-939, kurio 2 straipsnio 5 dalyje yra nustatytas įpareigojimas savivaldybių taryboms, iki </w:t>
      </w:r>
      <w:r w:rsidRPr="00980A6F">
        <w:rPr>
          <w:lang w:val="lt-LT" w:eastAsia="lt-LT"/>
        </w:rPr>
        <w:br/>
        <w:t>2015 m. lapkričio 1 d. nustatyti geriamojo vandens tiekimo ir nuotekų tvarkymo bei paviršinių nuotekų tvarkymo paslaugų bazines kainas.</w:t>
      </w:r>
    </w:p>
    <w:p w:rsidR="00980A6F" w:rsidRPr="00980A6F" w:rsidRDefault="00980A6F" w:rsidP="003B541B">
      <w:pPr>
        <w:pStyle w:val="Default"/>
        <w:spacing w:line="360" w:lineRule="auto"/>
        <w:ind w:firstLine="567"/>
        <w:jc w:val="both"/>
        <w:rPr>
          <w:iCs w:val="0"/>
        </w:rPr>
      </w:pPr>
      <w:r>
        <w:rPr>
          <w:iCs w:val="0"/>
        </w:rPr>
        <w:t xml:space="preserve"> </w:t>
      </w:r>
      <w:r w:rsidR="003B541B">
        <w:rPr>
          <w:iCs w:val="0"/>
        </w:rPr>
        <w:t>Lentelėje pate</w:t>
      </w:r>
      <w:r w:rsidR="00580D82">
        <w:rPr>
          <w:iCs w:val="0"/>
        </w:rPr>
        <w:t>i</w:t>
      </w:r>
      <w:r w:rsidR="003B541B">
        <w:rPr>
          <w:iCs w:val="0"/>
        </w:rPr>
        <w:t>k</w:t>
      </w:r>
      <w:r w:rsidR="00580D82">
        <w:rPr>
          <w:iCs w:val="0"/>
        </w:rPr>
        <w:t>iam</w:t>
      </w:r>
      <w:r w:rsidR="003B541B">
        <w:rPr>
          <w:iCs w:val="0"/>
        </w:rPr>
        <w:t>os e</w:t>
      </w:r>
      <w:r w:rsidRPr="00980A6F">
        <w:t>samos ir Bendrovės pateiktos derinti geriamojo vandens tiekimo, nuotekų tvarkymo, paviršinių nuotekų tvarkymo, atsiskaitomųjų apskaitos prietaisų priežiūros ir vartotojų aptarnavimo paslaugų bei nuotekų valymo už padidėjusią ir savitąją taršą bazinės kainos</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1131"/>
        <w:gridCol w:w="1335"/>
        <w:gridCol w:w="1356"/>
      </w:tblGrid>
      <w:tr w:rsidR="00980A6F" w:rsidRPr="00980A6F" w:rsidTr="00C139BB">
        <w:tc>
          <w:tcPr>
            <w:tcW w:w="2993" w:type="pct"/>
            <w:shd w:val="clear" w:color="auto" w:fill="auto"/>
            <w:vAlign w:val="center"/>
          </w:tcPr>
          <w:p w:rsidR="00980A6F" w:rsidRPr="00980A6F" w:rsidRDefault="00980A6F" w:rsidP="00980A6F">
            <w:pPr>
              <w:jc w:val="center"/>
              <w:rPr>
                <w:position w:val="-6"/>
                <w:sz w:val="20"/>
                <w:lang w:val="lt-LT" w:eastAsia="lt-LT"/>
              </w:rPr>
            </w:pPr>
            <w:r w:rsidRPr="00980A6F">
              <w:rPr>
                <w:position w:val="-6"/>
                <w:sz w:val="20"/>
                <w:lang w:val="lt-LT" w:eastAsia="lt-LT"/>
              </w:rPr>
              <w:t>Rodiklis</w:t>
            </w:r>
          </w:p>
        </w:tc>
        <w:tc>
          <w:tcPr>
            <w:tcW w:w="594" w:type="pct"/>
            <w:shd w:val="clear" w:color="auto" w:fill="auto"/>
            <w:vAlign w:val="center"/>
          </w:tcPr>
          <w:p w:rsidR="00980A6F" w:rsidRPr="00980A6F" w:rsidRDefault="00980A6F" w:rsidP="00980A6F">
            <w:pPr>
              <w:jc w:val="center"/>
              <w:rPr>
                <w:position w:val="-6"/>
                <w:sz w:val="20"/>
                <w:lang w:val="lt-LT" w:eastAsia="lt-LT"/>
              </w:rPr>
            </w:pPr>
            <w:r w:rsidRPr="00980A6F">
              <w:rPr>
                <w:position w:val="-6"/>
                <w:sz w:val="20"/>
                <w:lang w:val="lt-LT" w:eastAsia="lt-LT"/>
              </w:rPr>
              <w:t>Esama kaina</w:t>
            </w:r>
          </w:p>
        </w:tc>
        <w:tc>
          <w:tcPr>
            <w:tcW w:w="701" w:type="pct"/>
            <w:shd w:val="clear" w:color="auto" w:fill="auto"/>
            <w:vAlign w:val="center"/>
          </w:tcPr>
          <w:p w:rsidR="00980A6F" w:rsidRPr="00980A6F" w:rsidRDefault="00980A6F" w:rsidP="00980A6F">
            <w:pPr>
              <w:jc w:val="center"/>
              <w:rPr>
                <w:sz w:val="20"/>
                <w:lang w:val="lt-LT" w:eastAsia="lt-LT"/>
              </w:rPr>
            </w:pPr>
            <w:r w:rsidRPr="00980A6F">
              <w:rPr>
                <w:sz w:val="20"/>
                <w:lang w:val="lt-LT" w:eastAsia="lt-LT"/>
              </w:rPr>
              <w:t>Teikiama derinti</w:t>
            </w:r>
          </w:p>
          <w:p w:rsidR="00980A6F" w:rsidRPr="00980A6F" w:rsidRDefault="00980A6F" w:rsidP="00980A6F">
            <w:pPr>
              <w:jc w:val="center"/>
              <w:rPr>
                <w:position w:val="-6"/>
                <w:sz w:val="20"/>
                <w:lang w:val="lt-LT" w:eastAsia="lt-LT"/>
              </w:rPr>
            </w:pPr>
            <w:r w:rsidRPr="00980A6F">
              <w:rPr>
                <w:sz w:val="20"/>
                <w:lang w:val="lt-LT" w:eastAsia="lt-LT"/>
              </w:rPr>
              <w:t xml:space="preserve"> bazinė kaina</w:t>
            </w:r>
            <w:r w:rsidRPr="00980A6F">
              <w:rPr>
                <w:position w:val="-6"/>
                <w:sz w:val="20"/>
                <w:lang w:val="lt-LT" w:eastAsia="lt-LT"/>
              </w:rPr>
              <w:t xml:space="preserve"> </w:t>
            </w:r>
          </w:p>
        </w:tc>
        <w:tc>
          <w:tcPr>
            <w:tcW w:w="712" w:type="pct"/>
            <w:shd w:val="clear" w:color="auto" w:fill="auto"/>
            <w:vAlign w:val="center"/>
          </w:tcPr>
          <w:p w:rsidR="00980A6F" w:rsidRPr="00980A6F" w:rsidRDefault="00980A6F" w:rsidP="00980A6F">
            <w:pPr>
              <w:jc w:val="center"/>
              <w:rPr>
                <w:position w:val="-6"/>
                <w:sz w:val="20"/>
                <w:lang w:val="lt-LT" w:eastAsia="lt-LT"/>
              </w:rPr>
            </w:pPr>
            <w:r w:rsidRPr="00980A6F">
              <w:rPr>
                <w:position w:val="-6"/>
                <w:sz w:val="20"/>
                <w:lang w:val="lt-LT" w:eastAsia="lt-LT"/>
              </w:rPr>
              <w:t xml:space="preserve">Padidėjimas, </w:t>
            </w:r>
          </w:p>
          <w:p w:rsidR="00980A6F" w:rsidRPr="00980A6F" w:rsidRDefault="00980A6F" w:rsidP="00980A6F">
            <w:pPr>
              <w:jc w:val="center"/>
              <w:rPr>
                <w:position w:val="-6"/>
                <w:sz w:val="20"/>
                <w:lang w:val="lt-LT" w:eastAsia="lt-LT"/>
              </w:rPr>
            </w:pPr>
            <w:r w:rsidRPr="00980A6F">
              <w:rPr>
                <w:position w:val="-6"/>
                <w:sz w:val="20"/>
                <w:lang w:val="lt-LT" w:eastAsia="lt-LT"/>
              </w:rPr>
              <w:t>sumažėjimas, proc.</w:t>
            </w:r>
          </w:p>
        </w:tc>
      </w:tr>
      <w:tr w:rsidR="00980A6F" w:rsidRPr="00980A6F" w:rsidTr="00C139BB">
        <w:trPr>
          <w:trHeight w:val="182"/>
        </w:trPr>
        <w:tc>
          <w:tcPr>
            <w:tcW w:w="2993" w:type="pct"/>
            <w:shd w:val="clear" w:color="auto" w:fill="auto"/>
            <w:vAlign w:val="center"/>
          </w:tcPr>
          <w:p w:rsidR="00980A6F" w:rsidRPr="00980A6F" w:rsidRDefault="00980A6F" w:rsidP="00980A6F">
            <w:pPr>
              <w:jc w:val="center"/>
              <w:rPr>
                <w:b/>
                <w:i/>
                <w:position w:val="-6"/>
                <w:sz w:val="16"/>
                <w:szCs w:val="16"/>
                <w:lang w:val="lt-LT" w:eastAsia="lt-LT"/>
              </w:rPr>
            </w:pPr>
            <w:r w:rsidRPr="00980A6F">
              <w:rPr>
                <w:b/>
                <w:i/>
                <w:position w:val="-6"/>
                <w:sz w:val="16"/>
                <w:szCs w:val="16"/>
                <w:lang w:val="lt-LT" w:eastAsia="lt-LT"/>
              </w:rPr>
              <w:t>1</w:t>
            </w:r>
          </w:p>
        </w:tc>
        <w:tc>
          <w:tcPr>
            <w:tcW w:w="594" w:type="pct"/>
            <w:shd w:val="clear" w:color="auto" w:fill="auto"/>
            <w:vAlign w:val="center"/>
          </w:tcPr>
          <w:p w:rsidR="00980A6F" w:rsidRPr="00980A6F" w:rsidRDefault="00980A6F" w:rsidP="00980A6F">
            <w:pPr>
              <w:jc w:val="center"/>
              <w:rPr>
                <w:b/>
                <w:i/>
                <w:position w:val="-6"/>
                <w:sz w:val="16"/>
                <w:szCs w:val="16"/>
                <w:lang w:val="lt-LT" w:eastAsia="lt-LT"/>
              </w:rPr>
            </w:pPr>
            <w:r w:rsidRPr="00980A6F">
              <w:rPr>
                <w:b/>
                <w:i/>
                <w:position w:val="-6"/>
                <w:sz w:val="16"/>
                <w:szCs w:val="16"/>
                <w:lang w:val="lt-LT" w:eastAsia="lt-LT"/>
              </w:rPr>
              <w:t>2</w:t>
            </w:r>
          </w:p>
        </w:tc>
        <w:tc>
          <w:tcPr>
            <w:tcW w:w="701" w:type="pct"/>
            <w:shd w:val="clear" w:color="auto" w:fill="auto"/>
            <w:vAlign w:val="center"/>
          </w:tcPr>
          <w:p w:rsidR="00980A6F" w:rsidRPr="00980A6F" w:rsidRDefault="00980A6F" w:rsidP="00980A6F">
            <w:pPr>
              <w:jc w:val="center"/>
              <w:rPr>
                <w:b/>
                <w:i/>
                <w:position w:val="-6"/>
                <w:sz w:val="16"/>
                <w:szCs w:val="16"/>
                <w:lang w:val="lt-LT" w:eastAsia="lt-LT"/>
              </w:rPr>
            </w:pPr>
            <w:r w:rsidRPr="00980A6F">
              <w:rPr>
                <w:b/>
                <w:i/>
                <w:position w:val="-6"/>
                <w:sz w:val="16"/>
                <w:szCs w:val="16"/>
                <w:lang w:val="lt-LT" w:eastAsia="lt-LT"/>
              </w:rPr>
              <w:t>3</w:t>
            </w:r>
          </w:p>
        </w:tc>
        <w:tc>
          <w:tcPr>
            <w:tcW w:w="712" w:type="pct"/>
            <w:shd w:val="clear" w:color="auto" w:fill="auto"/>
            <w:vAlign w:val="center"/>
          </w:tcPr>
          <w:p w:rsidR="00980A6F" w:rsidRPr="00980A6F" w:rsidRDefault="00980A6F" w:rsidP="00980A6F">
            <w:pPr>
              <w:jc w:val="center"/>
              <w:rPr>
                <w:b/>
                <w:i/>
                <w:position w:val="-6"/>
                <w:sz w:val="16"/>
                <w:szCs w:val="16"/>
                <w:lang w:val="lt-LT" w:eastAsia="lt-LT"/>
              </w:rPr>
            </w:pPr>
            <w:r w:rsidRPr="00980A6F">
              <w:rPr>
                <w:b/>
                <w:i/>
                <w:position w:val="-6"/>
                <w:sz w:val="16"/>
                <w:szCs w:val="16"/>
                <w:lang w:val="lt-LT" w:eastAsia="lt-LT"/>
              </w:rPr>
              <w:t>4</w:t>
            </w:r>
          </w:p>
        </w:tc>
      </w:tr>
      <w:tr w:rsidR="00980A6F" w:rsidRPr="00980A6F" w:rsidTr="00C139BB">
        <w:trPr>
          <w:trHeight w:val="519"/>
        </w:trPr>
        <w:tc>
          <w:tcPr>
            <w:tcW w:w="5000" w:type="pct"/>
            <w:gridSpan w:val="4"/>
            <w:shd w:val="clear" w:color="auto" w:fill="auto"/>
            <w:vAlign w:val="center"/>
          </w:tcPr>
          <w:p w:rsidR="00980A6F" w:rsidRPr="00980A6F" w:rsidRDefault="00980A6F" w:rsidP="00980A6F">
            <w:pPr>
              <w:jc w:val="center"/>
              <w:rPr>
                <w:b/>
                <w:position w:val="-6"/>
                <w:lang w:val="lt-LT" w:eastAsia="lt-LT"/>
              </w:rPr>
            </w:pPr>
            <w:r w:rsidRPr="00980A6F">
              <w:rPr>
                <w:b/>
                <w:position w:val="-6"/>
                <w:lang w:val="lt-LT" w:eastAsia="lt-LT"/>
              </w:rPr>
              <w:t>Geriamojo vandens tiekimo ir nuotekų tvarkymo paslaugų kainos</w:t>
            </w:r>
          </w:p>
        </w:tc>
      </w:tr>
      <w:tr w:rsidR="00980A6F" w:rsidRPr="00980A6F" w:rsidTr="00C139BB">
        <w:trPr>
          <w:trHeight w:val="284"/>
        </w:trPr>
        <w:tc>
          <w:tcPr>
            <w:tcW w:w="2993" w:type="pct"/>
            <w:shd w:val="clear" w:color="auto" w:fill="auto"/>
            <w:vAlign w:val="center"/>
          </w:tcPr>
          <w:p w:rsidR="00980A6F" w:rsidRPr="00980A6F" w:rsidRDefault="00980A6F" w:rsidP="00980A6F">
            <w:pPr>
              <w:rPr>
                <w:position w:val="-6"/>
                <w:lang w:val="lt-LT" w:eastAsia="lt-LT"/>
              </w:rPr>
            </w:pPr>
            <w:r w:rsidRPr="00980A6F">
              <w:rPr>
                <w:b/>
                <w:position w:val="-6"/>
                <w:lang w:val="lt-LT" w:eastAsia="lt-LT"/>
              </w:rPr>
              <w:t>Vartotojams, kuriems</w:t>
            </w:r>
            <w:r w:rsidRPr="00980A6F">
              <w:rPr>
                <w:position w:val="-6"/>
                <w:lang w:val="lt-LT" w:eastAsia="lt-LT"/>
              </w:rPr>
              <w:t xml:space="preserve"> </w:t>
            </w:r>
            <w:r w:rsidRPr="00980A6F">
              <w:rPr>
                <w:b/>
                <w:position w:val="-6"/>
                <w:lang w:val="lt-LT" w:eastAsia="lt-LT"/>
              </w:rPr>
              <w:t>vanduo apskaitomas bute</w:t>
            </w:r>
            <w:r w:rsidRPr="00980A6F">
              <w:rPr>
                <w:position w:val="-6"/>
                <w:lang w:val="lt-LT" w:eastAsia="lt-LT"/>
              </w:rPr>
              <w:t xml:space="preserve">, </w:t>
            </w:r>
            <w:proofErr w:type="spellStart"/>
            <w:r w:rsidRPr="00980A6F">
              <w:rPr>
                <w:position w:val="-6"/>
                <w:lang w:val="lt-LT" w:eastAsia="lt-LT"/>
              </w:rPr>
              <w:t>Eur</w:t>
            </w:r>
            <w:proofErr w:type="spellEnd"/>
            <w:r w:rsidRPr="00980A6F">
              <w:rPr>
                <w:position w:val="-6"/>
                <w:lang w:val="lt-LT" w:eastAsia="lt-LT"/>
              </w:rPr>
              <w:t>/m</w:t>
            </w:r>
            <w:r w:rsidRPr="00980A6F">
              <w:rPr>
                <w:position w:val="-6"/>
                <w:vertAlign w:val="superscript"/>
                <w:lang w:val="lt-LT" w:eastAsia="lt-LT"/>
              </w:rPr>
              <w:t>3</w:t>
            </w:r>
            <w:r w:rsidRPr="00980A6F">
              <w:rPr>
                <w:position w:val="-6"/>
                <w:lang w:val="lt-LT" w:eastAsia="lt-LT"/>
              </w:rPr>
              <w:t xml:space="preserve"> </w:t>
            </w:r>
          </w:p>
        </w:tc>
        <w:tc>
          <w:tcPr>
            <w:tcW w:w="594" w:type="pct"/>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2,20</w:t>
            </w:r>
          </w:p>
        </w:tc>
        <w:tc>
          <w:tcPr>
            <w:tcW w:w="701" w:type="pct"/>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3,42</w:t>
            </w:r>
          </w:p>
        </w:tc>
        <w:tc>
          <w:tcPr>
            <w:tcW w:w="712" w:type="pct"/>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55,5</w:t>
            </w:r>
          </w:p>
        </w:tc>
      </w:tr>
      <w:tr w:rsidR="00980A6F" w:rsidRPr="00980A6F" w:rsidTr="00C139BB">
        <w:tc>
          <w:tcPr>
            <w:tcW w:w="2993" w:type="pct"/>
            <w:shd w:val="clear" w:color="auto" w:fill="auto"/>
          </w:tcPr>
          <w:p w:rsidR="00980A6F" w:rsidRPr="00980A6F" w:rsidRDefault="00980A6F" w:rsidP="00980A6F">
            <w:pPr>
              <w:jc w:val="both"/>
              <w:rPr>
                <w:position w:val="-6"/>
                <w:lang w:val="lt-LT" w:eastAsia="lt-LT"/>
              </w:rPr>
            </w:pPr>
            <w:r w:rsidRPr="00980A6F">
              <w:rPr>
                <w:position w:val="-6"/>
                <w:lang w:val="lt-LT" w:eastAsia="lt-LT"/>
              </w:rPr>
              <w:t>Geriamojo vandens tiekimo</w:t>
            </w:r>
          </w:p>
        </w:tc>
        <w:tc>
          <w:tcPr>
            <w:tcW w:w="594" w:type="pct"/>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0,85</w:t>
            </w:r>
          </w:p>
        </w:tc>
        <w:tc>
          <w:tcPr>
            <w:tcW w:w="701" w:type="pct"/>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1,18</w:t>
            </w:r>
          </w:p>
        </w:tc>
        <w:tc>
          <w:tcPr>
            <w:tcW w:w="712" w:type="pct"/>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38,8</w:t>
            </w:r>
          </w:p>
        </w:tc>
      </w:tr>
      <w:tr w:rsidR="00980A6F" w:rsidRPr="00980A6F" w:rsidTr="00C139BB">
        <w:tc>
          <w:tcPr>
            <w:tcW w:w="2993" w:type="pct"/>
            <w:shd w:val="clear" w:color="auto" w:fill="auto"/>
          </w:tcPr>
          <w:p w:rsidR="00980A6F" w:rsidRPr="00980A6F" w:rsidRDefault="00980A6F" w:rsidP="00980A6F">
            <w:pPr>
              <w:jc w:val="both"/>
              <w:rPr>
                <w:position w:val="-6"/>
                <w:lang w:val="lt-LT" w:eastAsia="lt-LT"/>
              </w:rPr>
            </w:pPr>
            <w:r w:rsidRPr="00980A6F">
              <w:rPr>
                <w:position w:val="-6"/>
                <w:lang w:val="lt-LT" w:eastAsia="lt-LT"/>
              </w:rPr>
              <w:t>Nuotekų tvarkymo:</w:t>
            </w:r>
          </w:p>
        </w:tc>
        <w:tc>
          <w:tcPr>
            <w:tcW w:w="594" w:type="pct"/>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1,35</w:t>
            </w:r>
          </w:p>
        </w:tc>
        <w:tc>
          <w:tcPr>
            <w:tcW w:w="701" w:type="pct"/>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2,24</w:t>
            </w:r>
          </w:p>
        </w:tc>
        <w:tc>
          <w:tcPr>
            <w:tcW w:w="712" w:type="pct"/>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65,9</w:t>
            </w:r>
          </w:p>
        </w:tc>
      </w:tr>
      <w:tr w:rsidR="00980A6F" w:rsidRPr="00980A6F" w:rsidTr="00C139BB">
        <w:tc>
          <w:tcPr>
            <w:tcW w:w="2993" w:type="pct"/>
            <w:shd w:val="clear" w:color="auto" w:fill="auto"/>
          </w:tcPr>
          <w:p w:rsidR="00980A6F" w:rsidRPr="00980A6F" w:rsidRDefault="00980A6F" w:rsidP="00980A6F">
            <w:pPr>
              <w:jc w:val="both"/>
              <w:rPr>
                <w:position w:val="-6"/>
                <w:lang w:val="lt-LT" w:eastAsia="lt-LT"/>
              </w:rPr>
            </w:pPr>
            <w:r w:rsidRPr="00980A6F">
              <w:rPr>
                <w:position w:val="-6"/>
                <w:lang w:val="lt-LT" w:eastAsia="lt-LT"/>
              </w:rPr>
              <w:t>nuotekų surinkimo</w:t>
            </w:r>
          </w:p>
        </w:tc>
        <w:tc>
          <w:tcPr>
            <w:tcW w:w="594" w:type="pct"/>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0,48</w:t>
            </w:r>
          </w:p>
        </w:tc>
        <w:tc>
          <w:tcPr>
            <w:tcW w:w="701" w:type="pct"/>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0,72</w:t>
            </w:r>
          </w:p>
        </w:tc>
        <w:tc>
          <w:tcPr>
            <w:tcW w:w="712" w:type="pct"/>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50,0</w:t>
            </w:r>
          </w:p>
        </w:tc>
      </w:tr>
      <w:tr w:rsidR="00980A6F" w:rsidRPr="00980A6F" w:rsidTr="00C139BB">
        <w:trPr>
          <w:trHeight w:val="255"/>
        </w:trPr>
        <w:tc>
          <w:tcPr>
            <w:tcW w:w="2993" w:type="pct"/>
            <w:tcBorders>
              <w:bottom w:val="single" w:sz="4" w:space="0" w:color="auto"/>
            </w:tcBorders>
            <w:shd w:val="clear" w:color="auto" w:fill="auto"/>
          </w:tcPr>
          <w:p w:rsidR="00980A6F" w:rsidRPr="00980A6F" w:rsidRDefault="00980A6F" w:rsidP="00980A6F">
            <w:pPr>
              <w:jc w:val="both"/>
              <w:rPr>
                <w:position w:val="-6"/>
                <w:lang w:val="lt-LT" w:eastAsia="lt-LT"/>
              </w:rPr>
            </w:pPr>
            <w:r w:rsidRPr="00980A6F">
              <w:rPr>
                <w:position w:val="-6"/>
                <w:lang w:val="lt-LT" w:eastAsia="lt-LT"/>
              </w:rPr>
              <w:t>nuotekų valymo</w:t>
            </w:r>
          </w:p>
        </w:tc>
        <w:tc>
          <w:tcPr>
            <w:tcW w:w="594" w:type="pct"/>
            <w:tcBorders>
              <w:bottom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0,87</w:t>
            </w:r>
          </w:p>
        </w:tc>
        <w:tc>
          <w:tcPr>
            <w:tcW w:w="701" w:type="pct"/>
            <w:tcBorders>
              <w:bottom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1,25</w:t>
            </w:r>
          </w:p>
        </w:tc>
        <w:tc>
          <w:tcPr>
            <w:tcW w:w="712" w:type="pct"/>
            <w:tcBorders>
              <w:bottom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43,7</w:t>
            </w:r>
          </w:p>
        </w:tc>
      </w:tr>
      <w:tr w:rsidR="00980A6F" w:rsidRPr="00980A6F" w:rsidTr="00C139BB">
        <w:trPr>
          <w:trHeight w:val="135"/>
        </w:trPr>
        <w:tc>
          <w:tcPr>
            <w:tcW w:w="2993" w:type="pct"/>
            <w:tcBorders>
              <w:bottom w:val="single" w:sz="4" w:space="0" w:color="auto"/>
            </w:tcBorders>
            <w:shd w:val="clear" w:color="auto" w:fill="auto"/>
            <w:vAlign w:val="center"/>
          </w:tcPr>
          <w:p w:rsidR="00980A6F" w:rsidRPr="00980A6F" w:rsidRDefault="00980A6F" w:rsidP="00980A6F">
            <w:pPr>
              <w:jc w:val="both"/>
              <w:rPr>
                <w:position w:val="-6"/>
                <w:lang w:val="lt-LT" w:eastAsia="lt-LT"/>
              </w:rPr>
            </w:pPr>
            <w:r w:rsidRPr="00980A6F">
              <w:rPr>
                <w:position w:val="-6"/>
                <w:lang w:val="lt-LT" w:eastAsia="lt-LT"/>
              </w:rPr>
              <w:t>nuotekų dumblo tvarkymo</w:t>
            </w:r>
          </w:p>
        </w:tc>
        <w:tc>
          <w:tcPr>
            <w:tcW w:w="594" w:type="pct"/>
            <w:tcBorders>
              <w:bottom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w:t>
            </w:r>
          </w:p>
        </w:tc>
        <w:tc>
          <w:tcPr>
            <w:tcW w:w="701" w:type="pct"/>
            <w:tcBorders>
              <w:bottom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0,27</w:t>
            </w:r>
          </w:p>
        </w:tc>
        <w:tc>
          <w:tcPr>
            <w:tcW w:w="712" w:type="pct"/>
            <w:tcBorders>
              <w:bottom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w:t>
            </w:r>
          </w:p>
        </w:tc>
      </w:tr>
      <w:tr w:rsidR="00980A6F" w:rsidRPr="00980A6F" w:rsidTr="00C139BB">
        <w:trPr>
          <w:trHeight w:val="278"/>
        </w:trPr>
        <w:tc>
          <w:tcPr>
            <w:tcW w:w="2993"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980A6F">
            <w:pPr>
              <w:rPr>
                <w:position w:val="-6"/>
                <w:lang w:val="lt-LT" w:eastAsia="lt-LT"/>
              </w:rPr>
            </w:pPr>
            <w:r w:rsidRPr="00980A6F">
              <w:rPr>
                <w:b/>
                <w:position w:val="-6"/>
                <w:lang w:val="lt-LT" w:eastAsia="lt-LT"/>
              </w:rPr>
              <w:t>Vartotojams, kuriems</w:t>
            </w:r>
            <w:r w:rsidRPr="00980A6F">
              <w:rPr>
                <w:position w:val="-6"/>
                <w:lang w:val="lt-LT" w:eastAsia="lt-LT"/>
              </w:rPr>
              <w:t xml:space="preserve"> </w:t>
            </w:r>
            <w:r w:rsidRPr="00980A6F">
              <w:rPr>
                <w:b/>
                <w:position w:val="-6"/>
                <w:lang w:val="lt-LT" w:eastAsia="lt-LT"/>
              </w:rPr>
              <w:t>vanduo apskaitomas individualių gyvenamųjų namų ar kitų patalpų, skirtų asmeninėms, šeimos ar namų reikmėms, įvaduose</w:t>
            </w:r>
            <w:r w:rsidRPr="00980A6F">
              <w:rPr>
                <w:position w:val="-6"/>
                <w:lang w:val="lt-LT" w:eastAsia="lt-LT"/>
              </w:rPr>
              <w:t xml:space="preserve">, </w:t>
            </w:r>
            <w:proofErr w:type="spellStart"/>
            <w:r w:rsidRPr="00980A6F">
              <w:rPr>
                <w:position w:val="-6"/>
                <w:lang w:val="lt-LT" w:eastAsia="lt-LT"/>
              </w:rPr>
              <w:t>Eur</w:t>
            </w:r>
            <w:proofErr w:type="spellEnd"/>
            <w:r w:rsidRPr="00980A6F">
              <w:rPr>
                <w:position w:val="-6"/>
                <w:lang w:val="lt-LT" w:eastAsia="lt-LT"/>
              </w:rPr>
              <w:t>/m</w:t>
            </w:r>
            <w:r w:rsidRPr="00980A6F">
              <w:rPr>
                <w:position w:val="-6"/>
                <w:vertAlign w:val="superscript"/>
                <w:lang w:val="lt-LT" w:eastAsia="lt-LT"/>
              </w:rPr>
              <w:t>3</w:t>
            </w:r>
            <w:r w:rsidRPr="00980A6F">
              <w:rPr>
                <w:position w:val="-6"/>
                <w:lang w:val="lt-LT" w:eastAsia="lt-LT"/>
              </w:rPr>
              <w:t>:</w:t>
            </w:r>
          </w:p>
        </w:tc>
        <w:tc>
          <w:tcPr>
            <w:tcW w:w="594"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2,20</w:t>
            </w:r>
          </w:p>
        </w:tc>
        <w:tc>
          <w:tcPr>
            <w:tcW w:w="701"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3,07</w:t>
            </w:r>
          </w:p>
        </w:tc>
        <w:tc>
          <w:tcPr>
            <w:tcW w:w="712"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39,5</w:t>
            </w:r>
          </w:p>
        </w:tc>
      </w:tr>
      <w:tr w:rsidR="00980A6F" w:rsidRPr="00980A6F" w:rsidTr="00C139BB">
        <w:trPr>
          <w:trHeight w:val="244"/>
        </w:trPr>
        <w:tc>
          <w:tcPr>
            <w:tcW w:w="2993"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980A6F">
            <w:pPr>
              <w:jc w:val="both"/>
              <w:rPr>
                <w:position w:val="-6"/>
                <w:lang w:val="lt-LT" w:eastAsia="lt-LT"/>
              </w:rPr>
            </w:pPr>
            <w:r w:rsidRPr="00980A6F">
              <w:rPr>
                <w:position w:val="-6"/>
                <w:lang w:val="lt-LT" w:eastAsia="lt-LT"/>
              </w:rPr>
              <w:t>Geriamojo vandens tiekimo</w:t>
            </w:r>
          </w:p>
        </w:tc>
        <w:tc>
          <w:tcPr>
            <w:tcW w:w="594"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0,85</w:t>
            </w:r>
          </w:p>
        </w:tc>
        <w:tc>
          <w:tcPr>
            <w:tcW w:w="701"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1,07</w:t>
            </w:r>
          </w:p>
        </w:tc>
        <w:tc>
          <w:tcPr>
            <w:tcW w:w="712"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25,9</w:t>
            </w:r>
          </w:p>
        </w:tc>
      </w:tr>
      <w:tr w:rsidR="00980A6F" w:rsidRPr="00980A6F" w:rsidTr="00C139BB">
        <w:trPr>
          <w:trHeight w:val="211"/>
        </w:trPr>
        <w:tc>
          <w:tcPr>
            <w:tcW w:w="2993"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both"/>
              <w:rPr>
                <w:position w:val="-6"/>
                <w:lang w:val="lt-LT" w:eastAsia="lt-LT"/>
              </w:rPr>
            </w:pPr>
            <w:r w:rsidRPr="00980A6F">
              <w:rPr>
                <w:position w:val="-6"/>
                <w:lang w:val="lt-LT" w:eastAsia="lt-LT"/>
              </w:rPr>
              <w:t>Nuotekų tvarkymo:</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1,35</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2,00</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48,1</w:t>
            </w:r>
          </w:p>
        </w:tc>
      </w:tr>
      <w:tr w:rsidR="00980A6F" w:rsidRPr="00980A6F" w:rsidTr="00C139BB">
        <w:tc>
          <w:tcPr>
            <w:tcW w:w="2993"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both"/>
              <w:rPr>
                <w:position w:val="-6"/>
                <w:lang w:val="lt-LT" w:eastAsia="lt-LT"/>
              </w:rPr>
            </w:pPr>
            <w:r w:rsidRPr="00980A6F">
              <w:rPr>
                <w:position w:val="-6"/>
                <w:lang w:val="lt-LT" w:eastAsia="lt-LT"/>
              </w:rPr>
              <w:t>nuotekų surinkimo</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0,48</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0,64</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33,3</w:t>
            </w:r>
          </w:p>
        </w:tc>
      </w:tr>
      <w:tr w:rsidR="00980A6F" w:rsidRPr="00980A6F" w:rsidTr="00C139BB">
        <w:trPr>
          <w:trHeight w:val="164"/>
        </w:trPr>
        <w:tc>
          <w:tcPr>
            <w:tcW w:w="2993"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both"/>
              <w:rPr>
                <w:position w:val="-6"/>
                <w:lang w:val="lt-LT" w:eastAsia="lt-LT"/>
              </w:rPr>
            </w:pPr>
            <w:r w:rsidRPr="00980A6F">
              <w:rPr>
                <w:position w:val="-6"/>
                <w:lang w:val="lt-LT" w:eastAsia="lt-LT"/>
              </w:rPr>
              <w:t>nuotekų valymo</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0,87</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1,12</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28,7</w:t>
            </w:r>
          </w:p>
        </w:tc>
      </w:tr>
      <w:tr w:rsidR="00980A6F" w:rsidRPr="00980A6F" w:rsidTr="00C139BB">
        <w:trPr>
          <w:trHeight w:val="282"/>
        </w:trPr>
        <w:tc>
          <w:tcPr>
            <w:tcW w:w="2993"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both"/>
              <w:rPr>
                <w:position w:val="-6"/>
                <w:lang w:val="lt-LT" w:eastAsia="lt-LT"/>
              </w:rPr>
            </w:pPr>
            <w:r w:rsidRPr="00980A6F">
              <w:rPr>
                <w:position w:val="-6"/>
                <w:lang w:val="lt-LT" w:eastAsia="lt-LT"/>
              </w:rPr>
              <w:t>nuotekų dumblo tvarkymo</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0,24</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w:t>
            </w:r>
          </w:p>
        </w:tc>
      </w:tr>
      <w:tr w:rsidR="00980A6F" w:rsidRPr="00980A6F" w:rsidTr="00C139BB">
        <w:trPr>
          <w:trHeight w:val="501"/>
        </w:trPr>
        <w:tc>
          <w:tcPr>
            <w:tcW w:w="2993"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rPr>
                <w:position w:val="-6"/>
                <w:lang w:val="lt-LT" w:eastAsia="lt-LT"/>
              </w:rPr>
            </w:pPr>
            <w:r w:rsidRPr="00980A6F">
              <w:rPr>
                <w:b/>
                <w:position w:val="-6"/>
                <w:lang w:val="lt-LT" w:eastAsia="lt-LT"/>
              </w:rPr>
              <w:lastRenderedPageBreak/>
              <w:t>Abonentams, perkantiems geriamąjį vandenį skirtą patalpoms šildyti ir tiekiamą vartotojams ir abonentams bei geriamąjį vandenį, skirtą karštam vandeniui ruošti ir tiekiamą vartotojams ir vartotojų grupei, atsiskaitančiai daugiabučio namo įvade,</w:t>
            </w:r>
            <w:r w:rsidRPr="00980A6F">
              <w:rPr>
                <w:position w:val="-6"/>
                <w:lang w:val="lt-LT" w:eastAsia="lt-LT"/>
              </w:rPr>
              <w:t xml:space="preserve"> </w:t>
            </w:r>
            <w:proofErr w:type="spellStart"/>
            <w:r w:rsidRPr="00980A6F">
              <w:rPr>
                <w:position w:val="-6"/>
                <w:lang w:val="lt-LT" w:eastAsia="lt-LT"/>
              </w:rPr>
              <w:t>Eur</w:t>
            </w:r>
            <w:proofErr w:type="spellEnd"/>
            <w:r w:rsidRPr="00980A6F">
              <w:rPr>
                <w:position w:val="-6"/>
                <w:lang w:val="lt-LT" w:eastAsia="lt-LT"/>
              </w:rPr>
              <w:t>/m</w:t>
            </w:r>
            <w:r w:rsidRPr="00980A6F">
              <w:rPr>
                <w:position w:val="-6"/>
                <w:vertAlign w:val="superscript"/>
                <w:lang w:val="lt-LT" w:eastAsia="lt-LT"/>
              </w:rPr>
              <w:t>3</w:t>
            </w:r>
            <w:r w:rsidRPr="00980A6F">
              <w:rPr>
                <w:position w:val="-6"/>
                <w:lang w:val="lt-LT" w:eastAsia="lt-LT"/>
              </w:rPr>
              <w:t>:</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2,17</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3,06</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41,0</w:t>
            </w:r>
          </w:p>
        </w:tc>
      </w:tr>
      <w:tr w:rsidR="00980A6F" w:rsidRPr="00980A6F" w:rsidTr="00C139BB">
        <w:tc>
          <w:tcPr>
            <w:tcW w:w="2993"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both"/>
              <w:rPr>
                <w:position w:val="-6"/>
                <w:lang w:val="lt-LT" w:eastAsia="lt-LT"/>
              </w:rPr>
            </w:pPr>
            <w:r w:rsidRPr="00980A6F">
              <w:rPr>
                <w:position w:val="-6"/>
                <w:lang w:val="lt-LT" w:eastAsia="lt-LT"/>
              </w:rPr>
              <w:t>Geriamojo vandens tiekimo</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0,84</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1,06</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26,2</w:t>
            </w:r>
          </w:p>
        </w:tc>
      </w:tr>
      <w:tr w:rsidR="00980A6F" w:rsidRPr="00980A6F" w:rsidTr="00C139BB">
        <w:tc>
          <w:tcPr>
            <w:tcW w:w="2993"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both"/>
              <w:rPr>
                <w:position w:val="-6"/>
                <w:lang w:val="lt-LT" w:eastAsia="lt-LT"/>
              </w:rPr>
            </w:pPr>
            <w:r w:rsidRPr="00980A6F">
              <w:rPr>
                <w:position w:val="-6"/>
                <w:lang w:val="lt-LT" w:eastAsia="lt-LT"/>
              </w:rPr>
              <w:t>Nuotekų tvarkymo:</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1,33</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2,00</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50,4</w:t>
            </w:r>
          </w:p>
        </w:tc>
      </w:tr>
      <w:tr w:rsidR="00980A6F" w:rsidRPr="00980A6F" w:rsidTr="00C139BB">
        <w:tc>
          <w:tcPr>
            <w:tcW w:w="2993"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both"/>
              <w:rPr>
                <w:position w:val="-6"/>
                <w:lang w:val="lt-LT" w:eastAsia="lt-LT"/>
              </w:rPr>
            </w:pPr>
            <w:r w:rsidRPr="00980A6F">
              <w:rPr>
                <w:position w:val="-6"/>
                <w:lang w:val="lt-LT" w:eastAsia="lt-LT"/>
              </w:rPr>
              <w:t>nuotekų surinkimo</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0,47</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0,64</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36,2</w:t>
            </w:r>
          </w:p>
        </w:tc>
      </w:tr>
      <w:tr w:rsidR="00980A6F" w:rsidRPr="00980A6F" w:rsidTr="00C139BB">
        <w:tc>
          <w:tcPr>
            <w:tcW w:w="2993"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both"/>
              <w:rPr>
                <w:position w:val="-6"/>
                <w:lang w:val="lt-LT" w:eastAsia="lt-LT"/>
              </w:rPr>
            </w:pPr>
            <w:r w:rsidRPr="00980A6F">
              <w:rPr>
                <w:position w:val="-6"/>
                <w:lang w:val="lt-LT" w:eastAsia="lt-LT"/>
              </w:rPr>
              <w:t>nuotekų valymo</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0,86</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1,12</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30,2</w:t>
            </w:r>
          </w:p>
        </w:tc>
      </w:tr>
      <w:tr w:rsidR="00980A6F" w:rsidRPr="00980A6F" w:rsidTr="00C139BB">
        <w:tc>
          <w:tcPr>
            <w:tcW w:w="2993"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980A6F">
            <w:pPr>
              <w:jc w:val="both"/>
              <w:rPr>
                <w:position w:val="-6"/>
                <w:lang w:val="lt-LT" w:eastAsia="lt-LT"/>
              </w:rPr>
            </w:pPr>
            <w:r w:rsidRPr="00980A6F">
              <w:rPr>
                <w:position w:val="-6"/>
                <w:lang w:val="lt-LT" w:eastAsia="lt-LT"/>
              </w:rPr>
              <w:t>nuotekų dumblo tvarkymo</w:t>
            </w:r>
          </w:p>
        </w:tc>
        <w:tc>
          <w:tcPr>
            <w:tcW w:w="594" w:type="pct"/>
            <w:tcBorders>
              <w:top w:val="single" w:sz="4" w:space="0" w:color="auto"/>
              <w:left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w:t>
            </w:r>
          </w:p>
        </w:tc>
        <w:tc>
          <w:tcPr>
            <w:tcW w:w="701" w:type="pct"/>
            <w:tcBorders>
              <w:top w:val="single" w:sz="4" w:space="0" w:color="auto"/>
              <w:left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0,24</w:t>
            </w:r>
          </w:p>
        </w:tc>
        <w:tc>
          <w:tcPr>
            <w:tcW w:w="712" w:type="pct"/>
            <w:tcBorders>
              <w:top w:val="single" w:sz="4" w:space="0" w:color="auto"/>
              <w:left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w:t>
            </w:r>
          </w:p>
        </w:tc>
      </w:tr>
      <w:tr w:rsidR="00980A6F" w:rsidRPr="00980A6F" w:rsidTr="00C139BB">
        <w:trPr>
          <w:trHeight w:val="1008"/>
        </w:trPr>
        <w:tc>
          <w:tcPr>
            <w:tcW w:w="2993"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6A0028">
            <w:pPr>
              <w:rPr>
                <w:position w:val="-6"/>
                <w:lang w:val="lt-LT" w:eastAsia="lt-LT"/>
              </w:rPr>
            </w:pPr>
            <w:r w:rsidRPr="00980A6F">
              <w:rPr>
                <w:b/>
                <w:position w:val="-6"/>
                <w:lang w:val="lt-LT" w:eastAsia="lt-LT"/>
              </w:rPr>
              <w:t>Abonentams, perkantiems geriamojo vandens tiekimo ir nuotekų tvarkymo paslaugas buities ir komerciniams poreikiams bei perkantiems geriamąjį vandenį, skirtą karštam vandeniui ruošti ir tiekiamą abonentams,</w:t>
            </w:r>
            <w:r w:rsidRPr="00980A6F">
              <w:rPr>
                <w:position w:val="-6"/>
                <w:lang w:val="lt-LT" w:eastAsia="lt-LT"/>
              </w:rPr>
              <w:t xml:space="preserve"> </w:t>
            </w:r>
            <w:proofErr w:type="spellStart"/>
            <w:r w:rsidRPr="00980A6F">
              <w:rPr>
                <w:position w:val="-6"/>
                <w:lang w:val="lt-LT" w:eastAsia="lt-LT"/>
              </w:rPr>
              <w:t>Eur</w:t>
            </w:r>
            <w:proofErr w:type="spellEnd"/>
            <w:r w:rsidRPr="00980A6F">
              <w:rPr>
                <w:position w:val="-6"/>
                <w:lang w:val="lt-LT" w:eastAsia="lt-LT"/>
              </w:rPr>
              <w:t>/m</w:t>
            </w:r>
            <w:r w:rsidRPr="00980A6F">
              <w:rPr>
                <w:position w:val="-6"/>
                <w:vertAlign w:val="superscript"/>
                <w:lang w:val="lt-LT" w:eastAsia="lt-LT"/>
              </w:rPr>
              <w:t>3</w:t>
            </w:r>
            <w:r w:rsidRPr="00980A6F">
              <w:rPr>
                <w:position w:val="-6"/>
                <w:lang w:val="lt-LT" w:eastAsia="lt-LT"/>
              </w:rPr>
              <w:t>:</w:t>
            </w:r>
          </w:p>
        </w:tc>
        <w:tc>
          <w:tcPr>
            <w:tcW w:w="594"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2,17</w:t>
            </w:r>
          </w:p>
        </w:tc>
        <w:tc>
          <w:tcPr>
            <w:tcW w:w="701"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3,21</w:t>
            </w:r>
          </w:p>
        </w:tc>
        <w:tc>
          <w:tcPr>
            <w:tcW w:w="712"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47,9</w:t>
            </w:r>
          </w:p>
        </w:tc>
      </w:tr>
      <w:tr w:rsidR="00980A6F" w:rsidRPr="00980A6F" w:rsidTr="00C139BB">
        <w:tc>
          <w:tcPr>
            <w:tcW w:w="2993" w:type="pct"/>
            <w:tcBorders>
              <w:top w:val="single" w:sz="4" w:space="0" w:color="auto"/>
              <w:left w:val="single" w:sz="4" w:space="0" w:color="auto"/>
              <w:right w:val="single" w:sz="4" w:space="0" w:color="auto"/>
            </w:tcBorders>
            <w:shd w:val="clear" w:color="auto" w:fill="auto"/>
          </w:tcPr>
          <w:p w:rsidR="00980A6F" w:rsidRPr="00980A6F" w:rsidRDefault="00980A6F" w:rsidP="00980A6F">
            <w:pPr>
              <w:jc w:val="both"/>
              <w:rPr>
                <w:position w:val="-6"/>
                <w:lang w:val="lt-LT" w:eastAsia="lt-LT"/>
              </w:rPr>
            </w:pPr>
            <w:r w:rsidRPr="00980A6F">
              <w:rPr>
                <w:position w:val="-6"/>
                <w:lang w:val="lt-LT" w:eastAsia="lt-LT"/>
              </w:rPr>
              <w:t>Geriamojo vandens tiekimo</w:t>
            </w:r>
          </w:p>
        </w:tc>
        <w:tc>
          <w:tcPr>
            <w:tcW w:w="594" w:type="pct"/>
            <w:tcBorders>
              <w:top w:val="single" w:sz="4" w:space="0" w:color="auto"/>
              <w:left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0,84</w:t>
            </w:r>
          </w:p>
        </w:tc>
        <w:tc>
          <w:tcPr>
            <w:tcW w:w="701" w:type="pct"/>
            <w:tcBorders>
              <w:top w:val="single" w:sz="4" w:space="0" w:color="auto"/>
              <w:left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1,21</w:t>
            </w:r>
          </w:p>
        </w:tc>
        <w:tc>
          <w:tcPr>
            <w:tcW w:w="712" w:type="pct"/>
            <w:tcBorders>
              <w:top w:val="single" w:sz="4" w:space="0" w:color="auto"/>
              <w:left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44,0</w:t>
            </w:r>
          </w:p>
        </w:tc>
      </w:tr>
      <w:tr w:rsidR="00980A6F" w:rsidRPr="00980A6F" w:rsidTr="00C139BB">
        <w:tc>
          <w:tcPr>
            <w:tcW w:w="2993"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both"/>
              <w:rPr>
                <w:position w:val="-6"/>
                <w:lang w:val="lt-LT" w:eastAsia="lt-LT"/>
              </w:rPr>
            </w:pPr>
            <w:r w:rsidRPr="00980A6F">
              <w:rPr>
                <w:position w:val="-6"/>
                <w:lang w:val="lt-LT" w:eastAsia="lt-LT"/>
              </w:rPr>
              <w:t>Nuotekų tvarkymo:</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1,33</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2,00</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50,4</w:t>
            </w:r>
          </w:p>
        </w:tc>
      </w:tr>
      <w:tr w:rsidR="00980A6F" w:rsidRPr="00980A6F" w:rsidTr="00C139BB">
        <w:tc>
          <w:tcPr>
            <w:tcW w:w="2993" w:type="pct"/>
            <w:tcBorders>
              <w:top w:val="single" w:sz="4" w:space="0" w:color="auto"/>
              <w:left w:val="single" w:sz="4" w:space="0" w:color="auto"/>
              <w:right w:val="single" w:sz="4" w:space="0" w:color="auto"/>
            </w:tcBorders>
            <w:shd w:val="clear" w:color="auto" w:fill="auto"/>
          </w:tcPr>
          <w:p w:rsidR="00980A6F" w:rsidRPr="00980A6F" w:rsidRDefault="00980A6F" w:rsidP="00980A6F">
            <w:pPr>
              <w:jc w:val="both"/>
              <w:rPr>
                <w:position w:val="-6"/>
                <w:lang w:val="lt-LT" w:eastAsia="lt-LT"/>
              </w:rPr>
            </w:pPr>
            <w:r w:rsidRPr="00980A6F">
              <w:rPr>
                <w:position w:val="-6"/>
                <w:lang w:val="lt-LT" w:eastAsia="lt-LT"/>
              </w:rPr>
              <w:t>nuotekų surinkimo</w:t>
            </w:r>
          </w:p>
        </w:tc>
        <w:tc>
          <w:tcPr>
            <w:tcW w:w="594" w:type="pct"/>
            <w:tcBorders>
              <w:top w:val="single" w:sz="4" w:space="0" w:color="auto"/>
              <w:left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0,47</w:t>
            </w:r>
          </w:p>
        </w:tc>
        <w:tc>
          <w:tcPr>
            <w:tcW w:w="701" w:type="pct"/>
            <w:tcBorders>
              <w:top w:val="single" w:sz="4" w:space="0" w:color="auto"/>
              <w:left w:val="single" w:sz="4" w:space="0" w:color="auto"/>
              <w:right w:val="single" w:sz="4" w:space="0" w:color="auto"/>
            </w:tcBorders>
            <w:shd w:val="clear" w:color="auto" w:fill="auto"/>
          </w:tcPr>
          <w:p w:rsidR="00980A6F" w:rsidRPr="00980A6F" w:rsidRDefault="00980A6F" w:rsidP="00980A6F">
            <w:pPr>
              <w:jc w:val="center"/>
              <w:rPr>
                <w:color w:val="FF0000"/>
                <w:position w:val="-6"/>
                <w:lang w:val="lt-LT" w:eastAsia="lt-LT"/>
              </w:rPr>
            </w:pPr>
            <w:r w:rsidRPr="00980A6F">
              <w:rPr>
                <w:position w:val="-6"/>
                <w:lang w:val="lt-LT" w:eastAsia="lt-LT"/>
              </w:rPr>
              <w:t>0,64</w:t>
            </w:r>
          </w:p>
        </w:tc>
        <w:tc>
          <w:tcPr>
            <w:tcW w:w="712" w:type="pct"/>
            <w:tcBorders>
              <w:top w:val="single" w:sz="4" w:space="0" w:color="auto"/>
              <w:left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r w:rsidRPr="00980A6F">
              <w:rPr>
                <w:position w:val="-6"/>
                <w:lang w:val="lt-LT" w:eastAsia="lt-LT"/>
              </w:rPr>
              <w:t>36,2</w:t>
            </w:r>
          </w:p>
        </w:tc>
      </w:tr>
      <w:tr w:rsidR="00980A6F" w:rsidRPr="00980A6F" w:rsidTr="00C139BB">
        <w:tc>
          <w:tcPr>
            <w:tcW w:w="2993" w:type="pct"/>
            <w:tcBorders>
              <w:top w:val="single" w:sz="4" w:space="0" w:color="auto"/>
              <w:left w:val="single" w:sz="4" w:space="0" w:color="auto"/>
              <w:right w:val="single" w:sz="4" w:space="0" w:color="auto"/>
            </w:tcBorders>
            <w:shd w:val="clear" w:color="auto" w:fill="auto"/>
          </w:tcPr>
          <w:p w:rsidR="00980A6F" w:rsidRPr="00980A6F" w:rsidRDefault="00980A6F" w:rsidP="00980A6F">
            <w:pPr>
              <w:jc w:val="both"/>
              <w:rPr>
                <w:position w:val="-6"/>
                <w:lang w:val="lt-LT" w:eastAsia="lt-LT"/>
              </w:rPr>
            </w:pPr>
            <w:r w:rsidRPr="00980A6F">
              <w:rPr>
                <w:position w:val="-6"/>
                <w:lang w:val="lt-LT" w:eastAsia="lt-LT"/>
              </w:rPr>
              <w:t>nuotekų valymo</w:t>
            </w:r>
          </w:p>
        </w:tc>
        <w:tc>
          <w:tcPr>
            <w:tcW w:w="594"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0,86</w:t>
            </w:r>
          </w:p>
        </w:tc>
        <w:tc>
          <w:tcPr>
            <w:tcW w:w="701"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1,12</w:t>
            </w:r>
          </w:p>
        </w:tc>
        <w:tc>
          <w:tcPr>
            <w:tcW w:w="712"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30,2</w:t>
            </w:r>
          </w:p>
        </w:tc>
      </w:tr>
      <w:tr w:rsidR="00980A6F" w:rsidRPr="00980A6F" w:rsidTr="00C139BB">
        <w:tc>
          <w:tcPr>
            <w:tcW w:w="2993"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both"/>
              <w:rPr>
                <w:position w:val="-6"/>
                <w:lang w:val="lt-LT" w:eastAsia="lt-LT"/>
              </w:rPr>
            </w:pPr>
            <w:r w:rsidRPr="00980A6F">
              <w:rPr>
                <w:position w:val="-6"/>
                <w:lang w:val="lt-LT" w:eastAsia="lt-LT"/>
              </w:rPr>
              <w:t>nuotekų dumblo tvarkymo</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0,24</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w:t>
            </w:r>
          </w:p>
        </w:tc>
      </w:tr>
      <w:tr w:rsidR="00980A6F" w:rsidRPr="00980A6F" w:rsidTr="00C139BB">
        <w:trPr>
          <w:trHeight w:val="291"/>
        </w:trPr>
        <w:tc>
          <w:tcPr>
            <w:tcW w:w="5000" w:type="pct"/>
            <w:gridSpan w:val="4"/>
            <w:tcBorders>
              <w:top w:val="single" w:sz="4" w:space="0" w:color="auto"/>
              <w:left w:val="single" w:sz="4" w:space="0" w:color="auto"/>
              <w:right w:val="single" w:sz="4" w:space="0" w:color="auto"/>
            </w:tcBorders>
            <w:shd w:val="clear" w:color="auto" w:fill="auto"/>
          </w:tcPr>
          <w:p w:rsidR="00980A6F" w:rsidRPr="00980A6F" w:rsidRDefault="00980A6F" w:rsidP="00980A6F">
            <w:pPr>
              <w:jc w:val="center"/>
              <w:rPr>
                <w:b/>
                <w:position w:val="-6"/>
                <w:lang w:val="lt-LT" w:eastAsia="lt-LT"/>
              </w:rPr>
            </w:pPr>
            <w:r w:rsidRPr="00980A6F">
              <w:rPr>
                <w:b/>
                <w:position w:val="-6"/>
                <w:lang w:val="lt-LT" w:eastAsia="lt-LT"/>
              </w:rPr>
              <w:t>Atsiskaitomųjų apskaitos prietaisų priežiūros ir vartotojų aptarnavimo paslaugų kainos</w:t>
            </w:r>
          </w:p>
        </w:tc>
      </w:tr>
      <w:tr w:rsidR="00980A6F" w:rsidRPr="00980A6F" w:rsidTr="00C139BB">
        <w:trPr>
          <w:trHeight w:val="1070"/>
        </w:trPr>
        <w:tc>
          <w:tcPr>
            <w:tcW w:w="2993" w:type="pct"/>
            <w:tcBorders>
              <w:top w:val="single" w:sz="4" w:space="0" w:color="auto"/>
              <w:left w:val="single" w:sz="4" w:space="0" w:color="auto"/>
              <w:right w:val="single" w:sz="4" w:space="0" w:color="auto"/>
            </w:tcBorders>
            <w:shd w:val="clear" w:color="auto" w:fill="auto"/>
          </w:tcPr>
          <w:p w:rsidR="00980A6F" w:rsidRPr="00980A6F" w:rsidRDefault="00980A6F" w:rsidP="00980A6F">
            <w:pPr>
              <w:rPr>
                <w:b/>
                <w:position w:val="-6"/>
                <w:lang w:val="lt-LT" w:eastAsia="lt-LT"/>
              </w:rPr>
            </w:pPr>
            <w:r w:rsidRPr="00980A6F">
              <w:rPr>
                <w:b/>
                <w:position w:val="-6"/>
                <w:lang w:val="lt-LT" w:eastAsia="lt-LT"/>
              </w:rPr>
              <w:t xml:space="preserve">Vartotojams, kuriems vanduo apskaitomas daugiabučio namo bute, </w:t>
            </w:r>
            <w:proofErr w:type="spellStart"/>
            <w:r w:rsidRPr="00980A6F">
              <w:rPr>
                <w:b/>
                <w:position w:val="-6"/>
                <w:lang w:val="lt-LT" w:eastAsia="lt-LT"/>
              </w:rPr>
              <w:t>Eur</w:t>
            </w:r>
            <w:proofErr w:type="spellEnd"/>
            <w:r w:rsidRPr="00980A6F">
              <w:rPr>
                <w:b/>
                <w:position w:val="-6"/>
                <w:lang w:val="lt-LT" w:eastAsia="lt-LT"/>
              </w:rPr>
              <w:t>/butui per mėn.:</w:t>
            </w:r>
          </w:p>
          <w:p w:rsidR="00980A6F" w:rsidRPr="00980A6F" w:rsidRDefault="00980A6F" w:rsidP="00980A6F">
            <w:pPr>
              <w:rPr>
                <w:position w:val="-6"/>
                <w:lang w:val="lt-LT" w:eastAsia="lt-LT"/>
              </w:rPr>
            </w:pPr>
            <w:r w:rsidRPr="00980A6F">
              <w:rPr>
                <w:position w:val="-6"/>
                <w:lang w:val="lt-LT" w:eastAsia="lt-LT"/>
              </w:rPr>
              <w:t>kai apskaitos prietaisas priklauso vandens tiekėjui</w:t>
            </w:r>
          </w:p>
          <w:p w:rsidR="00980A6F" w:rsidRPr="00980A6F" w:rsidRDefault="00980A6F" w:rsidP="00980A6F">
            <w:pPr>
              <w:rPr>
                <w:i/>
                <w:position w:val="-6"/>
                <w:lang w:val="lt-LT" w:eastAsia="lt-LT"/>
              </w:rPr>
            </w:pPr>
            <w:r w:rsidRPr="00980A6F">
              <w:rPr>
                <w:i/>
                <w:position w:val="-6"/>
                <w:lang w:val="lt-LT" w:eastAsia="lt-LT"/>
              </w:rPr>
              <w:t>kai apskaitos prietaisas ne vandens tiekėjo</w:t>
            </w:r>
          </w:p>
          <w:p w:rsidR="00980A6F" w:rsidRPr="00980A6F" w:rsidRDefault="00980A6F" w:rsidP="00980A6F">
            <w:pPr>
              <w:rPr>
                <w:position w:val="-6"/>
                <w:lang w:val="lt-LT" w:eastAsia="lt-LT"/>
              </w:rPr>
            </w:pPr>
            <w:r w:rsidRPr="00980A6F">
              <w:rPr>
                <w:position w:val="-6"/>
                <w:lang w:val="lt-LT" w:eastAsia="lt-LT"/>
              </w:rPr>
              <w:t xml:space="preserve">kai dėl techninių ar kitų priežasčių nėra galimybės įrengti atsiskaitomojo apskaitos prietaiso </w:t>
            </w:r>
          </w:p>
        </w:tc>
        <w:tc>
          <w:tcPr>
            <w:tcW w:w="594"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r w:rsidRPr="00980A6F">
              <w:rPr>
                <w:position w:val="-6"/>
                <w:lang w:val="lt-LT" w:eastAsia="lt-LT"/>
              </w:rPr>
              <w:t>1,29</w:t>
            </w:r>
          </w:p>
          <w:p w:rsidR="00980A6F" w:rsidRPr="00980A6F" w:rsidRDefault="00980A6F" w:rsidP="00980A6F">
            <w:pPr>
              <w:jc w:val="center"/>
              <w:rPr>
                <w:position w:val="-6"/>
                <w:lang w:val="lt-LT" w:eastAsia="lt-LT"/>
              </w:rPr>
            </w:pPr>
            <w:r w:rsidRPr="00980A6F">
              <w:rPr>
                <w:position w:val="-6"/>
                <w:lang w:val="lt-LT" w:eastAsia="lt-LT"/>
              </w:rPr>
              <w:t>0,78</w:t>
            </w:r>
          </w:p>
          <w:p w:rsidR="00980A6F" w:rsidRPr="00980A6F" w:rsidRDefault="00980A6F" w:rsidP="00980A6F">
            <w:pPr>
              <w:jc w:val="center"/>
              <w:rPr>
                <w:position w:val="-6"/>
                <w:lang w:val="lt-LT" w:eastAsia="lt-LT"/>
              </w:rPr>
            </w:pPr>
            <w:r w:rsidRPr="00980A6F">
              <w:rPr>
                <w:position w:val="-6"/>
                <w:lang w:val="lt-LT" w:eastAsia="lt-LT"/>
              </w:rPr>
              <w:t>-</w:t>
            </w:r>
          </w:p>
        </w:tc>
        <w:tc>
          <w:tcPr>
            <w:tcW w:w="701" w:type="pct"/>
            <w:tcBorders>
              <w:top w:val="single" w:sz="4" w:space="0" w:color="auto"/>
              <w:left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r w:rsidRPr="00980A6F">
              <w:rPr>
                <w:position w:val="-6"/>
                <w:lang w:val="lt-LT" w:eastAsia="lt-LT"/>
              </w:rPr>
              <w:t>1,75</w:t>
            </w:r>
          </w:p>
          <w:p w:rsidR="00980A6F" w:rsidRPr="00980A6F" w:rsidRDefault="00980A6F" w:rsidP="00980A6F">
            <w:pPr>
              <w:jc w:val="center"/>
              <w:rPr>
                <w:position w:val="-6"/>
                <w:lang w:val="lt-LT" w:eastAsia="lt-LT"/>
              </w:rPr>
            </w:pPr>
            <w:r w:rsidRPr="00980A6F">
              <w:rPr>
                <w:position w:val="-6"/>
                <w:lang w:val="lt-LT" w:eastAsia="lt-LT"/>
              </w:rPr>
              <w:t>-</w:t>
            </w:r>
          </w:p>
          <w:p w:rsidR="00980A6F" w:rsidRPr="00980A6F" w:rsidRDefault="00980A6F" w:rsidP="00980A6F">
            <w:pPr>
              <w:jc w:val="center"/>
              <w:rPr>
                <w:position w:val="-6"/>
                <w:lang w:val="lt-LT" w:eastAsia="lt-LT"/>
              </w:rPr>
            </w:pPr>
            <w:r w:rsidRPr="00980A6F">
              <w:rPr>
                <w:position w:val="-6"/>
                <w:lang w:val="lt-LT" w:eastAsia="lt-LT"/>
              </w:rPr>
              <w:t>0,93</w:t>
            </w:r>
          </w:p>
        </w:tc>
        <w:tc>
          <w:tcPr>
            <w:tcW w:w="712" w:type="pct"/>
            <w:tcBorders>
              <w:top w:val="single" w:sz="4" w:space="0" w:color="auto"/>
              <w:left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r w:rsidRPr="00980A6F">
              <w:rPr>
                <w:position w:val="-6"/>
                <w:lang w:val="lt-LT" w:eastAsia="lt-LT"/>
              </w:rPr>
              <w:t>35,7</w:t>
            </w:r>
          </w:p>
          <w:p w:rsidR="00980A6F" w:rsidRPr="00980A6F" w:rsidRDefault="00980A6F" w:rsidP="00980A6F">
            <w:pPr>
              <w:jc w:val="center"/>
              <w:rPr>
                <w:position w:val="-6"/>
                <w:lang w:val="lt-LT" w:eastAsia="lt-LT"/>
              </w:rPr>
            </w:pPr>
            <w:r w:rsidRPr="00980A6F">
              <w:rPr>
                <w:position w:val="-6"/>
                <w:lang w:val="lt-LT" w:eastAsia="lt-LT"/>
              </w:rPr>
              <w:t>-</w:t>
            </w:r>
          </w:p>
          <w:p w:rsidR="00980A6F" w:rsidRPr="00980A6F" w:rsidRDefault="00980A6F" w:rsidP="00980A6F">
            <w:pPr>
              <w:jc w:val="center"/>
              <w:rPr>
                <w:position w:val="-6"/>
                <w:lang w:val="lt-LT" w:eastAsia="lt-LT"/>
              </w:rPr>
            </w:pPr>
            <w:r w:rsidRPr="00980A6F">
              <w:rPr>
                <w:position w:val="-6"/>
                <w:lang w:val="lt-LT" w:eastAsia="lt-LT"/>
              </w:rPr>
              <w:t>-</w:t>
            </w:r>
          </w:p>
        </w:tc>
      </w:tr>
      <w:tr w:rsidR="00980A6F" w:rsidRPr="00980A6F" w:rsidTr="00C139BB">
        <w:trPr>
          <w:trHeight w:val="557"/>
        </w:trPr>
        <w:tc>
          <w:tcPr>
            <w:tcW w:w="2993"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980A6F">
            <w:pPr>
              <w:rPr>
                <w:position w:val="-6"/>
                <w:lang w:val="lt-LT" w:eastAsia="lt-LT"/>
              </w:rPr>
            </w:pPr>
            <w:r w:rsidRPr="00980A6F">
              <w:rPr>
                <w:b/>
                <w:position w:val="-6"/>
                <w:lang w:val="lt-LT" w:eastAsia="lt-LT"/>
              </w:rPr>
              <w:t>Vartotojams, kuriems vanduo apskaitomas daugiabučio namo įvade,</w:t>
            </w:r>
            <w:r w:rsidRPr="00980A6F">
              <w:rPr>
                <w:position w:val="-6"/>
                <w:lang w:val="lt-LT" w:eastAsia="lt-LT"/>
              </w:rPr>
              <w:t xml:space="preserve"> </w:t>
            </w:r>
            <w:proofErr w:type="spellStart"/>
            <w:r w:rsidRPr="00980A6F">
              <w:rPr>
                <w:b/>
                <w:position w:val="-6"/>
                <w:lang w:val="lt-LT" w:eastAsia="lt-LT"/>
              </w:rPr>
              <w:t>Eur</w:t>
            </w:r>
            <w:proofErr w:type="spellEnd"/>
            <w:r w:rsidRPr="00980A6F">
              <w:rPr>
                <w:b/>
                <w:position w:val="-6"/>
                <w:lang w:val="lt-LT" w:eastAsia="lt-LT"/>
              </w:rPr>
              <w:t>/namui per mėn.</w:t>
            </w:r>
          </w:p>
        </w:tc>
        <w:tc>
          <w:tcPr>
            <w:tcW w:w="594"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r w:rsidRPr="00980A6F">
              <w:rPr>
                <w:position w:val="-6"/>
                <w:lang w:val="lt-LT" w:eastAsia="lt-LT"/>
              </w:rPr>
              <w:t>3,11</w:t>
            </w:r>
          </w:p>
        </w:tc>
        <w:tc>
          <w:tcPr>
            <w:tcW w:w="701"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r w:rsidRPr="00980A6F">
              <w:rPr>
                <w:position w:val="-6"/>
                <w:lang w:val="lt-LT" w:eastAsia="lt-LT"/>
              </w:rPr>
              <w:t>10,06</w:t>
            </w:r>
          </w:p>
        </w:tc>
        <w:tc>
          <w:tcPr>
            <w:tcW w:w="712" w:type="pct"/>
            <w:tcBorders>
              <w:top w:val="single" w:sz="4" w:space="0" w:color="auto"/>
              <w:left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r w:rsidRPr="00980A6F">
              <w:rPr>
                <w:position w:val="-6"/>
                <w:lang w:val="lt-LT" w:eastAsia="lt-LT"/>
              </w:rPr>
              <w:t>47,1</w:t>
            </w:r>
          </w:p>
        </w:tc>
      </w:tr>
      <w:tr w:rsidR="00980A6F" w:rsidRPr="00980A6F" w:rsidTr="00C139BB">
        <w:trPr>
          <w:trHeight w:val="1544"/>
        </w:trPr>
        <w:tc>
          <w:tcPr>
            <w:tcW w:w="2993" w:type="pct"/>
            <w:tcBorders>
              <w:top w:val="single" w:sz="4" w:space="0" w:color="auto"/>
              <w:left w:val="single" w:sz="4" w:space="0" w:color="auto"/>
              <w:right w:val="single" w:sz="4" w:space="0" w:color="auto"/>
            </w:tcBorders>
            <w:shd w:val="clear" w:color="auto" w:fill="auto"/>
          </w:tcPr>
          <w:p w:rsidR="00980A6F" w:rsidRPr="00980A6F" w:rsidRDefault="00980A6F" w:rsidP="00980A6F">
            <w:pPr>
              <w:rPr>
                <w:position w:val="-6"/>
                <w:lang w:val="lt-LT" w:eastAsia="lt-LT"/>
              </w:rPr>
            </w:pPr>
            <w:r w:rsidRPr="00980A6F">
              <w:rPr>
                <w:b/>
                <w:position w:val="-6"/>
                <w:lang w:val="lt-LT" w:eastAsia="lt-LT"/>
              </w:rPr>
              <w:t>Vartotojams, kuriems vanduo apskaitomas individualių gyvenamųjų namų ar kitų patalpų, skirtų asmeninėms, šeimos ar namų reikmėms įvaduose,</w:t>
            </w:r>
            <w:r w:rsidRPr="00980A6F">
              <w:rPr>
                <w:position w:val="-6"/>
                <w:lang w:val="lt-LT" w:eastAsia="lt-LT"/>
              </w:rPr>
              <w:t xml:space="preserve"> </w:t>
            </w:r>
            <w:proofErr w:type="spellStart"/>
            <w:r w:rsidRPr="00980A6F">
              <w:rPr>
                <w:b/>
                <w:position w:val="-6"/>
                <w:lang w:val="lt-LT" w:eastAsia="lt-LT"/>
              </w:rPr>
              <w:t>Eur</w:t>
            </w:r>
            <w:proofErr w:type="spellEnd"/>
            <w:r w:rsidRPr="00980A6F">
              <w:rPr>
                <w:b/>
                <w:position w:val="-6"/>
                <w:lang w:val="lt-LT" w:eastAsia="lt-LT"/>
              </w:rPr>
              <w:t>/apskaitos prietaisui per mėn.:</w:t>
            </w:r>
          </w:p>
          <w:p w:rsidR="00980A6F" w:rsidRPr="00980A6F" w:rsidRDefault="00980A6F" w:rsidP="00980A6F">
            <w:pPr>
              <w:rPr>
                <w:position w:val="-6"/>
                <w:lang w:val="lt-LT" w:eastAsia="lt-LT"/>
              </w:rPr>
            </w:pPr>
            <w:r w:rsidRPr="00980A6F">
              <w:rPr>
                <w:position w:val="-6"/>
                <w:lang w:val="lt-LT" w:eastAsia="lt-LT"/>
              </w:rPr>
              <w:t xml:space="preserve">kai apskaitos prietaisas priklauso vandens tiekėjui </w:t>
            </w:r>
          </w:p>
          <w:p w:rsidR="00980A6F" w:rsidRPr="00980A6F" w:rsidRDefault="00980A6F" w:rsidP="00980A6F">
            <w:pPr>
              <w:rPr>
                <w:i/>
                <w:position w:val="-6"/>
                <w:lang w:val="lt-LT" w:eastAsia="lt-LT"/>
              </w:rPr>
            </w:pPr>
            <w:r w:rsidRPr="00980A6F">
              <w:rPr>
                <w:i/>
                <w:position w:val="-6"/>
                <w:lang w:val="lt-LT" w:eastAsia="lt-LT"/>
              </w:rPr>
              <w:t>kai apskaitos prietaisas ne vandens tiekėjo</w:t>
            </w:r>
          </w:p>
          <w:p w:rsidR="00980A6F" w:rsidRPr="00980A6F" w:rsidRDefault="00980A6F" w:rsidP="00980A6F">
            <w:pPr>
              <w:rPr>
                <w:position w:val="-6"/>
                <w:lang w:val="lt-LT" w:eastAsia="lt-LT"/>
              </w:rPr>
            </w:pPr>
            <w:r w:rsidRPr="00980A6F">
              <w:rPr>
                <w:position w:val="-6"/>
                <w:lang w:val="lt-LT" w:eastAsia="lt-LT"/>
              </w:rPr>
              <w:t>kai dėl techninių ar kitų priežasčių nėra galimybės įrengti atsiskaitomojo apskaitos prietaiso</w:t>
            </w:r>
          </w:p>
        </w:tc>
        <w:tc>
          <w:tcPr>
            <w:tcW w:w="594" w:type="pct"/>
            <w:tcBorders>
              <w:top w:val="single" w:sz="4" w:space="0" w:color="auto"/>
              <w:left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r w:rsidRPr="00980A6F">
              <w:rPr>
                <w:position w:val="-6"/>
                <w:lang w:val="lt-LT" w:eastAsia="lt-LT"/>
              </w:rPr>
              <w:t>1,17</w:t>
            </w:r>
          </w:p>
          <w:p w:rsidR="00980A6F" w:rsidRPr="00980A6F" w:rsidRDefault="00980A6F" w:rsidP="00980A6F">
            <w:pPr>
              <w:jc w:val="center"/>
              <w:rPr>
                <w:position w:val="-6"/>
                <w:lang w:val="lt-LT" w:eastAsia="lt-LT"/>
              </w:rPr>
            </w:pPr>
            <w:r w:rsidRPr="00980A6F">
              <w:rPr>
                <w:position w:val="-6"/>
                <w:lang w:val="lt-LT" w:eastAsia="lt-LT"/>
              </w:rPr>
              <w:t>0,61</w:t>
            </w:r>
          </w:p>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r w:rsidRPr="00980A6F">
              <w:rPr>
                <w:position w:val="-6"/>
                <w:lang w:val="lt-LT" w:eastAsia="lt-LT"/>
              </w:rPr>
              <w:t>-</w:t>
            </w:r>
          </w:p>
        </w:tc>
        <w:tc>
          <w:tcPr>
            <w:tcW w:w="701" w:type="pct"/>
            <w:tcBorders>
              <w:top w:val="single" w:sz="4" w:space="0" w:color="auto"/>
              <w:left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r w:rsidRPr="00980A6F">
              <w:rPr>
                <w:position w:val="-6"/>
                <w:lang w:val="lt-LT" w:eastAsia="lt-LT"/>
              </w:rPr>
              <w:t>1,24</w:t>
            </w:r>
          </w:p>
          <w:p w:rsidR="00980A6F" w:rsidRPr="00980A6F" w:rsidRDefault="00980A6F" w:rsidP="00980A6F">
            <w:pPr>
              <w:jc w:val="center"/>
              <w:rPr>
                <w:position w:val="-6"/>
                <w:lang w:val="lt-LT" w:eastAsia="lt-LT"/>
              </w:rPr>
            </w:pPr>
            <w:r w:rsidRPr="00980A6F">
              <w:rPr>
                <w:position w:val="-6"/>
                <w:lang w:val="lt-LT" w:eastAsia="lt-LT"/>
              </w:rPr>
              <w:t>-</w:t>
            </w:r>
          </w:p>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r w:rsidRPr="00980A6F">
              <w:rPr>
                <w:position w:val="-6"/>
                <w:lang w:val="lt-LT" w:eastAsia="lt-LT"/>
              </w:rPr>
              <w:t>0,66</w:t>
            </w:r>
          </w:p>
        </w:tc>
        <w:tc>
          <w:tcPr>
            <w:tcW w:w="712" w:type="pct"/>
            <w:tcBorders>
              <w:top w:val="single" w:sz="4" w:space="0" w:color="auto"/>
              <w:left w:val="single" w:sz="4" w:space="0" w:color="auto"/>
              <w:right w:val="single" w:sz="4" w:space="0" w:color="auto"/>
            </w:tcBorders>
            <w:shd w:val="clear" w:color="auto" w:fill="auto"/>
          </w:tcPr>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r w:rsidRPr="00980A6F">
              <w:rPr>
                <w:position w:val="-6"/>
                <w:lang w:val="lt-LT" w:eastAsia="lt-LT"/>
              </w:rPr>
              <w:t>6,0</w:t>
            </w:r>
          </w:p>
          <w:p w:rsidR="00980A6F" w:rsidRPr="00980A6F" w:rsidRDefault="00980A6F" w:rsidP="00980A6F">
            <w:pPr>
              <w:jc w:val="center"/>
              <w:rPr>
                <w:position w:val="-6"/>
                <w:lang w:val="lt-LT" w:eastAsia="lt-LT"/>
              </w:rPr>
            </w:pPr>
            <w:r w:rsidRPr="00980A6F">
              <w:rPr>
                <w:position w:val="-6"/>
                <w:lang w:val="lt-LT" w:eastAsia="lt-LT"/>
              </w:rPr>
              <w:t>-</w:t>
            </w:r>
          </w:p>
          <w:p w:rsidR="00980A6F" w:rsidRPr="00980A6F" w:rsidRDefault="00980A6F" w:rsidP="00980A6F">
            <w:pPr>
              <w:jc w:val="center"/>
              <w:rPr>
                <w:position w:val="-6"/>
                <w:lang w:val="lt-LT" w:eastAsia="lt-LT"/>
              </w:rPr>
            </w:pPr>
          </w:p>
          <w:p w:rsidR="00980A6F" w:rsidRPr="00980A6F" w:rsidRDefault="00980A6F" w:rsidP="00980A6F">
            <w:pPr>
              <w:jc w:val="center"/>
              <w:rPr>
                <w:position w:val="-6"/>
                <w:lang w:val="lt-LT" w:eastAsia="lt-LT"/>
              </w:rPr>
            </w:pPr>
            <w:r w:rsidRPr="00980A6F">
              <w:rPr>
                <w:position w:val="-6"/>
                <w:lang w:val="lt-LT" w:eastAsia="lt-LT"/>
              </w:rPr>
              <w:t>-</w:t>
            </w:r>
          </w:p>
        </w:tc>
      </w:tr>
      <w:tr w:rsidR="00980A6F" w:rsidRPr="00980A6F" w:rsidTr="00C139BB">
        <w:trPr>
          <w:trHeight w:val="651"/>
        </w:trPr>
        <w:tc>
          <w:tcPr>
            <w:tcW w:w="2993"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rPr>
                <w:position w:val="-6"/>
                <w:lang w:val="lt-LT" w:eastAsia="lt-LT"/>
              </w:rPr>
            </w:pPr>
            <w:r w:rsidRPr="00980A6F">
              <w:rPr>
                <w:position w:val="-6"/>
                <w:lang w:val="lt-LT" w:eastAsia="lt-LT"/>
              </w:rPr>
              <w:t xml:space="preserve">Vidutinė atsiskaitomųjų apskaitos prietaisų priežiūros ir vartotojų aptarnavimo paslaugos kaina abonentams, </w:t>
            </w:r>
            <w:proofErr w:type="spellStart"/>
            <w:r w:rsidRPr="00980A6F">
              <w:rPr>
                <w:position w:val="-6"/>
                <w:lang w:val="lt-LT" w:eastAsia="lt-LT"/>
              </w:rPr>
              <w:t>Eur</w:t>
            </w:r>
            <w:proofErr w:type="spellEnd"/>
            <w:r w:rsidRPr="00980A6F">
              <w:rPr>
                <w:position w:val="-6"/>
                <w:lang w:val="lt-LT" w:eastAsia="lt-LT"/>
              </w:rPr>
              <w:t xml:space="preserve">/apskaitos prietaisui per mėn. </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2,13</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3,78</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77,5</w:t>
            </w:r>
          </w:p>
        </w:tc>
      </w:tr>
      <w:tr w:rsidR="00980A6F" w:rsidRPr="00980A6F" w:rsidTr="00C139BB">
        <w:trPr>
          <w:trHeight w:val="651"/>
        </w:trPr>
        <w:tc>
          <w:tcPr>
            <w:tcW w:w="2993"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rPr>
                <w:position w:val="-6"/>
                <w:lang w:val="lt-LT" w:eastAsia="lt-LT"/>
              </w:rPr>
            </w:pPr>
            <w:r w:rsidRPr="00980A6F">
              <w:rPr>
                <w:position w:val="-6"/>
                <w:lang w:val="lt-LT" w:eastAsia="lt-LT"/>
              </w:rPr>
              <w:t xml:space="preserve">Nuotekų transportavimo asenizacijos transporto priemonėmis paslaugos bazinę kainą </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3,81</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13,3</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980A6F" w:rsidRPr="00980A6F" w:rsidRDefault="00980A6F" w:rsidP="00980A6F">
            <w:pPr>
              <w:jc w:val="center"/>
              <w:rPr>
                <w:position w:val="-6"/>
                <w:lang w:val="lt-LT" w:eastAsia="lt-LT"/>
              </w:rPr>
            </w:pPr>
            <w:r w:rsidRPr="00980A6F">
              <w:rPr>
                <w:position w:val="-6"/>
                <w:lang w:val="lt-LT" w:eastAsia="lt-LT"/>
              </w:rPr>
              <w:t>249,1</w:t>
            </w:r>
          </w:p>
        </w:tc>
      </w:tr>
    </w:tbl>
    <w:p w:rsidR="00980A6F" w:rsidRPr="00980A6F" w:rsidRDefault="00980A6F" w:rsidP="00980A6F">
      <w:pPr>
        <w:tabs>
          <w:tab w:val="left" w:pos="567"/>
        </w:tabs>
        <w:jc w:val="both"/>
        <w:rPr>
          <w:lang w:val="lt-LT" w:eastAsia="lt-LT"/>
        </w:rPr>
      </w:pPr>
    </w:p>
    <w:p w:rsidR="00580D82" w:rsidRPr="00580D82" w:rsidRDefault="00580D82" w:rsidP="006A0028">
      <w:pPr>
        <w:spacing w:before="160" w:line="360" w:lineRule="auto"/>
        <w:ind w:firstLine="709"/>
        <w:jc w:val="both"/>
        <w:rPr>
          <w:iCs/>
          <w:caps/>
          <w:lang w:val="lt-LT" w:eastAsia="lt-LT"/>
        </w:rPr>
      </w:pPr>
      <w:r>
        <w:rPr>
          <w:lang w:val="lt-LT" w:eastAsia="lt-LT"/>
        </w:rPr>
        <w:t>K</w:t>
      </w:r>
      <w:r w:rsidRPr="00580D82">
        <w:rPr>
          <w:lang w:val="lt-LT" w:eastAsia="lt-LT"/>
        </w:rPr>
        <w:t>ainos pagal visas pozicijas ženkliai didėja.</w:t>
      </w:r>
      <w:r w:rsidRPr="00580D82">
        <w:rPr>
          <w:iCs/>
          <w:lang w:val="lt-LT" w:eastAsia="lt-LT"/>
        </w:rPr>
        <w:t xml:space="preserve"> </w:t>
      </w:r>
      <w:r w:rsidR="000E07FF">
        <w:rPr>
          <w:iCs/>
          <w:lang w:val="lt-LT" w:eastAsia="lt-LT"/>
        </w:rPr>
        <w:t>P</w:t>
      </w:r>
      <w:r w:rsidRPr="00580D82">
        <w:rPr>
          <w:iCs/>
          <w:lang w:val="lt-LT" w:eastAsia="lt-LT"/>
        </w:rPr>
        <w:t xml:space="preserve">ridedama </w:t>
      </w:r>
      <w:r w:rsidR="000E07FF">
        <w:rPr>
          <w:iCs/>
          <w:lang w:val="lt-LT" w:eastAsia="lt-LT"/>
        </w:rPr>
        <w:t>V</w:t>
      </w:r>
      <w:r w:rsidRPr="00580D82">
        <w:rPr>
          <w:iCs/>
          <w:lang w:val="lt-LT" w:eastAsia="lt-LT"/>
        </w:rPr>
        <w:t xml:space="preserve">alstybinės kainų ir energetikos kontrolės komisijos </w:t>
      </w:r>
      <w:r w:rsidR="000E07FF">
        <w:rPr>
          <w:iCs/>
          <w:lang w:val="lt-LT" w:eastAsia="lt-LT"/>
        </w:rPr>
        <w:t>Š</w:t>
      </w:r>
      <w:r>
        <w:rPr>
          <w:iCs/>
          <w:lang w:val="lt-LT" w:eastAsia="lt-LT"/>
        </w:rPr>
        <w:t xml:space="preserve">ilumos ir vandens departamento </w:t>
      </w:r>
      <w:r w:rsidR="000E07FF">
        <w:rPr>
          <w:iCs/>
          <w:lang w:val="lt-LT" w:eastAsia="lt-LT"/>
        </w:rPr>
        <w:t>V</w:t>
      </w:r>
      <w:r w:rsidRPr="00580D82">
        <w:rPr>
          <w:iCs/>
          <w:lang w:val="lt-LT" w:eastAsia="lt-LT"/>
        </w:rPr>
        <w:t>andens skyri</w:t>
      </w:r>
      <w:r w:rsidR="000E07FF">
        <w:rPr>
          <w:iCs/>
          <w:lang w:val="lt-LT" w:eastAsia="lt-LT"/>
        </w:rPr>
        <w:t>aus</w:t>
      </w:r>
      <w:r w:rsidR="006A0028">
        <w:rPr>
          <w:iCs/>
          <w:lang w:val="lt-LT" w:eastAsia="lt-LT"/>
        </w:rPr>
        <w:t xml:space="preserve"> (toliau – Skyrius)</w:t>
      </w:r>
      <w:r w:rsidR="000E07FF">
        <w:rPr>
          <w:iCs/>
          <w:lang w:val="lt-LT" w:eastAsia="lt-LT"/>
        </w:rPr>
        <w:t xml:space="preserve"> </w:t>
      </w:r>
      <w:r w:rsidRPr="00580D82">
        <w:rPr>
          <w:iCs/>
          <w:lang w:val="lt-LT" w:eastAsia="lt-LT"/>
        </w:rPr>
        <w:t>pažyma</w:t>
      </w:r>
      <w:r w:rsidR="000E07FF">
        <w:rPr>
          <w:iCs/>
          <w:lang w:val="lt-LT" w:eastAsia="lt-LT"/>
        </w:rPr>
        <w:t xml:space="preserve"> „Dėl uždarosios akcinės bendrovės „Molėtų vanduo“ geriamojo vandens tiekimo ir nuotekų tvarkymo paslaugų bazinių kainų derinimo“, kurioje išanalizuota Bendrovės veikla ir rodikliai, kurie daro įtaką</w:t>
      </w:r>
      <w:r w:rsidR="000E07FF" w:rsidRPr="000E07FF">
        <w:rPr>
          <w:lang w:val="lt-LT" w:eastAsia="lt-LT"/>
        </w:rPr>
        <w:t xml:space="preserve"> </w:t>
      </w:r>
      <w:r w:rsidR="000E07FF" w:rsidRPr="003B541B">
        <w:rPr>
          <w:lang w:val="lt-LT" w:eastAsia="lt-LT"/>
        </w:rPr>
        <w:t>geriamojo vandens tiekimo ir nuotekų tvarkymo paslaugų kain</w:t>
      </w:r>
      <w:r w:rsidR="006A0028">
        <w:rPr>
          <w:lang w:val="lt-LT" w:eastAsia="lt-LT"/>
        </w:rPr>
        <w:t>om</w:t>
      </w:r>
      <w:r w:rsidR="000E07FF" w:rsidRPr="003B541B">
        <w:rPr>
          <w:lang w:val="lt-LT" w:eastAsia="lt-LT"/>
        </w:rPr>
        <w:t>s</w:t>
      </w:r>
      <w:r w:rsidR="006A0028">
        <w:rPr>
          <w:lang w:val="lt-LT" w:eastAsia="lt-LT"/>
        </w:rPr>
        <w:t>.</w:t>
      </w:r>
    </w:p>
    <w:p w:rsidR="006A0028" w:rsidRDefault="006A0028" w:rsidP="006A0028">
      <w:pPr>
        <w:tabs>
          <w:tab w:val="num" w:pos="709"/>
          <w:tab w:val="left" w:pos="851"/>
          <w:tab w:val="num" w:pos="1848"/>
        </w:tabs>
        <w:spacing w:line="360" w:lineRule="auto"/>
        <w:ind w:right="-1" w:firstLine="709"/>
        <w:jc w:val="both"/>
        <w:rPr>
          <w:lang w:val="lt-LT" w:eastAsia="lt-LT"/>
        </w:rPr>
      </w:pPr>
      <w:r>
        <w:rPr>
          <w:lang w:val="lt-LT" w:eastAsia="lt-LT"/>
        </w:rPr>
        <w:t>Skyrius</w:t>
      </w:r>
      <w:r w:rsidR="00580D82">
        <w:rPr>
          <w:lang w:val="lt-LT" w:eastAsia="lt-LT"/>
        </w:rPr>
        <w:t xml:space="preserve"> </w:t>
      </w:r>
      <w:r w:rsidR="003B541B" w:rsidRPr="003B541B">
        <w:rPr>
          <w:lang w:val="lt-LT" w:eastAsia="lt-LT"/>
        </w:rPr>
        <w:t xml:space="preserve">įvertino, kad Molėtų rajono savivaldybės tarybai nustačius naujas geriamojo vandens tiekimo ir nuotekų tvarkymo paslaugų kainas, Bendrovės aptarnaujamoje licencijuojamoje teritorijoje </w:t>
      </w:r>
      <w:r w:rsidR="003B541B" w:rsidRPr="003B541B">
        <w:rPr>
          <w:lang w:val="lt-LT" w:eastAsia="lt-LT"/>
        </w:rPr>
        <w:lastRenderedPageBreak/>
        <w:t xml:space="preserve">vartotojų, perkančių geriamojo vandens tiekimo ir nuotekų tvarkymo paslaugas bute, mokama suma už paslaugas sudarys 2,33 proc. vidutinių šeimos pajamų, o perkančių geriamojo vandens tiekimo paslaugas individualiame name </w:t>
      </w:r>
      <w:r w:rsidR="003B541B" w:rsidRPr="003B541B">
        <w:rPr>
          <w:iCs/>
          <w:lang w:val="lt-LT" w:eastAsia="lt-LT"/>
        </w:rPr>
        <w:t>bei įvertinus nuotekų transportavimo paslaugos kainą</w:t>
      </w:r>
      <w:r w:rsidR="003B541B" w:rsidRPr="003B541B">
        <w:rPr>
          <w:lang w:val="lt-LT" w:eastAsia="lt-LT"/>
        </w:rPr>
        <w:t xml:space="preserve"> – 2,32 proc., t. y. neviršys 4,</w:t>
      </w:r>
      <w:r>
        <w:rPr>
          <w:lang w:val="lt-LT" w:eastAsia="lt-LT"/>
        </w:rPr>
        <w:t>0 proc. vidutinių šeimos pajamų.</w:t>
      </w:r>
    </w:p>
    <w:p w:rsidR="006A0028" w:rsidRPr="006A0028" w:rsidRDefault="00783E2C" w:rsidP="006A0028">
      <w:pPr>
        <w:tabs>
          <w:tab w:val="num" w:pos="709"/>
          <w:tab w:val="left" w:pos="851"/>
          <w:tab w:val="num" w:pos="1848"/>
        </w:tabs>
        <w:spacing w:line="360" w:lineRule="auto"/>
        <w:ind w:right="-1" w:firstLine="709"/>
        <w:jc w:val="both"/>
        <w:rPr>
          <w:lang w:val="lt-LT"/>
        </w:rPr>
      </w:pPr>
      <w:r w:rsidRPr="006A0028">
        <w:rPr>
          <w:lang w:val="lt-LT"/>
        </w:rPr>
        <w:t xml:space="preserve">Parengto sprendimo projekto tikslas – </w:t>
      </w:r>
      <w:r w:rsidR="006A0028" w:rsidRPr="006A0028">
        <w:rPr>
          <w:lang w:val="lt-LT"/>
        </w:rPr>
        <w:t>n</w:t>
      </w:r>
      <w:r w:rsidR="006A0028" w:rsidRPr="006A0028">
        <w:rPr>
          <w:lang w:val="lt-LT"/>
        </w:rPr>
        <w:t>ustatyti uždarosios akcinės bendrovės „Molėtų vanduo“ geriamojo vandens tiekimo ir nuotekų tvarkymo paslaugų bei atsiskaitomųjų apskaitos prietaisų priežiūros ir vartotojų aptarnavimo paslaugos bazines kainas</w:t>
      </w:r>
      <w:r w:rsidR="006A0028" w:rsidRPr="006A0028">
        <w:rPr>
          <w:lang w:val="lt-LT"/>
        </w:rPr>
        <w:t>.</w:t>
      </w:r>
      <w:r w:rsidR="006A0028" w:rsidRPr="006A0028">
        <w:rPr>
          <w:lang w:val="lt-LT"/>
        </w:rPr>
        <w:t xml:space="preserve"> </w:t>
      </w:r>
    </w:p>
    <w:p w:rsidR="00746386" w:rsidRPr="00783E2C" w:rsidRDefault="00746386" w:rsidP="006A0028">
      <w:pPr>
        <w:tabs>
          <w:tab w:val="num" w:pos="709"/>
          <w:tab w:val="left" w:pos="851"/>
          <w:tab w:val="num" w:pos="1848"/>
        </w:tabs>
        <w:spacing w:line="360" w:lineRule="auto"/>
        <w:ind w:right="-1" w:firstLine="709"/>
        <w:jc w:val="both"/>
        <w:rPr>
          <w:b/>
          <w:lang w:val="lt-LT"/>
        </w:rPr>
      </w:pPr>
      <w:r w:rsidRPr="00783E2C">
        <w:rPr>
          <w:b/>
          <w:lang w:val="lt-LT"/>
        </w:rPr>
        <w:t xml:space="preserve">2. </w:t>
      </w:r>
      <w:r w:rsidR="007F3552" w:rsidRPr="00783E2C">
        <w:rPr>
          <w:b/>
          <w:lang w:val="lt-LT"/>
        </w:rPr>
        <w:t>Šiuo metu esantis teisinis reglamentavimas</w:t>
      </w:r>
    </w:p>
    <w:p w:rsidR="00AB4B99" w:rsidRDefault="006A0028" w:rsidP="00AB4B99">
      <w:pPr>
        <w:tabs>
          <w:tab w:val="left" w:pos="720"/>
          <w:tab w:val="num" w:pos="3960"/>
        </w:tabs>
        <w:spacing w:line="360" w:lineRule="auto"/>
        <w:ind w:firstLine="709"/>
        <w:jc w:val="both"/>
        <w:rPr>
          <w:lang w:val="lt-LT"/>
        </w:rPr>
      </w:pPr>
      <w:r w:rsidRPr="006A0028">
        <w:rPr>
          <w:lang w:val="lt-LT"/>
        </w:rPr>
        <w:t>Lietuvos Respublikos vietos savivaldos įstatymo 16 straipsnio 2 dalies 37 punkt</w:t>
      </w:r>
      <w:r w:rsidR="00AB4B99">
        <w:rPr>
          <w:lang w:val="lt-LT"/>
        </w:rPr>
        <w:t>as</w:t>
      </w:r>
      <w:r w:rsidRPr="006A0028">
        <w:rPr>
          <w:lang w:val="lt-LT"/>
        </w:rPr>
        <w:t>,</w:t>
      </w:r>
      <w:r w:rsidR="00AB4B99">
        <w:rPr>
          <w:lang w:val="lt-LT"/>
        </w:rPr>
        <w:t xml:space="preserve"> 18 straipsnio 1 dalis;</w:t>
      </w:r>
    </w:p>
    <w:p w:rsidR="00AB4B99" w:rsidRDefault="006A0028" w:rsidP="00AB4B99">
      <w:pPr>
        <w:tabs>
          <w:tab w:val="left" w:pos="720"/>
          <w:tab w:val="num" w:pos="3960"/>
        </w:tabs>
        <w:spacing w:line="360" w:lineRule="auto"/>
        <w:ind w:firstLine="709"/>
        <w:jc w:val="both"/>
        <w:rPr>
          <w:lang w:val="lt-LT"/>
        </w:rPr>
      </w:pPr>
      <w:r w:rsidRPr="006A0028">
        <w:rPr>
          <w:lang w:val="lt-LT"/>
        </w:rPr>
        <w:t>Lietuvos Respublikos geriamojo vandens tiekimo ir nuotekų tvarkymo įstatymo 10 straipsnio 6 punkt</w:t>
      </w:r>
      <w:r w:rsidR="00AB4B99">
        <w:rPr>
          <w:lang w:val="lt-LT"/>
        </w:rPr>
        <w:t>as</w:t>
      </w:r>
      <w:r w:rsidRPr="006A0028">
        <w:rPr>
          <w:lang w:val="lt-LT"/>
        </w:rPr>
        <w:t>, 34 straipsnio 2 dali</w:t>
      </w:r>
      <w:r w:rsidR="00AB4B99">
        <w:rPr>
          <w:lang w:val="lt-LT"/>
        </w:rPr>
        <w:t>s;</w:t>
      </w:r>
      <w:r w:rsidRPr="006A0028">
        <w:rPr>
          <w:lang w:val="lt-LT"/>
        </w:rPr>
        <w:t xml:space="preserve"> </w:t>
      </w:r>
    </w:p>
    <w:p w:rsidR="00AB4B99" w:rsidRDefault="006A0028" w:rsidP="00AB4B99">
      <w:pPr>
        <w:tabs>
          <w:tab w:val="left" w:pos="720"/>
          <w:tab w:val="num" w:pos="3960"/>
        </w:tabs>
        <w:spacing w:line="360" w:lineRule="auto"/>
        <w:ind w:firstLine="709"/>
        <w:jc w:val="both"/>
        <w:rPr>
          <w:lang w:val="lt-LT"/>
        </w:rPr>
      </w:pPr>
      <w:r w:rsidRPr="006A0028">
        <w:rPr>
          <w:lang w:val="lt-LT"/>
        </w:rPr>
        <w:t>Geriamojo vandens tiekimo ir nuotekų tvarkymo bei paviršinių nuotekų tvarkymo paslaugų kainų nustatymo metodika, patvirtinta Valstybinės kainų ir energetikos kontrolės komisijos 2006 m. gruodžio 21 d. nutarimu Nr.</w:t>
      </w:r>
      <w:r w:rsidR="00AB4B99">
        <w:rPr>
          <w:lang w:val="lt-LT"/>
        </w:rPr>
        <w:t xml:space="preserve"> </w:t>
      </w:r>
      <w:r w:rsidRPr="006A0028">
        <w:rPr>
          <w:lang w:val="lt-LT"/>
        </w:rPr>
        <w:t>O3-92 „Dėl geriamojo vandens tiekimo ir nuotekų tvarkymo paslaugų kainų nustatymo metodikos“</w:t>
      </w:r>
      <w:r w:rsidR="00AB4B99">
        <w:rPr>
          <w:lang w:val="lt-LT"/>
        </w:rPr>
        <w:t>;</w:t>
      </w:r>
    </w:p>
    <w:p w:rsidR="006A0028" w:rsidRDefault="006A0028" w:rsidP="00AB4B99">
      <w:pPr>
        <w:tabs>
          <w:tab w:val="left" w:pos="720"/>
          <w:tab w:val="num" w:pos="3960"/>
        </w:tabs>
        <w:spacing w:line="360" w:lineRule="auto"/>
        <w:ind w:firstLine="709"/>
        <w:jc w:val="both"/>
        <w:rPr>
          <w:b/>
          <w:lang w:val="lt-LT"/>
        </w:rPr>
      </w:pPr>
      <w:r w:rsidRPr="006A0028">
        <w:rPr>
          <w:lang w:val="lt-LT"/>
        </w:rPr>
        <w:t>Valstybinės kainų ir energetikos kontrolės komisijos 2018 m. vasario 5</w:t>
      </w:r>
      <w:r w:rsidR="00AB4B99">
        <w:rPr>
          <w:lang w:val="lt-LT"/>
        </w:rPr>
        <w:t xml:space="preserve"> d. nutarimas</w:t>
      </w:r>
      <w:r w:rsidRPr="006A0028">
        <w:rPr>
          <w:lang w:val="lt-LT"/>
        </w:rPr>
        <w:t xml:space="preserve"> Nr.</w:t>
      </w:r>
      <w:r w:rsidR="00AB4B99">
        <w:rPr>
          <w:lang w:val="lt-LT"/>
        </w:rPr>
        <w:t xml:space="preserve"> </w:t>
      </w:r>
      <w:r w:rsidRPr="006A0028">
        <w:rPr>
          <w:lang w:val="lt-LT"/>
        </w:rPr>
        <w:t>O3E-30 „Dėl uždarosios akcinės bendrovės „Molėtų vanduo“ geriamojo vandens tiekimo ir nuotekų tvarkymo paslaugų bazinių kainų derinimo“</w:t>
      </w:r>
      <w:r w:rsidR="00AB4B99">
        <w:rPr>
          <w:lang w:val="lt-LT"/>
        </w:rPr>
        <w:t>.</w:t>
      </w:r>
    </w:p>
    <w:p w:rsidR="00AC66D0" w:rsidRDefault="007F3552" w:rsidP="00AC66D0">
      <w:pPr>
        <w:pStyle w:val="Sraopastraipa"/>
        <w:numPr>
          <w:ilvl w:val="0"/>
          <w:numId w:val="2"/>
        </w:numPr>
        <w:tabs>
          <w:tab w:val="left" w:pos="720"/>
        </w:tabs>
        <w:spacing w:line="360" w:lineRule="auto"/>
        <w:ind w:left="0" w:firstLine="720"/>
        <w:jc w:val="both"/>
        <w:rPr>
          <w:b/>
          <w:lang w:val="lt-LT"/>
        </w:rPr>
      </w:pPr>
      <w:r w:rsidRPr="00AB4B99">
        <w:rPr>
          <w:b/>
          <w:lang w:val="lt-LT"/>
        </w:rPr>
        <w:t>Galimos teigiamos ir neigiamos pasekmės priėmus siūlomą tarybos sprendimo projektą</w:t>
      </w:r>
      <w:r w:rsidR="00746386" w:rsidRPr="00AB4B99">
        <w:rPr>
          <w:b/>
          <w:lang w:val="lt-LT"/>
        </w:rPr>
        <w:t xml:space="preserve"> </w:t>
      </w:r>
    </w:p>
    <w:p w:rsidR="00AB4B99" w:rsidRPr="00AC66D0" w:rsidRDefault="0098475E" w:rsidP="00AC66D0">
      <w:pPr>
        <w:pStyle w:val="Sraopastraipa"/>
        <w:spacing w:line="360" w:lineRule="auto"/>
        <w:ind w:left="0" w:firstLine="720"/>
        <w:jc w:val="both"/>
        <w:rPr>
          <w:b/>
          <w:lang w:val="lt-LT"/>
        </w:rPr>
      </w:pPr>
      <w:r w:rsidRPr="00AC66D0">
        <w:rPr>
          <w:lang w:val="lt-LT"/>
        </w:rPr>
        <w:t>Teigiamos pasekmės –</w:t>
      </w:r>
      <w:r w:rsidR="00AB4B99" w:rsidRPr="00AC66D0">
        <w:rPr>
          <w:sz w:val="22"/>
          <w:szCs w:val="22"/>
          <w:lang w:val="lt-LT"/>
        </w:rPr>
        <w:t xml:space="preserve"> </w:t>
      </w:r>
      <w:r w:rsidR="00AC66D0" w:rsidRPr="00AC66D0">
        <w:rPr>
          <w:sz w:val="22"/>
          <w:szCs w:val="22"/>
          <w:lang w:val="lt-LT"/>
        </w:rPr>
        <w:t xml:space="preserve">gautos </w:t>
      </w:r>
      <w:r w:rsidR="00AC66D0">
        <w:rPr>
          <w:sz w:val="22"/>
          <w:szCs w:val="22"/>
          <w:lang w:val="lt-LT"/>
        </w:rPr>
        <w:t xml:space="preserve">didesnės </w:t>
      </w:r>
      <w:r w:rsidR="00AC66D0" w:rsidRPr="00AC66D0">
        <w:rPr>
          <w:sz w:val="22"/>
          <w:szCs w:val="22"/>
          <w:lang w:val="lt-LT"/>
        </w:rPr>
        <w:t>pajamos užtikrins</w:t>
      </w:r>
      <w:r w:rsidR="00AB4B99" w:rsidRPr="00AC66D0">
        <w:rPr>
          <w:sz w:val="22"/>
          <w:szCs w:val="22"/>
          <w:lang w:val="lt-LT"/>
        </w:rPr>
        <w:t xml:space="preserve"> ilgalaikį geriamojo vandens tiekim</w:t>
      </w:r>
      <w:r w:rsidR="00AC66D0" w:rsidRPr="00AC66D0">
        <w:rPr>
          <w:sz w:val="22"/>
          <w:szCs w:val="22"/>
          <w:lang w:val="lt-LT"/>
        </w:rPr>
        <w:t>ą</w:t>
      </w:r>
      <w:r w:rsidR="00AB4B99" w:rsidRPr="00AC66D0">
        <w:rPr>
          <w:sz w:val="22"/>
          <w:szCs w:val="22"/>
          <w:lang w:val="lt-LT"/>
        </w:rPr>
        <w:t xml:space="preserve"> ir nuotekų tvarkym</w:t>
      </w:r>
      <w:r w:rsidR="00AC66D0" w:rsidRPr="00AC66D0">
        <w:rPr>
          <w:sz w:val="22"/>
          <w:szCs w:val="22"/>
          <w:lang w:val="lt-LT"/>
        </w:rPr>
        <w:t>ą</w:t>
      </w:r>
      <w:r w:rsidR="00AB4B99" w:rsidRPr="00AC66D0">
        <w:rPr>
          <w:sz w:val="22"/>
          <w:szCs w:val="22"/>
          <w:lang w:val="lt-LT"/>
        </w:rPr>
        <w:t>,</w:t>
      </w:r>
      <w:r w:rsidR="00AC66D0" w:rsidRPr="00AC66D0">
        <w:rPr>
          <w:sz w:val="22"/>
          <w:szCs w:val="22"/>
          <w:lang w:val="lt-LT"/>
        </w:rPr>
        <w:t xml:space="preserve"> </w:t>
      </w:r>
      <w:r w:rsidR="00AC66D0" w:rsidRPr="00AC66D0">
        <w:rPr>
          <w:sz w:val="22"/>
          <w:szCs w:val="22"/>
          <w:lang w:val="lt-LT"/>
        </w:rPr>
        <w:t>vandens tiekėjo rentabilumą</w:t>
      </w:r>
      <w:r w:rsidR="00AC66D0">
        <w:rPr>
          <w:sz w:val="22"/>
          <w:szCs w:val="22"/>
          <w:lang w:val="lt-LT"/>
        </w:rPr>
        <w:t>,</w:t>
      </w:r>
      <w:r w:rsidR="00AB4B99" w:rsidRPr="00AC66D0">
        <w:rPr>
          <w:sz w:val="22"/>
          <w:szCs w:val="22"/>
          <w:lang w:val="lt-LT"/>
        </w:rPr>
        <w:t xml:space="preserve"> </w:t>
      </w:r>
      <w:r w:rsidR="00AC66D0" w:rsidRPr="00AC66D0">
        <w:rPr>
          <w:sz w:val="22"/>
          <w:szCs w:val="22"/>
          <w:lang w:val="lt-LT"/>
        </w:rPr>
        <w:t>sudarys galimybes m</w:t>
      </w:r>
      <w:r w:rsidR="00AC66D0" w:rsidRPr="00AC66D0">
        <w:rPr>
          <w:sz w:val="22"/>
          <w:szCs w:val="22"/>
          <w:lang w:val="lt-LT"/>
        </w:rPr>
        <w:t>ažin</w:t>
      </w:r>
      <w:r w:rsidR="00AC66D0" w:rsidRPr="00AC66D0">
        <w:rPr>
          <w:sz w:val="22"/>
          <w:szCs w:val="22"/>
          <w:lang w:val="lt-LT"/>
        </w:rPr>
        <w:t>ti aplinkos taršą,</w:t>
      </w:r>
      <w:r w:rsidR="00AC66D0" w:rsidRPr="00AC66D0">
        <w:rPr>
          <w:sz w:val="22"/>
          <w:szCs w:val="22"/>
          <w:lang w:val="lt-LT"/>
        </w:rPr>
        <w:t xml:space="preserve"> racionaliai naudo</w:t>
      </w:r>
      <w:r w:rsidR="00AC66D0" w:rsidRPr="00AC66D0">
        <w:rPr>
          <w:sz w:val="22"/>
          <w:szCs w:val="22"/>
          <w:lang w:val="lt-LT"/>
        </w:rPr>
        <w:t>ti vandens išteklius, u</w:t>
      </w:r>
      <w:r w:rsidR="00AC66D0" w:rsidRPr="00AC66D0">
        <w:rPr>
          <w:sz w:val="22"/>
          <w:szCs w:val="22"/>
          <w:lang w:val="lt-LT"/>
        </w:rPr>
        <w:t>žtikrint</w:t>
      </w:r>
      <w:r w:rsidR="00AC66D0">
        <w:rPr>
          <w:sz w:val="22"/>
          <w:szCs w:val="22"/>
          <w:lang w:val="lt-LT"/>
        </w:rPr>
        <w:t>i paslaugų kokybės reikalavimus.</w:t>
      </w:r>
      <w:r w:rsidR="00AC66D0" w:rsidRPr="00AC66D0">
        <w:rPr>
          <w:sz w:val="22"/>
          <w:szCs w:val="22"/>
          <w:lang w:val="lt-LT"/>
        </w:rPr>
        <w:t xml:space="preserve"> </w:t>
      </w:r>
    </w:p>
    <w:p w:rsidR="00AB4B99" w:rsidRPr="00AB4B99" w:rsidRDefault="00AB4B99" w:rsidP="00AB4B99">
      <w:pPr>
        <w:tabs>
          <w:tab w:val="left" w:pos="720"/>
          <w:tab w:val="num" w:pos="3960"/>
        </w:tabs>
        <w:spacing w:line="360" w:lineRule="auto"/>
        <w:ind w:firstLine="709"/>
        <w:jc w:val="both"/>
        <w:rPr>
          <w:b/>
          <w:lang w:val="lt-LT"/>
        </w:rPr>
      </w:pPr>
      <w:r w:rsidRPr="00AB4B99">
        <w:rPr>
          <w:sz w:val="22"/>
          <w:szCs w:val="22"/>
          <w:lang w:val="lt-LT"/>
        </w:rPr>
        <w:t> Neigiamos pasekmės – padidės paslaugų kaina.</w:t>
      </w:r>
    </w:p>
    <w:p w:rsidR="00746386" w:rsidRDefault="00BF2A61" w:rsidP="00AC06DE">
      <w:pPr>
        <w:tabs>
          <w:tab w:val="num" w:pos="0"/>
          <w:tab w:val="left" w:pos="720"/>
        </w:tabs>
        <w:spacing w:line="360" w:lineRule="auto"/>
        <w:rPr>
          <w:b/>
          <w:lang w:val="lt-LT"/>
        </w:rPr>
      </w:pPr>
      <w:r>
        <w:rPr>
          <w:b/>
          <w:lang w:val="lt-LT"/>
        </w:rPr>
        <w:tab/>
      </w:r>
      <w:r w:rsidR="00746386" w:rsidRPr="00FB3A04">
        <w:rPr>
          <w:b/>
          <w:lang w:val="lt-LT"/>
        </w:rPr>
        <w:t xml:space="preserve">4. Priemonės </w:t>
      </w:r>
      <w:r w:rsidR="007F3552">
        <w:rPr>
          <w:b/>
          <w:lang w:val="lt-LT"/>
        </w:rPr>
        <w:t>sprendimui</w:t>
      </w:r>
      <w:r w:rsidR="00324347">
        <w:rPr>
          <w:b/>
          <w:lang w:val="lt-LT"/>
        </w:rPr>
        <w:t xml:space="preserve"> įgyvendinti</w:t>
      </w:r>
      <w:r w:rsidR="005B59C0">
        <w:rPr>
          <w:b/>
          <w:lang w:val="lt-LT"/>
        </w:rPr>
        <w:t xml:space="preserve"> </w:t>
      </w:r>
    </w:p>
    <w:p w:rsidR="005D3C1E" w:rsidRPr="00363F6F" w:rsidRDefault="00AC66D0" w:rsidP="00363F6F">
      <w:pPr>
        <w:tabs>
          <w:tab w:val="left" w:pos="1296"/>
        </w:tabs>
        <w:spacing w:after="160" w:line="360" w:lineRule="auto"/>
        <w:ind w:firstLine="709"/>
        <w:contextualSpacing/>
        <w:jc w:val="both"/>
        <w:rPr>
          <w:rFonts w:eastAsia="Calibri"/>
          <w:lang w:val="lt-LT"/>
        </w:rPr>
      </w:pPr>
      <w:r>
        <w:rPr>
          <w:lang w:val="lt-LT"/>
        </w:rPr>
        <w:t>Vykdyti teisės aktą.</w:t>
      </w:r>
    </w:p>
    <w:p w:rsidR="008443D6" w:rsidRPr="008443D6" w:rsidRDefault="00746386" w:rsidP="005D3C1E">
      <w:pPr>
        <w:tabs>
          <w:tab w:val="left" w:pos="720"/>
          <w:tab w:val="num" w:pos="3960"/>
        </w:tabs>
        <w:spacing w:line="360" w:lineRule="auto"/>
        <w:ind w:firstLine="709"/>
        <w:rPr>
          <w:b/>
          <w:lang w:val="lt-LT"/>
        </w:rPr>
      </w:pPr>
      <w:r w:rsidRPr="00FB3A04">
        <w:rPr>
          <w:b/>
          <w:lang w:val="lt-LT"/>
        </w:rPr>
        <w:t>5.</w:t>
      </w:r>
      <w:r w:rsidR="008B5A5F">
        <w:rPr>
          <w:b/>
          <w:lang w:val="lt-LT"/>
        </w:rPr>
        <w:t xml:space="preserve"> </w:t>
      </w:r>
      <w:r w:rsidRPr="00FB3A04">
        <w:rPr>
          <w:b/>
          <w:lang w:val="lt-LT"/>
        </w:rPr>
        <w:t>Lėšų poreikis ir jų šaltiniai (prireikus skaičiavimai ir išlaidų sąmatos)</w:t>
      </w:r>
      <w:r w:rsidR="00BC5BF6">
        <w:rPr>
          <w:lang w:val="lt-LT"/>
        </w:rPr>
        <w:t xml:space="preserve"> </w:t>
      </w:r>
    </w:p>
    <w:p w:rsidR="006E03DF" w:rsidRPr="00185F84" w:rsidRDefault="00363F6F" w:rsidP="00185F84">
      <w:pPr>
        <w:tabs>
          <w:tab w:val="left" w:pos="720"/>
          <w:tab w:val="num" w:pos="3960"/>
        </w:tabs>
        <w:spacing w:line="360" w:lineRule="auto"/>
        <w:ind w:firstLine="720"/>
        <w:jc w:val="both"/>
        <w:rPr>
          <w:lang w:val="lt-LT"/>
        </w:rPr>
      </w:pPr>
      <w:r>
        <w:rPr>
          <w:lang w:val="lt-LT"/>
        </w:rPr>
        <w:t>Lėš</w:t>
      </w:r>
      <w:r w:rsidR="00AC66D0">
        <w:rPr>
          <w:lang w:val="lt-LT"/>
        </w:rPr>
        <w:t>ų poreikio nėra.</w:t>
      </w:r>
      <w:r>
        <w:rPr>
          <w:lang w:val="lt-LT"/>
        </w:rPr>
        <w:t xml:space="preserve"> </w:t>
      </w:r>
    </w:p>
    <w:p w:rsidR="00126173" w:rsidRDefault="00BF2A61" w:rsidP="00126173">
      <w:pPr>
        <w:tabs>
          <w:tab w:val="left" w:pos="720"/>
          <w:tab w:val="num" w:pos="3960"/>
        </w:tabs>
        <w:spacing w:line="360" w:lineRule="auto"/>
        <w:rPr>
          <w:b/>
          <w:lang w:val="lt-LT"/>
        </w:rPr>
      </w:pPr>
      <w:r>
        <w:rPr>
          <w:b/>
          <w:lang w:val="lt-LT"/>
        </w:rPr>
        <w:tab/>
      </w:r>
      <w:r w:rsidR="00746386" w:rsidRPr="00FB3A04">
        <w:rPr>
          <w:b/>
          <w:lang w:val="lt-LT"/>
        </w:rPr>
        <w:t>6.</w:t>
      </w:r>
      <w:r w:rsidR="00F73236">
        <w:rPr>
          <w:b/>
          <w:lang w:val="lt-LT"/>
        </w:rPr>
        <w:t xml:space="preserve"> </w:t>
      </w:r>
      <w:r w:rsidR="00746386" w:rsidRPr="00FB3A04">
        <w:rPr>
          <w:b/>
          <w:lang w:val="lt-LT"/>
        </w:rPr>
        <w:t xml:space="preserve">Vykdytojai, įvykdymo terminai </w:t>
      </w:r>
    </w:p>
    <w:p w:rsidR="00322DC8" w:rsidRPr="00126173" w:rsidRDefault="00126173" w:rsidP="00126173">
      <w:pPr>
        <w:tabs>
          <w:tab w:val="left" w:pos="720"/>
          <w:tab w:val="num" w:pos="3960"/>
        </w:tabs>
        <w:spacing w:line="360" w:lineRule="auto"/>
        <w:ind w:firstLine="709"/>
        <w:rPr>
          <w:b/>
          <w:lang w:val="lt-LT"/>
        </w:rPr>
      </w:pPr>
      <w:r>
        <w:rPr>
          <w:iCs/>
          <w:lang w:val="lt-LT" w:eastAsia="lt-LT"/>
        </w:rPr>
        <w:t>U</w:t>
      </w:r>
      <w:r w:rsidR="00AC66D0">
        <w:rPr>
          <w:iCs/>
          <w:lang w:val="lt-LT" w:eastAsia="lt-LT"/>
        </w:rPr>
        <w:t>ždaro</w:t>
      </w:r>
      <w:r>
        <w:rPr>
          <w:iCs/>
          <w:lang w:val="lt-LT" w:eastAsia="lt-LT"/>
        </w:rPr>
        <w:t>ji</w:t>
      </w:r>
      <w:r w:rsidR="00AC66D0">
        <w:rPr>
          <w:iCs/>
          <w:lang w:val="lt-LT" w:eastAsia="lt-LT"/>
        </w:rPr>
        <w:t xml:space="preserve"> akcinė</w:t>
      </w:r>
      <w:r>
        <w:rPr>
          <w:iCs/>
          <w:lang w:val="lt-LT" w:eastAsia="lt-LT"/>
        </w:rPr>
        <w:t xml:space="preserve"> </w:t>
      </w:r>
      <w:r w:rsidR="00AC66D0">
        <w:rPr>
          <w:iCs/>
          <w:lang w:val="lt-LT" w:eastAsia="lt-LT"/>
        </w:rPr>
        <w:t>bendrovė „Molėtų vanduo“</w:t>
      </w:r>
      <w:r>
        <w:rPr>
          <w:iCs/>
          <w:lang w:val="lt-LT" w:eastAsia="lt-LT"/>
        </w:rPr>
        <w:t>.</w:t>
      </w:r>
      <w:r w:rsidR="00322DC8">
        <w:rPr>
          <w:b/>
          <w:bCs/>
        </w:rPr>
        <w:t> </w:t>
      </w:r>
    </w:p>
    <w:p w:rsidR="00322DC8" w:rsidRDefault="00322DC8" w:rsidP="00322DC8">
      <w:pPr>
        <w:spacing w:before="100" w:beforeAutospacing="1" w:after="100" w:afterAutospacing="1"/>
        <w:jc w:val="center"/>
      </w:pPr>
      <w:r>
        <w:t> </w:t>
      </w:r>
    </w:p>
    <w:sectPr w:rsidR="00322DC8" w:rsidSect="006A0028">
      <w:headerReference w:type="even" r:id="rId7"/>
      <w:headerReference w:type="default" r:id="rId8"/>
      <w:pgSz w:w="11906" w:h="16838"/>
      <w:pgMar w:top="851"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AAF" w:rsidRDefault="002B5AAF">
      <w:r>
        <w:separator/>
      </w:r>
    </w:p>
  </w:endnote>
  <w:endnote w:type="continuationSeparator" w:id="0">
    <w:p w:rsidR="002B5AAF" w:rsidRDefault="002B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AAF" w:rsidRDefault="002B5AAF">
      <w:r>
        <w:separator/>
      </w:r>
    </w:p>
  </w:footnote>
  <w:footnote w:type="continuationSeparator" w:id="0">
    <w:p w:rsidR="002B5AAF" w:rsidRDefault="002B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6173">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308E9"/>
    <w:multiLevelType w:val="hybridMultilevel"/>
    <w:tmpl w:val="02D29E40"/>
    <w:lvl w:ilvl="0" w:tplc="EA80EF6E">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2D04A05"/>
    <w:multiLevelType w:val="hybridMultilevel"/>
    <w:tmpl w:val="27EE3FD0"/>
    <w:lvl w:ilvl="0" w:tplc="573869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31671"/>
    <w:rsid w:val="000547F5"/>
    <w:rsid w:val="00055A23"/>
    <w:rsid w:val="00093E4A"/>
    <w:rsid w:val="000A6427"/>
    <w:rsid w:val="000B6F18"/>
    <w:rsid w:val="000C032D"/>
    <w:rsid w:val="000D3EF1"/>
    <w:rsid w:val="000E0553"/>
    <w:rsid w:val="000E07FF"/>
    <w:rsid w:val="000E699D"/>
    <w:rsid w:val="0010450A"/>
    <w:rsid w:val="00114D95"/>
    <w:rsid w:val="00126173"/>
    <w:rsid w:val="00131751"/>
    <w:rsid w:val="00156C45"/>
    <w:rsid w:val="00185F84"/>
    <w:rsid w:val="001B699C"/>
    <w:rsid w:val="001D7BB4"/>
    <w:rsid w:val="001F2C5A"/>
    <w:rsid w:val="001F3745"/>
    <w:rsid w:val="00201897"/>
    <w:rsid w:val="0020366D"/>
    <w:rsid w:val="00205F76"/>
    <w:rsid w:val="0021065E"/>
    <w:rsid w:val="0023042A"/>
    <w:rsid w:val="002361B3"/>
    <w:rsid w:val="0025330C"/>
    <w:rsid w:val="00271FDA"/>
    <w:rsid w:val="00274431"/>
    <w:rsid w:val="0027582C"/>
    <w:rsid w:val="002874A3"/>
    <w:rsid w:val="00287779"/>
    <w:rsid w:val="002A6F23"/>
    <w:rsid w:val="002B5AAF"/>
    <w:rsid w:val="002E3BA8"/>
    <w:rsid w:val="002F3FFB"/>
    <w:rsid w:val="002F44A2"/>
    <w:rsid w:val="0030368D"/>
    <w:rsid w:val="00312DAC"/>
    <w:rsid w:val="00313188"/>
    <w:rsid w:val="00322DC8"/>
    <w:rsid w:val="003234B1"/>
    <w:rsid w:val="00324347"/>
    <w:rsid w:val="00352627"/>
    <w:rsid w:val="00354445"/>
    <w:rsid w:val="00356321"/>
    <w:rsid w:val="0035708C"/>
    <w:rsid w:val="00357F94"/>
    <w:rsid w:val="00363F6F"/>
    <w:rsid w:val="003642EC"/>
    <w:rsid w:val="00367514"/>
    <w:rsid w:val="00367B2E"/>
    <w:rsid w:val="00380301"/>
    <w:rsid w:val="003931FD"/>
    <w:rsid w:val="003A3A77"/>
    <w:rsid w:val="003B541B"/>
    <w:rsid w:val="003C25B0"/>
    <w:rsid w:val="003C3D3C"/>
    <w:rsid w:val="003D0A30"/>
    <w:rsid w:val="003D5F65"/>
    <w:rsid w:val="003E0AAF"/>
    <w:rsid w:val="003F1BED"/>
    <w:rsid w:val="003F3EF1"/>
    <w:rsid w:val="004024BF"/>
    <w:rsid w:val="00420FF4"/>
    <w:rsid w:val="00424726"/>
    <w:rsid w:val="004352B1"/>
    <w:rsid w:val="00440843"/>
    <w:rsid w:val="0045277E"/>
    <w:rsid w:val="004544AC"/>
    <w:rsid w:val="004562A9"/>
    <w:rsid w:val="004575E0"/>
    <w:rsid w:val="0046258B"/>
    <w:rsid w:val="0048159A"/>
    <w:rsid w:val="00484587"/>
    <w:rsid w:val="0049309E"/>
    <w:rsid w:val="004961B9"/>
    <w:rsid w:val="004D05FB"/>
    <w:rsid w:val="004E6E8A"/>
    <w:rsid w:val="004F6A3A"/>
    <w:rsid w:val="004F6F61"/>
    <w:rsid w:val="00526E21"/>
    <w:rsid w:val="00537E94"/>
    <w:rsid w:val="00544BE7"/>
    <w:rsid w:val="0056357F"/>
    <w:rsid w:val="00574F38"/>
    <w:rsid w:val="00580D82"/>
    <w:rsid w:val="0058101B"/>
    <w:rsid w:val="00586AB0"/>
    <w:rsid w:val="00597170"/>
    <w:rsid w:val="005A2E0E"/>
    <w:rsid w:val="005A6C28"/>
    <w:rsid w:val="005B34EC"/>
    <w:rsid w:val="005B59C0"/>
    <w:rsid w:val="005C2FB6"/>
    <w:rsid w:val="005C3675"/>
    <w:rsid w:val="005C3ED0"/>
    <w:rsid w:val="005D3C1E"/>
    <w:rsid w:val="005E6581"/>
    <w:rsid w:val="0060764C"/>
    <w:rsid w:val="00612BC3"/>
    <w:rsid w:val="0062255A"/>
    <w:rsid w:val="006335AB"/>
    <w:rsid w:val="006400BC"/>
    <w:rsid w:val="00673B2B"/>
    <w:rsid w:val="006A0028"/>
    <w:rsid w:val="006C48B9"/>
    <w:rsid w:val="006E03DF"/>
    <w:rsid w:val="006E5E36"/>
    <w:rsid w:val="006F0329"/>
    <w:rsid w:val="00710A2A"/>
    <w:rsid w:val="00717A48"/>
    <w:rsid w:val="0072565B"/>
    <w:rsid w:val="00731F1B"/>
    <w:rsid w:val="00732C5F"/>
    <w:rsid w:val="007351C9"/>
    <w:rsid w:val="00746386"/>
    <w:rsid w:val="00750EE3"/>
    <w:rsid w:val="00770FD2"/>
    <w:rsid w:val="00776E04"/>
    <w:rsid w:val="00783E2C"/>
    <w:rsid w:val="0079068F"/>
    <w:rsid w:val="007A004E"/>
    <w:rsid w:val="007B6720"/>
    <w:rsid w:val="007D0CE9"/>
    <w:rsid w:val="007D167B"/>
    <w:rsid w:val="007E1CEE"/>
    <w:rsid w:val="007F3552"/>
    <w:rsid w:val="008245C5"/>
    <w:rsid w:val="0083046E"/>
    <w:rsid w:val="008316D0"/>
    <w:rsid w:val="00832633"/>
    <w:rsid w:val="008443D6"/>
    <w:rsid w:val="0084538A"/>
    <w:rsid w:val="00855E2B"/>
    <w:rsid w:val="00860F75"/>
    <w:rsid w:val="00867439"/>
    <w:rsid w:val="00871647"/>
    <w:rsid w:val="008738D9"/>
    <w:rsid w:val="0088104E"/>
    <w:rsid w:val="00882B33"/>
    <w:rsid w:val="00897B61"/>
    <w:rsid w:val="008B036C"/>
    <w:rsid w:val="008B5A5F"/>
    <w:rsid w:val="008C411E"/>
    <w:rsid w:val="008D04AA"/>
    <w:rsid w:val="008D5FAB"/>
    <w:rsid w:val="008D7AD8"/>
    <w:rsid w:val="0090771C"/>
    <w:rsid w:val="00917374"/>
    <w:rsid w:val="00921452"/>
    <w:rsid w:val="0093117B"/>
    <w:rsid w:val="00944829"/>
    <w:rsid w:val="009457C7"/>
    <w:rsid w:val="00956579"/>
    <w:rsid w:val="00957F63"/>
    <w:rsid w:val="00964248"/>
    <w:rsid w:val="00965079"/>
    <w:rsid w:val="00980A6F"/>
    <w:rsid w:val="009814E7"/>
    <w:rsid w:val="0098475E"/>
    <w:rsid w:val="009935C9"/>
    <w:rsid w:val="009A325B"/>
    <w:rsid w:val="009A6AE8"/>
    <w:rsid w:val="009B4A79"/>
    <w:rsid w:val="009C32F5"/>
    <w:rsid w:val="009C5DB9"/>
    <w:rsid w:val="009D13BF"/>
    <w:rsid w:val="009D7327"/>
    <w:rsid w:val="009E456F"/>
    <w:rsid w:val="00A02A5D"/>
    <w:rsid w:val="00A1649E"/>
    <w:rsid w:val="00A75F23"/>
    <w:rsid w:val="00A91484"/>
    <w:rsid w:val="00A9560C"/>
    <w:rsid w:val="00AA504D"/>
    <w:rsid w:val="00AA6D5A"/>
    <w:rsid w:val="00AB17BE"/>
    <w:rsid w:val="00AB4B99"/>
    <w:rsid w:val="00AC06DE"/>
    <w:rsid w:val="00AC66D0"/>
    <w:rsid w:val="00B0147A"/>
    <w:rsid w:val="00B0674F"/>
    <w:rsid w:val="00B075F5"/>
    <w:rsid w:val="00B20E30"/>
    <w:rsid w:val="00B40A5D"/>
    <w:rsid w:val="00B467A6"/>
    <w:rsid w:val="00B5135B"/>
    <w:rsid w:val="00B55724"/>
    <w:rsid w:val="00B67252"/>
    <w:rsid w:val="00B73A87"/>
    <w:rsid w:val="00BC2764"/>
    <w:rsid w:val="00BC31AD"/>
    <w:rsid w:val="00BC5BF6"/>
    <w:rsid w:val="00BD50FD"/>
    <w:rsid w:val="00BE55D6"/>
    <w:rsid w:val="00BF2A61"/>
    <w:rsid w:val="00C02831"/>
    <w:rsid w:val="00C06BA3"/>
    <w:rsid w:val="00C27F70"/>
    <w:rsid w:val="00C406E6"/>
    <w:rsid w:val="00C40FFF"/>
    <w:rsid w:val="00C42DDB"/>
    <w:rsid w:val="00C44EBB"/>
    <w:rsid w:val="00C55287"/>
    <w:rsid w:val="00C70A30"/>
    <w:rsid w:val="00C70D36"/>
    <w:rsid w:val="00C81D81"/>
    <w:rsid w:val="00C84B9F"/>
    <w:rsid w:val="00CA4C4B"/>
    <w:rsid w:val="00CA7B97"/>
    <w:rsid w:val="00CB023F"/>
    <w:rsid w:val="00CB31C3"/>
    <w:rsid w:val="00CB7434"/>
    <w:rsid w:val="00CB7ACF"/>
    <w:rsid w:val="00CC44AD"/>
    <w:rsid w:val="00CC50BC"/>
    <w:rsid w:val="00CD3F91"/>
    <w:rsid w:val="00CD4F95"/>
    <w:rsid w:val="00D20E36"/>
    <w:rsid w:val="00D23ED3"/>
    <w:rsid w:val="00D36EAB"/>
    <w:rsid w:val="00D44CCE"/>
    <w:rsid w:val="00D46CD3"/>
    <w:rsid w:val="00D627EA"/>
    <w:rsid w:val="00D8032D"/>
    <w:rsid w:val="00D83975"/>
    <w:rsid w:val="00D94974"/>
    <w:rsid w:val="00DA0080"/>
    <w:rsid w:val="00DA793D"/>
    <w:rsid w:val="00DB10B2"/>
    <w:rsid w:val="00DD7F7C"/>
    <w:rsid w:val="00DE17BD"/>
    <w:rsid w:val="00DE6EDE"/>
    <w:rsid w:val="00DF15FE"/>
    <w:rsid w:val="00DF483B"/>
    <w:rsid w:val="00E1529D"/>
    <w:rsid w:val="00E17543"/>
    <w:rsid w:val="00E32DA4"/>
    <w:rsid w:val="00E46F20"/>
    <w:rsid w:val="00E51AE0"/>
    <w:rsid w:val="00E65270"/>
    <w:rsid w:val="00E942CC"/>
    <w:rsid w:val="00EA7650"/>
    <w:rsid w:val="00EB4DCA"/>
    <w:rsid w:val="00ED61C7"/>
    <w:rsid w:val="00EE10BA"/>
    <w:rsid w:val="00EE2B60"/>
    <w:rsid w:val="00EF39F9"/>
    <w:rsid w:val="00F367FE"/>
    <w:rsid w:val="00F43B63"/>
    <w:rsid w:val="00F67CF6"/>
    <w:rsid w:val="00F73236"/>
    <w:rsid w:val="00F735FB"/>
    <w:rsid w:val="00F845DC"/>
    <w:rsid w:val="00F966C1"/>
    <w:rsid w:val="00FA1E91"/>
    <w:rsid w:val="00FB3A04"/>
    <w:rsid w:val="00FB4129"/>
    <w:rsid w:val="00FC1BA9"/>
    <w:rsid w:val="00FE36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59C6B"/>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paragraph" w:styleId="Antrat1">
    <w:name w:val="heading 1"/>
    <w:basedOn w:val="prastasis"/>
    <w:next w:val="prastasis"/>
    <w:link w:val="Antrat1Diagrama"/>
    <w:qFormat/>
    <w:rsid w:val="00580D8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B5135B"/>
    <w:pPr>
      <w:ind w:left="720"/>
      <w:contextualSpacing/>
    </w:pPr>
  </w:style>
  <w:style w:type="paragraph" w:customStyle="1" w:styleId="bodytext">
    <w:name w:val="bodytext"/>
    <w:basedOn w:val="prastasis"/>
    <w:rsid w:val="00322DC8"/>
    <w:pPr>
      <w:spacing w:before="100" w:beforeAutospacing="1" w:after="100" w:afterAutospacing="1"/>
    </w:pPr>
    <w:rPr>
      <w:lang w:val="lt-LT" w:eastAsia="lt-LT"/>
    </w:rPr>
  </w:style>
  <w:style w:type="paragraph" w:customStyle="1" w:styleId="Default">
    <w:name w:val="Default"/>
    <w:rsid w:val="00484587"/>
    <w:pPr>
      <w:autoSpaceDE w:val="0"/>
      <w:autoSpaceDN w:val="0"/>
      <w:adjustRightInd w:val="0"/>
    </w:pPr>
    <w:rPr>
      <w:iCs/>
      <w:color w:val="000000"/>
      <w:sz w:val="24"/>
      <w:szCs w:val="24"/>
    </w:rPr>
  </w:style>
  <w:style w:type="paragraph" w:styleId="Pagrindiniotekstotrauka3">
    <w:name w:val="Body Text Indent 3"/>
    <w:basedOn w:val="prastasis"/>
    <w:link w:val="Pagrindiniotekstotrauka3Diagrama"/>
    <w:rsid w:val="00980A6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980A6F"/>
    <w:rPr>
      <w:sz w:val="16"/>
      <w:szCs w:val="16"/>
      <w:lang w:val="en-GB" w:eastAsia="en-US"/>
    </w:rPr>
  </w:style>
  <w:style w:type="character" w:customStyle="1" w:styleId="Antrat1Diagrama">
    <w:name w:val="Antraštė 1 Diagrama"/>
    <w:basedOn w:val="Numatytasispastraiposriftas"/>
    <w:link w:val="Antrat1"/>
    <w:rsid w:val="00580D82"/>
    <w:rPr>
      <w:rFonts w:asciiTheme="majorHAnsi" w:eastAsiaTheme="majorEastAsia" w:hAnsiTheme="majorHAnsi" w:cstheme="majorBidi"/>
      <w:color w:val="2E74B5"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4159">
      <w:bodyDiv w:val="1"/>
      <w:marLeft w:val="0"/>
      <w:marRight w:val="0"/>
      <w:marTop w:val="0"/>
      <w:marBottom w:val="0"/>
      <w:divBdr>
        <w:top w:val="none" w:sz="0" w:space="0" w:color="auto"/>
        <w:left w:val="none" w:sz="0" w:space="0" w:color="auto"/>
        <w:bottom w:val="none" w:sz="0" w:space="0" w:color="auto"/>
        <w:right w:val="none" w:sz="0" w:space="0" w:color="auto"/>
      </w:divBdr>
      <w:divsChild>
        <w:div w:id="478886110">
          <w:marLeft w:val="0"/>
          <w:marRight w:val="0"/>
          <w:marTop w:val="0"/>
          <w:marBottom w:val="0"/>
          <w:divBdr>
            <w:top w:val="none" w:sz="0" w:space="0" w:color="auto"/>
            <w:left w:val="none" w:sz="0" w:space="0" w:color="auto"/>
            <w:bottom w:val="none" w:sz="0" w:space="0" w:color="auto"/>
            <w:right w:val="none" w:sz="0" w:space="0" w:color="auto"/>
          </w:divBdr>
        </w:div>
      </w:divsChild>
    </w:div>
    <w:div w:id="257714978">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4681</Words>
  <Characters>2669</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5</cp:revision>
  <cp:lastPrinted>2016-11-14T11:59:00Z</cp:lastPrinted>
  <dcterms:created xsi:type="dcterms:W3CDTF">2018-02-13T08:26:00Z</dcterms:created>
  <dcterms:modified xsi:type="dcterms:W3CDTF">2018-02-13T13:47:00Z</dcterms:modified>
</cp:coreProperties>
</file>