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CC7E7" w14:textId="5B3DD52F" w:rsidR="00106C1A" w:rsidRDefault="00106C1A" w:rsidP="00106C1A">
      <w:pPr>
        <w:pStyle w:val="Antrats"/>
        <w:jc w:val="center"/>
        <w:rPr>
          <w:rFonts w:ascii="Times New Roman" w:hAnsi="Times New Roman"/>
          <w:b/>
          <w:bCs/>
          <w:color w:val="000000"/>
          <w:szCs w:val="24"/>
          <w:lang w:eastAsia="en-US"/>
        </w:rPr>
      </w:pPr>
      <w:r>
        <w:rPr>
          <w:rFonts w:ascii="Times New Roman" w:hAnsi="Times New Roman"/>
          <w:b/>
          <w:bCs/>
          <w:color w:val="000000"/>
          <w:szCs w:val="24"/>
          <w:lang w:eastAsia="en-US"/>
        </w:rPr>
        <w:t>LAZDIJŲ RAJONO SAVIVALDYBĖS TARYBOS SPRENDIMO „</w:t>
      </w:r>
      <w:r>
        <w:rPr>
          <w:b/>
          <w:szCs w:val="24"/>
        </w:rPr>
        <w:t xml:space="preserve">DĖL VIEŠOSIOS ĮSTAIGOS „LAZDIJŲ </w:t>
      </w:r>
      <w:r>
        <w:rPr>
          <w:b/>
        </w:rPr>
        <w:t>LIGONINĖ</w:t>
      </w:r>
      <w:r>
        <w:rPr>
          <w:b/>
          <w:noProof/>
          <w:szCs w:val="24"/>
        </w:rPr>
        <w:t xml:space="preserve">“ DIREKTORIAUS </w:t>
      </w:r>
      <w:r w:rsidRPr="00F340B3">
        <w:rPr>
          <w:b/>
          <w:noProof/>
          <w:szCs w:val="24"/>
        </w:rPr>
        <w:t xml:space="preserve">MĖNESINIO DARBO UŽMOKESČIO  </w:t>
      </w:r>
      <w:r>
        <w:rPr>
          <w:b/>
          <w:noProof/>
          <w:szCs w:val="24"/>
        </w:rPr>
        <w:t>KINTAMOSIOS DALIES DYDŽIO NUSTATYMO</w:t>
      </w:r>
      <w:r>
        <w:rPr>
          <w:rFonts w:ascii="Times New Roman" w:hAnsi="Times New Roman"/>
          <w:b/>
          <w:bCs/>
          <w:noProof/>
          <w:color w:val="000000"/>
          <w:szCs w:val="24"/>
          <w:lang w:eastAsia="en-US"/>
        </w:rPr>
        <w:t>“</w:t>
      </w:r>
      <w:r>
        <w:rPr>
          <w:rFonts w:ascii="Times New Roman" w:hAnsi="Times New Roman"/>
          <w:b/>
          <w:bCs/>
          <w:color w:val="000000"/>
          <w:szCs w:val="24"/>
          <w:lang w:eastAsia="en-US"/>
        </w:rPr>
        <w:t xml:space="preserve"> PROJEKTO</w:t>
      </w:r>
    </w:p>
    <w:p w14:paraId="53CDB738" w14:textId="77777777" w:rsidR="00106C1A" w:rsidRDefault="00106C1A" w:rsidP="00106C1A">
      <w:pPr>
        <w:pStyle w:val="Antrats"/>
        <w:jc w:val="center"/>
        <w:rPr>
          <w:rFonts w:ascii="Times New Roman" w:hAnsi="Times New Roman"/>
          <w:b/>
          <w:bCs/>
          <w:color w:val="000000"/>
          <w:szCs w:val="24"/>
          <w:lang w:eastAsia="en-US"/>
        </w:rPr>
      </w:pPr>
      <w:r>
        <w:rPr>
          <w:rFonts w:ascii="Times New Roman" w:hAnsi="Times New Roman"/>
          <w:b/>
          <w:bCs/>
          <w:color w:val="000000"/>
          <w:szCs w:val="24"/>
          <w:lang w:eastAsia="en-US"/>
        </w:rPr>
        <w:t>AIŠKINAMASIS RAŠTAS</w:t>
      </w:r>
    </w:p>
    <w:p w14:paraId="15FAB211" w14:textId="77777777" w:rsidR="00106C1A" w:rsidRDefault="00106C1A" w:rsidP="00106C1A">
      <w:pPr>
        <w:pStyle w:val="Antrats"/>
        <w:spacing w:line="276" w:lineRule="auto"/>
        <w:jc w:val="center"/>
        <w:rPr>
          <w:rFonts w:ascii="Times New Roman" w:hAnsi="Times New Roman"/>
          <w:b/>
          <w:bCs/>
          <w:color w:val="000000"/>
          <w:szCs w:val="24"/>
          <w:lang w:eastAsia="en-US"/>
        </w:rPr>
      </w:pPr>
    </w:p>
    <w:p w14:paraId="4D8DFE08" w14:textId="593F52E6" w:rsidR="00106C1A" w:rsidRDefault="00106C1A" w:rsidP="00106C1A">
      <w:pPr>
        <w:pStyle w:val="Antrats"/>
        <w:spacing w:line="276" w:lineRule="auto"/>
        <w:jc w:val="center"/>
        <w:rPr>
          <w:rFonts w:ascii="Times New Roman" w:hAnsi="Times New Roman"/>
          <w:bCs/>
          <w:color w:val="000000"/>
          <w:szCs w:val="24"/>
          <w:lang w:eastAsia="en-US"/>
        </w:rPr>
      </w:pPr>
      <w:r>
        <w:rPr>
          <w:rFonts w:ascii="Times New Roman" w:hAnsi="Times New Roman"/>
          <w:bCs/>
          <w:color w:val="000000"/>
          <w:szCs w:val="24"/>
          <w:lang w:eastAsia="en-US"/>
        </w:rPr>
        <w:t>2022-05-11</w:t>
      </w:r>
    </w:p>
    <w:p w14:paraId="5B575A29" w14:textId="77777777" w:rsidR="00106C1A" w:rsidRDefault="00106C1A" w:rsidP="00106C1A">
      <w:pPr>
        <w:pStyle w:val="Antrats"/>
        <w:spacing w:line="276" w:lineRule="auto"/>
        <w:jc w:val="center"/>
        <w:rPr>
          <w:rFonts w:ascii="Times New Roman" w:hAnsi="Times New Roman"/>
          <w:bCs/>
          <w:color w:val="000000"/>
          <w:szCs w:val="24"/>
          <w:lang w:eastAsia="en-US"/>
        </w:rPr>
      </w:pPr>
    </w:p>
    <w:p w14:paraId="0183C71B" w14:textId="6F457A58" w:rsidR="00AC1955" w:rsidRDefault="00106C1A" w:rsidP="00AC1955">
      <w:pPr>
        <w:pStyle w:val="Antrats"/>
        <w:spacing w:line="360" w:lineRule="auto"/>
        <w:ind w:firstLine="567"/>
        <w:jc w:val="both"/>
        <w:rPr>
          <w:rFonts w:asciiTheme="majorBidi" w:hAnsiTheme="majorBidi" w:cstheme="majorBidi"/>
          <w:color w:val="000000" w:themeColor="text1"/>
          <w:lang w:eastAsia="en-US"/>
        </w:rPr>
      </w:pPr>
      <w:r>
        <w:rPr>
          <w:lang w:eastAsia="en-US"/>
        </w:rPr>
        <w:t xml:space="preserve">Tarybos sprendimo projektas parengtas vadovaujantis </w:t>
      </w:r>
      <w:r w:rsidRPr="003B104F">
        <w:rPr>
          <w:lang w:eastAsia="en-US"/>
        </w:rPr>
        <w:t>Lietuvos Respublikos vietos savivaldos įstatymo 16 straipsnio 4 dalimi,</w:t>
      </w:r>
      <w:r w:rsidRPr="003B104F">
        <w:rPr>
          <w:color w:val="404040"/>
          <w:lang w:eastAsia="en-US"/>
        </w:rPr>
        <w:t xml:space="preserve"> </w:t>
      </w:r>
      <w:r w:rsidRPr="003B104F">
        <w:rPr>
          <w:lang w:eastAsia="en-US"/>
        </w:rPr>
        <w:t xml:space="preserve">Lietuvos Respublikos sveikatos priežiūros įstaigų įstatymo </w:t>
      </w:r>
      <w:r>
        <w:rPr>
          <w:rFonts w:asciiTheme="majorBidi" w:hAnsiTheme="majorBidi" w:cstheme="majorBidi"/>
          <w:color w:val="000000" w:themeColor="text1"/>
          <w:lang w:eastAsia="en-US"/>
        </w:rPr>
        <w:t>15</w:t>
      </w:r>
      <w:r>
        <w:rPr>
          <w:rFonts w:asciiTheme="majorBidi" w:hAnsiTheme="majorBidi" w:cstheme="majorBidi"/>
          <w:color w:val="000000" w:themeColor="text1"/>
          <w:vertAlign w:val="superscript"/>
          <w:lang w:eastAsia="en-US"/>
        </w:rPr>
        <w:t>1</w:t>
      </w:r>
      <w:r>
        <w:rPr>
          <w:rFonts w:asciiTheme="majorBidi" w:hAnsiTheme="majorBidi" w:cstheme="majorBidi"/>
          <w:color w:val="000000" w:themeColor="text1"/>
          <w:lang w:eastAsia="en-US"/>
        </w:rPr>
        <w:t xml:space="preserve"> straipsnio 1, 10 ir 11 punktais, </w:t>
      </w:r>
      <w:r w:rsidR="008118E8" w:rsidRPr="003B104F">
        <w:rPr>
          <w:rFonts w:cs="TimesLT"/>
          <w:lang w:eastAsia="en-US"/>
        </w:rPr>
        <w:t>Lietuvos nacionalinės sveikatos sistemos viešųjų įstaigų vadovų ir jų pavaduotojų mėnesinio darbo užmokesčio kintamosios dalies dydžio nustatymo tvarkos aprašo, patvirtinto Lietuvos Respublikos sveikatos apsaugos ministro</w:t>
      </w:r>
      <w:r w:rsidR="008118E8">
        <w:rPr>
          <w:rFonts w:cs="TimesLT"/>
          <w:lang w:eastAsia="en-US"/>
        </w:rPr>
        <w:t xml:space="preserve"> </w:t>
      </w:r>
      <w:r w:rsidR="008118E8" w:rsidRPr="003B104F">
        <w:rPr>
          <w:rFonts w:cs="TimesLT"/>
          <w:lang w:eastAsia="en-US"/>
        </w:rPr>
        <w:t>2019 m. kovo 25 d. įsakymu Nr. V-361 „Dėl Lietuvos nacionalinės sveikatos sistemos viešųjų įstaigų vadovų ir jų pavaduotojų mėnesinio darbo užmokesčio kintamosios dalies dydžio nustatymo tvarkos aprašo patvirtinimo</w:t>
      </w:r>
      <w:r w:rsidR="008118E8" w:rsidRPr="003B104F">
        <w:rPr>
          <w:rFonts w:cs="TimesLT"/>
          <w:color w:val="000000"/>
          <w:lang w:eastAsia="en-US"/>
        </w:rPr>
        <w:t>“</w:t>
      </w:r>
      <w:r w:rsidR="008118E8" w:rsidRPr="003B104F">
        <w:rPr>
          <w:rFonts w:cs="TimesLT"/>
          <w:lang w:eastAsia="en-US"/>
        </w:rPr>
        <w:t>, 4 ir 6 punktais</w:t>
      </w:r>
      <w:r w:rsidR="008118E8" w:rsidRPr="003B104F">
        <w:rPr>
          <w:color w:val="000000"/>
          <w:lang w:eastAsia="en-US"/>
        </w:rPr>
        <w:t xml:space="preserve">, </w:t>
      </w:r>
      <w:r w:rsidR="008118E8" w:rsidRPr="003B104F">
        <w:rPr>
          <w:rFonts w:cs="TimesLT"/>
          <w:lang w:eastAsia="en-US"/>
        </w:rPr>
        <w:t>atsižvelg</w:t>
      </w:r>
      <w:r w:rsidR="008118E8">
        <w:rPr>
          <w:rFonts w:cs="TimesLT"/>
          <w:lang w:eastAsia="en-US"/>
        </w:rPr>
        <w:t>iant</w:t>
      </w:r>
      <w:r w:rsidR="008118E8" w:rsidRPr="003B104F">
        <w:rPr>
          <w:rFonts w:cs="TimesLT"/>
          <w:lang w:eastAsia="en-US"/>
        </w:rPr>
        <w:t xml:space="preserve"> į </w:t>
      </w:r>
      <w:r w:rsidR="008118E8">
        <w:rPr>
          <w:rFonts w:asciiTheme="majorBidi" w:hAnsiTheme="majorBidi" w:cstheme="majorBidi"/>
          <w:color w:val="000000" w:themeColor="text1"/>
          <w:lang w:eastAsia="en-US"/>
        </w:rPr>
        <w:t xml:space="preserve">Lietuvos nacionalinės sveikatos sistemos viešųjų ir biudžetinių įstaigų, teikiančių asmens sveikatos priežiūros paslaugas, veiklos rezultatų vertinimo rodiklių 2021 metų siektinas reikšmes, patvirtintas Lietuvos Respublikos sveikatos </w:t>
      </w:r>
      <w:r w:rsidR="008118E8" w:rsidRPr="00AA07DF">
        <w:rPr>
          <w:rFonts w:asciiTheme="majorBidi" w:hAnsiTheme="majorBidi" w:cstheme="majorBidi"/>
          <w:color w:val="000000" w:themeColor="text1"/>
          <w:lang w:eastAsia="en-US"/>
        </w:rPr>
        <w:t xml:space="preserve">apsaugos ministro 2021 m. rugpjūčio 30 d. įsakymu Nr. V-1964 „Dėl Lietuvos nacionalinės sveikatos sistemos viešųjų ir biudžetinių įstaigų, teikiančių asmens sveikatos priežiūros paslaugas, veiklos </w:t>
      </w:r>
      <w:r w:rsidR="008118E8">
        <w:rPr>
          <w:rFonts w:asciiTheme="majorBidi" w:hAnsiTheme="majorBidi" w:cstheme="majorBidi"/>
          <w:color w:val="000000" w:themeColor="text1"/>
          <w:lang w:eastAsia="en-US"/>
        </w:rPr>
        <w:t>rezultatų vertinimo rodiklių 2021 metų siektinų reikšmių patvirtinimo“</w:t>
      </w:r>
      <w:r w:rsidR="00903B11">
        <w:rPr>
          <w:rFonts w:asciiTheme="majorBidi" w:hAnsiTheme="majorBidi" w:cstheme="majorBidi"/>
          <w:color w:val="000000" w:themeColor="text1"/>
          <w:lang w:eastAsia="en-US"/>
        </w:rPr>
        <w:t xml:space="preserve"> ir Lazdijų rajono savivaldybės tarybos 2022 m. balandžio 19 d. sprendim</w:t>
      </w:r>
      <w:r w:rsidR="00AA2407">
        <w:rPr>
          <w:rFonts w:asciiTheme="majorBidi" w:hAnsiTheme="majorBidi" w:cstheme="majorBidi"/>
          <w:color w:val="000000" w:themeColor="text1"/>
          <w:lang w:eastAsia="en-US"/>
        </w:rPr>
        <w:t>ą</w:t>
      </w:r>
      <w:r w:rsidR="00903B11">
        <w:rPr>
          <w:rFonts w:asciiTheme="majorBidi" w:hAnsiTheme="majorBidi" w:cstheme="majorBidi"/>
          <w:color w:val="000000" w:themeColor="text1"/>
          <w:lang w:eastAsia="en-US"/>
        </w:rPr>
        <w:t xml:space="preserve"> Nr. 5TS-1040 „Dėl pritarimo VšĮ „Lazdijų ligoninė“ 2021 metų veiklos ataskaitai ir 2021 metų metinių finansinių ataskaitų rinkinio patvirtinimo“</w:t>
      </w:r>
      <w:r w:rsidR="008118E8">
        <w:rPr>
          <w:rFonts w:asciiTheme="majorBidi" w:hAnsiTheme="majorBidi" w:cstheme="majorBidi"/>
          <w:color w:val="000000" w:themeColor="text1"/>
          <w:lang w:eastAsia="en-US"/>
        </w:rPr>
        <w:t>.</w:t>
      </w:r>
    </w:p>
    <w:p w14:paraId="22377B04" w14:textId="3779FD19" w:rsidR="00AC1955" w:rsidRDefault="00106C1A" w:rsidP="00AC1955">
      <w:pPr>
        <w:pStyle w:val="Antrats"/>
        <w:spacing w:line="360" w:lineRule="auto"/>
        <w:ind w:firstLine="567"/>
        <w:jc w:val="both"/>
        <w:rPr>
          <w:b/>
        </w:rPr>
      </w:pPr>
      <w:r w:rsidRPr="003B104F">
        <w:rPr>
          <w:b/>
        </w:rPr>
        <w:t xml:space="preserve">Parengto projekto tikslas </w:t>
      </w:r>
    </w:p>
    <w:p w14:paraId="32CE56FB" w14:textId="77777777" w:rsidR="00AA2407" w:rsidRPr="002567BD" w:rsidRDefault="00106C1A" w:rsidP="00AC1955">
      <w:pPr>
        <w:pStyle w:val="Antrats"/>
        <w:spacing w:line="360" w:lineRule="auto"/>
        <w:ind w:firstLine="567"/>
        <w:jc w:val="both"/>
        <w:rPr>
          <w:rFonts w:asciiTheme="majorBidi" w:hAnsiTheme="majorBidi" w:cstheme="majorBidi"/>
          <w:color w:val="000000" w:themeColor="text1"/>
          <w:lang w:eastAsia="en-US"/>
        </w:rPr>
      </w:pPr>
      <w:r w:rsidRPr="003B104F">
        <w:rPr>
          <w:lang w:eastAsia="en-US"/>
        </w:rPr>
        <w:t xml:space="preserve">Nustatyti VšĮ </w:t>
      </w:r>
      <w:r>
        <w:rPr>
          <w:lang w:eastAsia="en-US"/>
        </w:rPr>
        <w:t>„Lazdijų</w:t>
      </w:r>
      <w:r w:rsidRPr="003B104F">
        <w:rPr>
          <w:lang w:eastAsia="en-US"/>
        </w:rPr>
        <w:t xml:space="preserve"> </w:t>
      </w:r>
      <w:r>
        <w:rPr>
          <w:lang w:eastAsia="en-US"/>
        </w:rPr>
        <w:t xml:space="preserve">ligoninė“ </w:t>
      </w:r>
      <w:r w:rsidR="00AA2407">
        <w:rPr>
          <w:rFonts w:eastAsia="Calibri"/>
          <w:color w:val="000000"/>
          <w:lang w:eastAsia="x-none"/>
        </w:rPr>
        <w:t>direktoriui</w:t>
      </w:r>
      <w:r w:rsidRPr="003B104F">
        <w:rPr>
          <w:rFonts w:eastAsia="Calibri"/>
          <w:color w:val="000000"/>
          <w:lang w:eastAsia="x-none"/>
        </w:rPr>
        <w:t xml:space="preserve"> nuo 202</w:t>
      </w:r>
      <w:r>
        <w:rPr>
          <w:rFonts w:eastAsia="Calibri"/>
          <w:color w:val="000000"/>
          <w:lang w:eastAsia="x-none"/>
        </w:rPr>
        <w:t>2</w:t>
      </w:r>
      <w:r w:rsidRPr="003B104F">
        <w:rPr>
          <w:rFonts w:eastAsia="Calibri"/>
          <w:color w:val="000000"/>
          <w:lang w:eastAsia="x-none"/>
        </w:rPr>
        <w:t xml:space="preserve"> m. gegužės 1 d. iki 202</w:t>
      </w:r>
      <w:r>
        <w:rPr>
          <w:rFonts w:eastAsia="Calibri"/>
          <w:color w:val="000000"/>
          <w:lang w:eastAsia="x-none"/>
        </w:rPr>
        <w:t>3</w:t>
      </w:r>
      <w:r w:rsidRPr="003B104F">
        <w:rPr>
          <w:rFonts w:eastAsia="Calibri"/>
          <w:color w:val="000000"/>
          <w:lang w:eastAsia="x-none"/>
        </w:rPr>
        <w:t xml:space="preserve"> m. balandžio 30 d. </w:t>
      </w:r>
      <w:r w:rsidR="00AA2407" w:rsidRPr="002567BD">
        <w:rPr>
          <w:rFonts w:asciiTheme="majorBidi" w:hAnsiTheme="majorBidi" w:cstheme="majorBidi"/>
          <w:color w:val="000000" w:themeColor="text1"/>
        </w:rPr>
        <w:t>15 procentų</w:t>
      </w:r>
      <w:r w:rsidR="00AA2407" w:rsidRPr="002567BD">
        <w:rPr>
          <w:color w:val="000000" w:themeColor="text1"/>
        </w:rPr>
        <w:t xml:space="preserve"> mėnesinio darbo užmokesčio kintamosios dalies dydį.</w:t>
      </w:r>
    </w:p>
    <w:p w14:paraId="69B3EA2F" w14:textId="77777777" w:rsidR="00106C1A" w:rsidRDefault="00106C1A" w:rsidP="00106C1A">
      <w:pPr>
        <w:suppressAutoHyphens w:val="0"/>
        <w:spacing w:line="360" w:lineRule="auto"/>
        <w:ind w:firstLine="567"/>
        <w:jc w:val="both"/>
        <w:rPr>
          <w:rFonts w:eastAsia="Calibri"/>
          <w:color w:val="000000"/>
          <w:lang w:eastAsia="x-none"/>
        </w:rPr>
      </w:pPr>
      <w:r w:rsidRPr="003B104F">
        <w:rPr>
          <w:lang w:eastAsia="en-US"/>
        </w:rPr>
        <w:t>Sprendimo įgyvendinimo laikas nuo 202</w:t>
      </w:r>
      <w:r>
        <w:rPr>
          <w:lang w:eastAsia="en-US"/>
        </w:rPr>
        <w:t>2</w:t>
      </w:r>
      <w:r w:rsidRPr="003B104F">
        <w:rPr>
          <w:lang w:eastAsia="en-US"/>
        </w:rPr>
        <w:t>-05-01 iki 202</w:t>
      </w:r>
      <w:r>
        <w:rPr>
          <w:lang w:eastAsia="en-US"/>
        </w:rPr>
        <w:t>3</w:t>
      </w:r>
      <w:r w:rsidRPr="003B104F">
        <w:rPr>
          <w:lang w:eastAsia="en-US"/>
        </w:rPr>
        <w:t xml:space="preserve">-04-30. </w:t>
      </w:r>
    </w:p>
    <w:p w14:paraId="7594BC7D" w14:textId="055358A7" w:rsidR="00106C1A" w:rsidRPr="00D9795E" w:rsidRDefault="00106C1A" w:rsidP="00106C1A">
      <w:pPr>
        <w:suppressAutoHyphens w:val="0"/>
        <w:spacing w:line="360" w:lineRule="auto"/>
        <w:ind w:firstLine="567"/>
        <w:jc w:val="both"/>
        <w:rPr>
          <w:rFonts w:eastAsia="Calibri"/>
          <w:color w:val="000000" w:themeColor="text1"/>
          <w:lang w:eastAsia="x-none"/>
        </w:rPr>
      </w:pPr>
      <w:r>
        <w:rPr>
          <w:rFonts w:eastAsia="Calibri"/>
          <w:b/>
          <w:bCs/>
          <w:color w:val="000000"/>
          <w:lang w:eastAsia="x-none"/>
        </w:rPr>
        <w:t>T</w:t>
      </w:r>
      <w:r>
        <w:rPr>
          <w:b/>
          <w:bCs/>
          <w:lang w:eastAsia="lt-LT"/>
        </w:rPr>
        <w:t>e</w:t>
      </w:r>
      <w:r>
        <w:rPr>
          <w:b/>
          <w:lang w:eastAsia="lt-LT"/>
        </w:rPr>
        <w:t>isinis pagrindimas</w:t>
      </w:r>
      <w:r>
        <w:rPr>
          <w:rFonts w:eastAsia="Calibri"/>
          <w:color w:val="000000"/>
          <w:lang w:eastAsia="x-none"/>
        </w:rPr>
        <w:t xml:space="preserve"> – </w:t>
      </w:r>
      <w:r>
        <w:rPr>
          <w:bCs/>
          <w:iCs/>
          <w:szCs w:val="20"/>
          <w:lang w:eastAsia="en-US"/>
        </w:rPr>
        <w:t>Lietuvos Respublikos sveikatos priežiūros įstaigų įstatymo (toliau – Įstatymas) 15</w:t>
      </w:r>
      <w:r>
        <w:rPr>
          <w:bCs/>
          <w:iCs/>
          <w:szCs w:val="20"/>
          <w:vertAlign w:val="superscript"/>
          <w:lang w:eastAsia="en-US"/>
        </w:rPr>
        <w:t>1</w:t>
      </w:r>
      <w:r>
        <w:rPr>
          <w:bCs/>
          <w:iCs/>
          <w:szCs w:val="20"/>
          <w:lang w:eastAsia="en-US"/>
        </w:rPr>
        <w:t xml:space="preserve"> straipsnio 1 dalyje sakoma, kad sveikatos priežiūros viešųjų įstaigų vadovų mėnesinis darbo užmokestis susideda iš pastoviosios ir kintamosios darbo užmokesčio dalių. Pastovusis mėnesinio darbo užmokesčio dydis nustatomas Įstatymo nustatyta tvarka. Šio Įstatymo 15</w:t>
      </w:r>
      <w:r>
        <w:rPr>
          <w:bCs/>
          <w:iCs/>
          <w:szCs w:val="20"/>
          <w:vertAlign w:val="superscript"/>
          <w:lang w:eastAsia="en-US"/>
        </w:rPr>
        <w:t>1</w:t>
      </w:r>
      <w:r>
        <w:rPr>
          <w:bCs/>
          <w:iCs/>
          <w:szCs w:val="20"/>
          <w:lang w:eastAsia="en-US"/>
        </w:rPr>
        <w:t xml:space="preserve"> straipsnio 10 dalis nurodo, kad mėnesinio darbo užmokesčio kintamosios dalies dydis priklauso nuo praėjusių kalendorinių metų įstaigos veiklos rezultatų ir nustatomas vieniems metams. Įstaigų veiklos rezultatų vertinimo kiekybinių ir kokybinių rodiklių ir vadovaujančių darbuotojų mėnesinio darbo užmokesčio kintamosios dalies nustatymo tvarkos aprašą tvirtina Lietuvos Respublikos sveikatos apsaugos ministras</w:t>
      </w:r>
      <w:r w:rsidRPr="004C5886">
        <w:rPr>
          <w:bCs/>
          <w:iCs/>
          <w:lang w:eastAsia="en-US"/>
        </w:rPr>
        <w:t xml:space="preserve">. </w:t>
      </w:r>
      <w:r w:rsidRPr="004C5886">
        <w:t>Visais atvejais mėnesin</w:t>
      </w:r>
      <w:r w:rsidRPr="004C5886">
        <w:rPr>
          <w:bCs/>
        </w:rPr>
        <w:t>io</w:t>
      </w:r>
      <w:r w:rsidRPr="004C5886">
        <w:t xml:space="preserve"> </w:t>
      </w:r>
      <w:r w:rsidRPr="004C5886">
        <w:rPr>
          <w:bCs/>
        </w:rPr>
        <w:t>darbo užmokesčio</w:t>
      </w:r>
      <w:r w:rsidRPr="004C5886">
        <w:t xml:space="preserve"> kintamosios dalies dydis negali viršyti </w:t>
      </w:r>
      <w:r w:rsidRPr="004C5886">
        <w:rPr>
          <w:bCs/>
        </w:rPr>
        <w:t>20</w:t>
      </w:r>
      <w:r w:rsidRPr="004C5886">
        <w:t xml:space="preserve"> procentų </w:t>
      </w:r>
      <w:r w:rsidRPr="004C5886">
        <w:lastRenderedPageBreak/>
        <w:t xml:space="preserve">vadovaujančiajam darbuotojui nustatyto mėnesinio darbo užmokesčio </w:t>
      </w:r>
      <w:r w:rsidRPr="004C5886">
        <w:rPr>
          <w:bCs/>
        </w:rPr>
        <w:t>pastoviosios dalies dydžio</w:t>
      </w:r>
      <w:r w:rsidRPr="004C5886">
        <w:t>. Mėnesin</w:t>
      </w:r>
      <w:r w:rsidRPr="004C5886">
        <w:rPr>
          <w:bCs/>
        </w:rPr>
        <w:t>io</w:t>
      </w:r>
      <w:r w:rsidRPr="004C5886">
        <w:t xml:space="preserve"> </w:t>
      </w:r>
      <w:r w:rsidRPr="004C5886">
        <w:rPr>
          <w:bCs/>
        </w:rPr>
        <w:t>darbo</w:t>
      </w:r>
      <w:r w:rsidRPr="004C5886">
        <w:t xml:space="preserve"> </w:t>
      </w:r>
      <w:r w:rsidRPr="004C5886">
        <w:rPr>
          <w:bCs/>
        </w:rPr>
        <w:t>užmokesčio</w:t>
      </w:r>
      <w:r w:rsidRPr="004C5886">
        <w:t xml:space="preserve"> kintamoji dalis negali būti nustatoma, jeigu praėjusių kalendorinių metų įstaigos veiklos finansiniai rezultatai yra neigiami, </w:t>
      </w:r>
      <w:r w:rsidRPr="004C5886">
        <w:rPr>
          <w:b/>
          <w:bCs/>
        </w:rPr>
        <w:t>išskyrus atvejus, kai neigiami finansiniai rezultatai</w:t>
      </w:r>
      <w:r w:rsidRPr="004C5886">
        <w:t xml:space="preserve"> </w:t>
      </w:r>
      <w:r w:rsidRPr="004C5886">
        <w:rPr>
          <w:b/>
          <w:bCs/>
        </w:rPr>
        <w:t>atsirado dėl sumažinto finansavimo ir (ar) dėl kitų aplinkybių, kurių LNSS viešųjų įstaigų vadovaujantieji darbuotojai negalėjo kontroliuoti, numatyti ir užkirsti kelio šių aplinkybių ar jų pasekmių atsiradimui</w:t>
      </w:r>
      <w:r w:rsidRPr="004C5886">
        <w:rPr>
          <w:b/>
          <w:bCs/>
          <w:lang w:eastAsia="lt-LT"/>
        </w:rPr>
        <w:t>.</w:t>
      </w:r>
      <w:r w:rsidR="00A70E7B">
        <w:rPr>
          <w:b/>
          <w:bCs/>
          <w:lang w:eastAsia="lt-LT"/>
        </w:rPr>
        <w:t xml:space="preserve"> </w:t>
      </w:r>
      <w:r w:rsidR="00A70E7B" w:rsidRPr="00D9795E">
        <w:rPr>
          <w:color w:val="000000" w:themeColor="text1"/>
        </w:rPr>
        <w:t xml:space="preserve">Praėjusių kalendorinių metų įstaigos veiklos finansiniai rezultatai yra neigiami dėl </w:t>
      </w:r>
      <w:r w:rsidR="00D9795E" w:rsidRPr="00D9795E">
        <w:rPr>
          <w:color w:val="000000" w:themeColor="text1"/>
        </w:rPr>
        <w:t>išmokų pagal teismo sprendimus (73 179 tūkst.) bei dėl padidėjusio darbo užmokesčio vidurkio išaugo kaupinių sąnaudos būsimiems atostoginiams (38 480 Eur).</w:t>
      </w:r>
    </w:p>
    <w:p w14:paraId="54D69C30" w14:textId="30DB0413" w:rsidR="00106C1A" w:rsidRPr="003B104F" w:rsidRDefault="00106C1A" w:rsidP="00106C1A">
      <w:pPr>
        <w:suppressAutoHyphens w:val="0"/>
        <w:spacing w:line="360" w:lineRule="auto"/>
        <w:ind w:firstLine="567"/>
        <w:jc w:val="both"/>
        <w:rPr>
          <w:lang w:eastAsia="lt-LT"/>
        </w:rPr>
      </w:pPr>
      <w:r w:rsidRPr="003B104F">
        <w:rPr>
          <w:lang w:eastAsia="lt-LT"/>
        </w:rPr>
        <w:t xml:space="preserve">Vadovaujantis </w:t>
      </w:r>
      <w:r w:rsidRPr="003B104F">
        <w:rPr>
          <w:color w:val="000000"/>
          <w:lang w:eastAsia="lt-LT"/>
        </w:rPr>
        <w:t xml:space="preserve">Lietuvos nacionalinės sveikatos sistemos viešųjų įstaigų vadovų ir jų pavaduotojų mėnesinio darbo užmokesčio kintamosios dalies dydžio nustatymo tvarkos aprašu, </w:t>
      </w:r>
      <w:r w:rsidRPr="003B104F">
        <w:rPr>
          <w:lang w:eastAsia="lt-LT"/>
        </w:rPr>
        <w:t xml:space="preserve">patvirtintu Lietuvos Respublikos sveikatos apsaugos ministro 2019 m. kovo 25 d. įsakymu Nr. V-361 „Dėl </w:t>
      </w:r>
      <w:r w:rsidRPr="003B104F">
        <w:rPr>
          <w:color w:val="000000"/>
          <w:lang w:eastAsia="lt-LT"/>
        </w:rPr>
        <w:t>Lietuvos nacionalinės sveikatos sistemos viešųjų įstaigų vadovų ir jų pavaduotojų mėnesinio darbo užmokesčio kintamosios dalies dydžio nustatymo tvarkos aprašo patvirtinimo“</w:t>
      </w:r>
      <w:r w:rsidRPr="003B104F">
        <w:rPr>
          <w:lang w:eastAsia="lt-LT"/>
        </w:rPr>
        <w:t xml:space="preserve"> (toliau – Aprašas), sprendimas dėl VšĮ</w:t>
      </w:r>
      <w:r>
        <w:rPr>
          <w:lang w:eastAsia="lt-LT"/>
        </w:rPr>
        <w:t xml:space="preserve"> ,,Lazdijų ligoninė“</w:t>
      </w:r>
      <w:r w:rsidRPr="003B104F">
        <w:rPr>
          <w:lang w:eastAsia="lt-LT"/>
        </w:rPr>
        <w:t xml:space="preserve"> vadovo </w:t>
      </w:r>
      <w:r w:rsidRPr="003B104F">
        <w:rPr>
          <w:color w:val="000000"/>
          <w:lang w:eastAsia="lt-LT"/>
        </w:rPr>
        <w:t xml:space="preserve">mėnesinio darbo užmokesčio </w:t>
      </w:r>
      <w:r w:rsidRPr="003B104F">
        <w:rPr>
          <w:lang w:eastAsia="lt-LT"/>
        </w:rPr>
        <w:t>kintamosios dalies turi būti priimamas įvertinant įstaigos praėjusių metų veiklos rezultatų vertinimo rodiklių siektinų reikšmių įgyvendinimą.</w:t>
      </w:r>
    </w:p>
    <w:p w14:paraId="4832C776" w14:textId="77777777" w:rsidR="00106C1A" w:rsidRPr="00112AA3" w:rsidRDefault="00106C1A" w:rsidP="00106C1A">
      <w:pPr>
        <w:suppressAutoHyphens w:val="0"/>
        <w:spacing w:line="360" w:lineRule="auto"/>
        <w:ind w:firstLine="567"/>
        <w:jc w:val="both"/>
        <w:rPr>
          <w:color w:val="000000"/>
          <w:lang w:eastAsia="lt-LT"/>
        </w:rPr>
      </w:pPr>
      <w:r w:rsidRPr="003B104F">
        <w:rPr>
          <w:lang w:eastAsia="lt-LT"/>
        </w:rPr>
        <w:t xml:space="preserve">Vadovaujantis anksčiau minėtu Aprašu, įvertinama, ar </w:t>
      </w:r>
      <w:r w:rsidRPr="003B104F">
        <w:rPr>
          <w:color w:val="000000"/>
          <w:lang w:eastAsia="lt-LT"/>
        </w:rPr>
        <w:t xml:space="preserve">Lietuvos nacionalinės sveikatos sistemos </w:t>
      </w:r>
      <w:r>
        <w:rPr>
          <w:color w:val="000000"/>
          <w:lang w:eastAsia="lt-LT"/>
        </w:rPr>
        <w:t xml:space="preserve"> (toliau – </w:t>
      </w:r>
      <w:r w:rsidRPr="003B104F">
        <w:rPr>
          <w:lang w:eastAsia="lt-LT"/>
        </w:rPr>
        <w:t>LNSS</w:t>
      </w:r>
      <w:r>
        <w:rPr>
          <w:lang w:eastAsia="lt-LT"/>
        </w:rPr>
        <w:t>)</w:t>
      </w:r>
      <w:r w:rsidRPr="003B104F">
        <w:rPr>
          <w:lang w:eastAsia="lt-LT"/>
        </w:rPr>
        <w:t xml:space="preserve"> viešoji įstaiga praėjusiais metais pasiekė Lietuvos Respublikos sveikatos apsaugos ministro įstaigų grupei, kuriai priklauso LNSS viešoji įstaiga, patvirtintas LNSS viešųjų ir biudžetinių įstaigų, teikiančių asmens sveikatos priežiūros paslaugas, veiklos rezultatų vertinimo rodiklių siektinas reikšmes (toliau – siektina reikšmė), ir nustatomas kiekvieno Įstatymo 15</w:t>
      </w:r>
      <w:r w:rsidRPr="003B104F">
        <w:rPr>
          <w:vertAlign w:val="superscript"/>
          <w:lang w:eastAsia="lt-LT"/>
        </w:rPr>
        <w:t>2</w:t>
      </w:r>
      <w:r w:rsidRPr="003B104F">
        <w:rPr>
          <w:lang w:eastAsia="lt-LT"/>
        </w:rPr>
        <w:t xml:space="preserve"> straipsnio 1 ir 2 dalyse nurodyto rodiklio siektinos reikšmės įvykdymo vertinimo balas. </w:t>
      </w:r>
      <w:r w:rsidRPr="003B104F">
        <w:rPr>
          <w:color w:val="000000"/>
          <w:lang w:eastAsia="lt-LT"/>
        </w:rPr>
        <w:t xml:space="preserve">Balai sudedami ir nustatoma vadovo mėnesinio darbo užmokesčio kintamoji dalis. </w:t>
      </w:r>
      <w:bookmarkStart w:id="0" w:name="_Hlk72140106"/>
    </w:p>
    <w:p w14:paraId="5F1AD487" w14:textId="6E03DD22" w:rsidR="00EA564C" w:rsidRPr="00F51406" w:rsidRDefault="00106C1A" w:rsidP="00EA564C">
      <w:pPr>
        <w:suppressAutoHyphens w:val="0"/>
        <w:spacing w:line="360" w:lineRule="auto"/>
        <w:ind w:firstLine="567"/>
        <w:jc w:val="both"/>
        <w:rPr>
          <w:color w:val="000000" w:themeColor="text1"/>
          <w:lang w:eastAsia="en-US"/>
        </w:rPr>
      </w:pPr>
      <w:r w:rsidRPr="00165908">
        <w:rPr>
          <w:rFonts w:eastAsia="Calibri"/>
          <w:color w:val="000000" w:themeColor="text1"/>
          <w:lang w:eastAsia="en-US"/>
        </w:rPr>
        <w:t xml:space="preserve">VšĮ ,,Lazdijų ligoninė“ surinktų balų suma yra </w:t>
      </w:r>
      <w:r w:rsidR="009B7C34" w:rsidRPr="00165908">
        <w:rPr>
          <w:rFonts w:eastAsia="Calibri"/>
          <w:color w:val="000000" w:themeColor="text1"/>
          <w:lang w:eastAsia="en-US"/>
        </w:rPr>
        <w:t>63</w:t>
      </w:r>
      <w:r w:rsidRPr="00165908">
        <w:rPr>
          <w:rFonts w:eastAsia="Calibri"/>
          <w:color w:val="000000" w:themeColor="text1"/>
          <w:lang w:eastAsia="en-US"/>
        </w:rPr>
        <w:t xml:space="preserve"> (lentelė pridedama). </w:t>
      </w:r>
      <w:bookmarkEnd w:id="0"/>
      <w:r w:rsidR="00EA564C" w:rsidRPr="00165908">
        <w:rPr>
          <w:rFonts w:eastAsia="Calibri"/>
          <w:color w:val="000000" w:themeColor="text1"/>
          <w:lang w:eastAsia="en-US"/>
        </w:rPr>
        <w:t>P</w:t>
      </w:r>
      <w:r w:rsidR="00EA564C" w:rsidRPr="00165908">
        <w:rPr>
          <w:color w:val="000000" w:themeColor="text1"/>
          <w:lang w:eastAsia="en-US"/>
        </w:rPr>
        <w:t xml:space="preserve">agal </w:t>
      </w:r>
      <w:r w:rsidR="00EA564C" w:rsidRPr="00165908">
        <w:rPr>
          <w:lang w:eastAsia="lt-LT"/>
        </w:rPr>
        <w:t>Lietuvos Respublikos sveikatos apsaugos ministro 2019 m. kovo 25 d. įsakym</w:t>
      </w:r>
      <w:r w:rsidR="00EA564C">
        <w:rPr>
          <w:lang w:eastAsia="lt-LT"/>
        </w:rPr>
        <w:t>o</w:t>
      </w:r>
      <w:r w:rsidR="00EA564C" w:rsidRPr="00165908">
        <w:rPr>
          <w:lang w:eastAsia="lt-LT"/>
        </w:rPr>
        <w:t xml:space="preserve"> Nr. V-361 3.1 papunktį </w:t>
      </w:r>
      <w:r w:rsidR="00EA564C" w:rsidRPr="00165908">
        <w:rPr>
          <w:color w:val="000000" w:themeColor="text1"/>
          <w:lang w:eastAsia="en-US"/>
        </w:rPr>
        <w:t>nustatoma mėnesinio darbo užmokesčio kintamoji dalis, mėnesinio darbo užmokesčio pastoviosios dalies dydžio procentas – 15.</w:t>
      </w:r>
    </w:p>
    <w:p w14:paraId="23583701" w14:textId="77777777" w:rsidR="00106C1A" w:rsidRDefault="00106C1A" w:rsidP="00EA564C">
      <w:pPr>
        <w:suppressAutoHyphens w:val="0"/>
        <w:spacing w:line="360" w:lineRule="auto"/>
        <w:ind w:firstLine="567"/>
        <w:jc w:val="both"/>
      </w:pPr>
    </w:p>
    <w:tbl>
      <w:tblPr>
        <w:tblW w:w="4992" w:type="pct"/>
        <w:jc w:val="center"/>
        <w:tblCellMar>
          <w:left w:w="10" w:type="dxa"/>
          <w:right w:w="10" w:type="dxa"/>
        </w:tblCellMar>
        <w:tblLook w:val="04A0" w:firstRow="1" w:lastRow="0" w:firstColumn="1" w:lastColumn="0" w:noHBand="0" w:noVBand="1"/>
      </w:tblPr>
      <w:tblGrid>
        <w:gridCol w:w="6606"/>
        <w:gridCol w:w="3340"/>
      </w:tblGrid>
      <w:tr w:rsidR="00881351" w14:paraId="4E9E4B5E" w14:textId="77777777" w:rsidTr="001F7304">
        <w:trPr>
          <w:trHeight w:val="1"/>
          <w:jc w:val="center"/>
        </w:trPr>
        <w:tc>
          <w:tcPr>
            <w:tcW w:w="33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FBED92" w14:textId="77777777" w:rsidR="00881351" w:rsidRDefault="00881351" w:rsidP="001F7304">
            <w:pPr>
              <w:suppressAutoHyphens w:val="0"/>
              <w:spacing w:line="256" w:lineRule="auto"/>
              <w:jc w:val="center"/>
              <w:rPr>
                <w:rFonts w:eastAsia="Calibri"/>
                <w:lang w:eastAsia="en-US"/>
              </w:rPr>
            </w:pPr>
            <w:r>
              <w:rPr>
                <w:b/>
                <w:color w:val="000000"/>
                <w:lang w:eastAsia="en-US"/>
              </w:rPr>
              <w:t>Mėnesinio darbo užmokesčio kintamoji dalis</w:t>
            </w:r>
            <w:r>
              <w:rPr>
                <w:b/>
                <w:lang w:eastAsia="en-US"/>
              </w:rPr>
              <w:t>, mėnesinio darbo užmokesčio pastoviosios dalies dydžio procentai</w:t>
            </w:r>
          </w:p>
        </w:tc>
        <w:tc>
          <w:tcPr>
            <w:tcW w:w="16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8D5D6CD" w14:textId="286E6783" w:rsidR="00881351" w:rsidRDefault="00881351" w:rsidP="001F7304">
            <w:pPr>
              <w:suppressAutoHyphens w:val="0"/>
              <w:spacing w:line="256" w:lineRule="auto"/>
              <w:jc w:val="center"/>
              <w:rPr>
                <w:lang w:eastAsia="en-US"/>
              </w:rPr>
            </w:pPr>
            <w:r>
              <w:rPr>
                <w:b/>
                <w:lang w:eastAsia="en-US"/>
              </w:rPr>
              <w:t>I grupės įstaigos balai</w:t>
            </w:r>
          </w:p>
        </w:tc>
      </w:tr>
      <w:tr w:rsidR="00881351" w14:paraId="26469FC8" w14:textId="77777777" w:rsidTr="001F7304">
        <w:trPr>
          <w:trHeight w:val="1"/>
          <w:jc w:val="center"/>
        </w:trPr>
        <w:tc>
          <w:tcPr>
            <w:tcW w:w="33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BE2746" w14:textId="77777777" w:rsidR="00881351" w:rsidRDefault="00881351" w:rsidP="001F7304">
            <w:pPr>
              <w:suppressAutoHyphens w:val="0"/>
              <w:spacing w:line="256" w:lineRule="auto"/>
              <w:jc w:val="center"/>
              <w:rPr>
                <w:lang w:eastAsia="en-US"/>
              </w:rPr>
            </w:pPr>
            <w:r>
              <w:rPr>
                <w:lang w:eastAsia="en-US"/>
              </w:rPr>
              <w:t>5</w:t>
            </w:r>
          </w:p>
        </w:tc>
        <w:tc>
          <w:tcPr>
            <w:tcW w:w="16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F55EE6" w14:textId="613F2322" w:rsidR="00881351" w:rsidRDefault="00881351" w:rsidP="001F7304">
            <w:pPr>
              <w:suppressAutoHyphens w:val="0"/>
              <w:spacing w:line="256" w:lineRule="auto"/>
              <w:jc w:val="center"/>
              <w:rPr>
                <w:lang w:eastAsia="en-US"/>
              </w:rPr>
            </w:pPr>
            <w:r>
              <w:rPr>
                <w:lang w:eastAsia="en-US"/>
              </w:rPr>
              <w:t>Iki 2</w:t>
            </w:r>
            <w:r w:rsidR="00073BB5">
              <w:rPr>
                <w:lang w:eastAsia="en-US"/>
              </w:rPr>
              <w:t>4</w:t>
            </w:r>
          </w:p>
        </w:tc>
      </w:tr>
      <w:tr w:rsidR="00881351" w14:paraId="154D29CC" w14:textId="77777777" w:rsidTr="001F7304">
        <w:trPr>
          <w:trHeight w:val="1"/>
          <w:jc w:val="center"/>
        </w:trPr>
        <w:tc>
          <w:tcPr>
            <w:tcW w:w="33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6C89CE" w14:textId="77777777" w:rsidR="00881351" w:rsidRDefault="00881351" w:rsidP="001F7304">
            <w:pPr>
              <w:suppressAutoHyphens w:val="0"/>
              <w:spacing w:line="256" w:lineRule="auto"/>
              <w:jc w:val="center"/>
              <w:rPr>
                <w:lang w:eastAsia="en-US"/>
              </w:rPr>
            </w:pPr>
            <w:r>
              <w:rPr>
                <w:lang w:eastAsia="en-US"/>
              </w:rPr>
              <w:t>10</w:t>
            </w:r>
          </w:p>
        </w:tc>
        <w:tc>
          <w:tcPr>
            <w:tcW w:w="16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EF8EFC" w14:textId="507AD8E3" w:rsidR="00881351" w:rsidRDefault="00073BB5" w:rsidP="001F7304">
            <w:pPr>
              <w:suppressAutoHyphens w:val="0"/>
              <w:spacing w:line="256" w:lineRule="auto"/>
              <w:jc w:val="center"/>
              <w:rPr>
                <w:lang w:eastAsia="en-US"/>
              </w:rPr>
            </w:pPr>
            <w:r>
              <w:rPr>
                <w:lang w:eastAsia="en-US"/>
              </w:rPr>
              <w:t>25-51</w:t>
            </w:r>
          </w:p>
        </w:tc>
      </w:tr>
      <w:tr w:rsidR="00881351" w14:paraId="69457A94" w14:textId="77777777" w:rsidTr="001F7304">
        <w:trPr>
          <w:trHeight w:val="1"/>
          <w:jc w:val="center"/>
        </w:trPr>
        <w:tc>
          <w:tcPr>
            <w:tcW w:w="33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493F31" w14:textId="77777777" w:rsidR="00881351" w:rsidRDefault="00881351" w:rsidP="001F7304">
            <w:pPr>
              <w:suppressAutoHyphens w:val="0"/>
              <w:spacing w:line="256" w:lineRule="auto"/>
              <w:jc w:val="center"/>
              <w:rPr>
                <w:lang w:eastAsia="en-US"/>
              </w:rPr>
            </w:pPr>
            <w:r>
              <w:rPr>
                <w:lang w:eastAsia="en-US"/>
              </w:rPr>
              <w:t>15</w:t>
            </w:r>
          </w:p>
        </w:tc>
        <w:tc>
          <w:tcPr>
            <w:tcW w:w="16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0A0A9A" w14:textId="32053D8B" w:rsidR="00881351" w:rsidRDefault="00073BB5" w:rsidP="001F7304">
            <w:pPr>
              <w:suppressAutoHyphens w:val="0"/>
              <w:spacing w:line="256" w:lineRule="auto"/>
              <w:jc w:val="center"/>
              <w:rPr>
                <w:lang w:eastAsia="en-US"/>
              </w:rPr>
            </w:pPr>
            <w:r>
              <w:rPr>
                <w:lang w:eastAsia="en-US"/>
              </w:rPr>
              <w:t>52-78</w:t>
            </w:r>
          </w:p>
        </w:tc>
      </w:tr>
      <w:tr w:rsidR="00881351" w14:paraId="062C6926" w14:textId="77777777" w:rsidTr="001F7304">
        <w:trPr>
          <w:trHeight w:val="1"/>
          <w:jc w:val="center"/>
        </w:trPr>
        <w:tc>
          <w:tcPr>
            <w:tcW w:w="33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7C684B" w14:textId="77777777" w:rsidR="00881351" w:rsidRDefault="00881351" w:rsidP="001F7304">
            <w:pPr>
              <w:suppressAutoHyphens w:val="0"/>
              <w:spacing w:line="256" w:lineRule="auto"/>
              <w:jc w:val="center"/>
              <w:rPr>
                <w:lang w:eastAsia="en-US"/>
              </w:rPr>
            </w:pPr>
            <w:r>
              <w:rPr>
                <w:lang w:eastAsia="en-US"/>
              </w:rPr>
              <w:t>20</w:t>
            </w:r>
          </w:p>
        </w:tc>
        <w:tc>
          <w:tcPr>
            <w:tcW w:w="16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B9C7A2" w14:textId="019EC77D" w:rsidR="00881351" w:rsidRDefault="00073BB5" w:rsidP="001F7304">
            <w:pPr>
              <w:suppressAutoHyphens w:val="0"/>
              <w:spacing w:line="256" w:lineRule="auto"/>
              <w:jc w:val="center"/>
              <w:rPr>
                <w:lang w:eastAsia="en-US"/>
              </w:rPr>
            </w:pPr>
            <w:r>
              <w:rPr>
                <w:lang w:eastAsia="en-US"/>
              </w:rPr>
              <w:t>79-105</w:t>
            </w:r>
          </w:p>
        </w:tc>
      </w:tr>
    </w:tbl>
    <w:p w14:paraId="7AF35EE5" w14:textId="77777777" w:rsidR="00106C1A" w:rsidRPr="00F456F2" w:rsidRDefault="00106C1A" w:rsidP="00106C1A">
      <w:pPr>
        <w:pStyle w:val="Betarp"/>
        <w:spacing w:line="360" w:lineRule="auto"/>
        <w:ind w:firstLine="567"/>
        <w:jc w:val="both"/>
        <w:rPr>
          <w:rFonts w:asciiTheme="majorBidi" w:hAnsiTheme="majorBidi" w:cstheme="majorBidi"/>
          <w:sz w:val="24"/>
          <w:szCs w:val="24"/>
        </w:rPr>
      </w:pPr>
      <w:r w:rsidRPr="00F456F2">
        <w:rPr>
          <w:rFonts w:asciiTheme="majorBidi" w:hAnsiTheme="majorBidi" w:cstheme="majorBidi"/>
          <w:sz w:val="24"/>
          <w:szCs w:val="24"/>
        </w:rPr>
        <w:t>Parengtas sprendimo projektas neprieštarauja galiojantiems teisės aktams.</w:t>
      </w:r>
    </w:p>
    <w:p w14:paraId="658C80AF" w14:textId="77777777" w:rsidR="00106C1A" w:rsidRPr="00F456F2" w:rsidRDefault="00106C1A" w:rsidP="00106C1A">
      <w:pPr>
        <w:pStyle w:val="Betarp"/>
        <w:spacing w:line="360" w:lineRule="auto"/>
        <w:ind w:firstLine="567"/>
        <w:jc w:val="both"/>
        <w:rPr>
          <w:rFonts w:asciiTheme="majorBidi" w:hAnsiTheme="majorBidi" w:cstheme="majorBidi"/>
          <w:sz w:val="24"/>
          <w:szCs w:val="24"/>
        </w:rPr>
      </w:pPr>
      <w:r w:rsidRPr="00F456F2">
        <w:rPr>
          <w:rFonts w:asciiTheme="majorBidi" w:hAnsiTheme="majorBidi" w:cstheme="majorBidi"/>
          <w:sz w:val="24"/>
          <w:szCs w:val="24"/>
        </w:rPr>
        <w:lastRenderedPageBreak/>
        <w:t>Priėmus sprendimo projektą, neigiamų pasekmių nenumatoma. Dėl sprendimo projekto pastabų ir pasiūlymų negauta.</w:t>
      </w:r>
    </w:p>
    <w:p w14:paraId="5A319F67" w14:textId="63EC97C0" w:rsidR="00106C1A" w:rsidRDefault="00106C1A" w:rsidP="00106C1A">
      <w:pPr>
        <w:pStyle w:val="Betarp"/>
        <w:spacing w:line="360" w:lineRule="auto"/>
        <w:ind w:firstLine="567"/>
        <w:jc w:val="both"/>
        <w:rPr>
          <w:rFonts w:asciiTheme="majorBidi" w:hAnsiTheme="majorBidi" w:cstheme="majorBidi"/>
          <w:sz w:val="24"/>
          <w:szCs w:val="24"/>
        </w:rPr>
      </w:pPr>
      <w:r w:rsidRPr="00F456F2">
        <w:rPr>
          <w:rFonts w:asciiTheme="majorBidi" w:hAnsiTheme="majorBidi" w:cstheme="majorBidi"/>
          <w:sz w:val="24"/>
          <w:szCs w:val="24"/>
        </w:rPr>
        <w:t xml:space="preserve">Sprendimo projektą parengė Lazdijų rajono savivaldybės administracijos Socialinės paramos ir sveikatos </w:t>
      </w:r>
      <w:r>
        <w:rPr>
          <w:rFonts w:asciiTheme="majorBidi" w:hAnsiTheme="majorBidi" w:cstheme="majorBidi"/>
          <w:sz w:val="24"/>
          <w:szCs w:val="24"/>
        </w:rPr>
        <w:t>skyriaus vedėja Rima Šukienė</w:t>
      </w:r>
      <w:r w:rsidRPr="00F456F2">
        <w:rPr>
          <w:rFonts w:asciiTheme="majorBidi" w:hAnsiTheme="majorBidi" w:cstheme="majorBidi"/>
          <w:sz w:val="24"/>
          <w:szCs w:val="24"/>
        </w:rPr>
        <w:t>.</w:t>
      </w:r>
    </w:p>
    <w:p w14:paraId="068698B7" w14:textId="749D5089" w:rsidR="00BE0A93" w:rsidRDefault="00BE0A93" w:rsidP="00106C1A">
      <w:pPr>
        <w:pStyle w:val="Betarp"/>
        <w:spacing w:line="360" w:lineRule="auto"/>
        <w:ind w:firstLine="567"/>
        <w:jc w:val="both"/>
        <w:rPr>
          <w:rFonts w:asciiTheme="majorBidi" w:hAnsiTheme="majorBidi" w:cstheme="majorBidi"/>
          <w:sz w:val="24"/>
          <w:szCs w:val="24"/>
        </w:rPr>
      </w:pPr>
    </w:p>
    <w:p w14:paraId="5227907A" w14:textId="77777777" w:rsidR="00BE0A93" w:rsidRPr="00F456F2" w:rsidRDefault="00BE0A93" w:rsidP="00106C1A">
      <w:pPr>
        <w:pStyle w:val="Betarp"/>
        <w:spacing w:line="360" w:lineRule="auto"/>
        <w:ind w:firstLine="567"/>
        <w:jc w:val="both"/>
        <w:rPr>
          <w:rFonts w:asciiTheme="majorBidi" w:hAnsiTheme="majorBidi" w:cstheme="majorBidi"/>
          <w:sz w:val="24"/>
          <w:szCs w:val="24"/>
        </w:rPr>
      </w:pPr>
    </w:p>
    <w:p w14:paraId="3AAEBB9B" w14:textId="67104B2B" w:rsidR="00237C25" w:rsidRDefault="00106C1A" w:rsidP="00106C1A">
      <w:pPr>
        <w:autoSpaceDE w:val="0"/>
        <w:spacing w:line="360" w:lineRule="auto"/>
        <w:jc w:val="both"/>
        <w:rPr>
          <w:rFonts w:asciiTheme="majorBidi" w:hAnsiTheme="majorBidi" w:cstheme="majorBidi"/>
          <w:noProof/>
        </w:rPr>
      </w:pPr>
      <w:r>
        <w:rPr>
          <w:rFonts w:asciiTheme="majorBidi" w:hAnsiTheme="majorBidi" w:cstheme="majorBidi"/>
          <w:noProof/>
        </w:rPr>
        <w:t xml:space="preserve">Vedėja </w:t>
      </w:r>
      <w:r>
        <w:rPr>
          <w:rFonts w:asciiTheme="majorBidi" w:hAnsiTheme="majorBidi" w:cstheme="majorBidi"/>
          <w:noProof/>
        </w:rPr>
        <w:tab/>
      </w:r>
      <w:r>
        <w:rPr>
          <w:rFonts w:asciiTheme="majorBidi" w:hAnsiTheme="majorBidi" w:cstheme="majorBidi"/>
          <w:noProof/>
        </w:rPr>
        <w:tab/>
      </w:r>
      <w:r>
        <w:rPr>
          <w:rFonts w:asciiTheme="majorBidi" w:hAnsiTheme="majorBidi" w:cstheme="majorBidi"/>
          <w:noProof/>
        </w:rPr>
        <w:tab/>
      </w:r>
      <w:r>
        <w:rPr>
          <w:rFonts w:asciiTheme="majorBidi" w:hAnsiTheme="majorBidi" w:cstheme="majorBidi"/>
          <w:noProof/>
        </w:rPr>
        <w:tab/>
      </w:r>
      <w:r>
        <w:rPr>
          <w:rFonts w:asciiTheme="majorBidi" w:hAnsiTheme="majorBidi" w:cstheme="majorBidi"/>
          <w:noProof/>
        </w:rPr>
        <w:tab/>
      </w:r>
      <w:r>
        <w:rPr>
          <w:rFonts w:asciiTheme="majorBidi" w:hAnsiTheme="majorBidi" w:cstheme="majorBidi"/>
          <w:noProof/>
        </w:rPr>
        <w:tab/>
      </w:r>
      <w:r w:rsidR="00BE0A93">
        <w:rPr>
          <w:rFonts w:asciiTheme="majorBidi" w:hAnsiTheme="majorBidi" w:cstheme="majorBidi"/>
          <w:noProof/>
        </w:rPr>
        <w:t xml:space="preserve">            </w:t>
      </w:r>
      <w:r>
        <w:rPr>
          <w:rFonts w:asciiTheme="majorBidi" w:hAnsiTheme="majorBidi" w:cstheme="majorBidi"/>
          <w:noProof/>
        </w:rPr>
        <w:t>Rima Šukienė</w:t>
      </w:r>
    </w:p>
    <w:p w14:paraId="2E5D36F5" w14:textId="21CAAD15" w:rsidR="00106C1A" w:rsidRPr="00237C25" w:rsidRDefault="00106C1A" w:rsidP="00237C25">
      <w:pPr>
        <w:suppressAutoHyphens w:val="0"/>
        <w:spacing w:after="160" w:line="259" w:lineRule="auto"/>
        <w:rPr>
          <w:rFonts w:asciiTheme="majorBidi" w:hAnsiTheme="majorBidi" w:cstheme="majorBidi"/>
          <w:noProof/>
        </w:rPr>
        <w:sectPr w:rsidR="00106C1A" w:rsidRPr="00237C25" w:rsidSect="004A186D">
          <w:headerReference w:type="default" r:id="rId7"/>
          <w:pgSz w:w="12240" w:h="15840"/>
          <w:pgMar w:top="709" w:right="567" w:bottom="1276" w:left="1701" w:header="567" w:footer="567" w:gutter="0"/>
          <w:cols w:space="1296"/>
          <w:titlePg/>
          <w:docGrid w:linePitch="360"/>
        </w:sectPr>
      </w:pPr>
    </w:p>
    <w:p w14:paraId="1CA804E9" w14:textId="77777777" w:rsidR="00934F2E" w:rsidRDefault="00934F2E" w:rsidP="00934F2E">
      <w:pPr>
        <w:pStyle w:val="Antrats"/>
      </w:pPr>
    </w:p>
    <w:p w14:paraId="75B225C9" w14:textId="20FA532B" w:rsidR="00934F2E" w:rsidRDefault="00934F2E" w:rsidP="00934F2E">
      <w:pPr>
        <w:jc w:val="center"/>
        <w:rPr>
          <w:b/>
          <w:bCs/>
          <w:caps/>
          <w:color w:val="000000"/>
          <w:szCs w:val="20"/>
        </w:rPr>
      </w:pPr>
      <w:r>
        <w:rPr>
          <w:b/>
          <w:bCs/>
          <w:caps/>
          <w:color w:val="000000"/>
        </w:rPr>
        <w:t>LIETUVOS NACIONALINĖS SVEIKATOS SISTEMOS VIEŠŲJŲ IR BIUDŽETINIŲ ĮSTAIGŲ, TEIKIANČIŲ ASMENS SVEIKATOS PRIEŽIŪROS PASLAUGAS, VEIKLOS REZULTATŲ VERTINIMO RODIKLIŲ 2021 METŲ SIEKTINOS REIKŠMĖS</w:t>
      </w:r>
    </w:p>
    <w:p w14:paraId="4E607852" w14:textId="77777777" w:rsidR="00934F2E" w:rsidRDefault="00934F2E" w:rsidP="00934F2E">
      <w:pPr>
        <w:jc w:val="center"/>
        <w:rPr>
          <w:b/>
          <w:bCs/>
          <w:caps/>
          <w:color w:val="000000"/>
        </w:rPr>
      </w:pPr>
    </w:p>
    <w:p w14:paraId="65F4B5A2" w14:textId="77777777" w:rsidR="00934F2E" w:rsidRDefault="00934F2E" w:rsidP="00934F2E">
      <w:pPr>
        <w:jc w:val="both"/>
      </w:pPr>
    </w:p>
    <w:tbl>
      <w:tblPr>
        <w:tblW w:w="44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970"/>
        <w:gridCol w:w="3310"/>
        <w:gridCol w:w="4668"/>
      </w:tblGrid>
      <w:tr w:rsidR="00934F2E" w14:paraId="4CA16ED0" w14:textId="77777777" w:rsidTr="00385EDD">
        <w:trPr>
          <w:trHeight w:val="1631"/>
        </w:trPr>
        <w:tc>
          <w:tcPr>
            <w:tcW w:w="216" w:type="pct"/>
            <w:vMerge w:val="restart"/>
            <w:tcBorders>
              <w:top w:val="single" w:sz="4" w:space="0" w:color="auto"/>
              <w:left w:val="single" w:sz="4" w:space="0" w:color="auto"/>
              <w:bottom w:val="single" w:sz="4" w:space="0" w:color="auto"/>
              <w:right w:val="single" w:sz="4" w:space="0" w:color="auto"/>
            </w:tcBorders>
            <w:vAlign w:val="center"/>
            <w:hideMark/>
          </w:tcPr>
          <w:p w14:paraId="77E8EB81" w14:textId="77777777" w:rsidR="00934F2E" w:rsidRDefault="00934F2E" w:rsidP="001F7304">
            <w:pPr>
              <w:jc w:val="center"/>
              <w:rPr>
                <w:b/>
                <w:bCs/>
                <w:color w:val="000000"/>
              </w:rPr>
            </w:pPr>
            <w:r>
              <w:rPr>
                <w:b/>
                <w:bCs/>
                <w:color w:val="000000"/>
              </w:rPr>
              <w:t>Eil. Nr.</w:t>
            </w:r>
          </w:p>
        </w:tc>
        <w:tc>
          <w:tcPr>
            <w:tcW w:w="1506" w:type="pct"/>
            <w:vMerge w:val="restart"/>
            <w:tcBorders>
              <w:top w:val="single" w:sz="4" w:space="0" w:color="auto"/>
              <w:left w:val="single" w:sz="4" w:space="0" w:color="auto"/>
              <w:bottom w:val="single" w:sz="4" w:space="0" w:color="auto"/>
              <w:right w:val="single" w:sz="4" w:space="0" w:color="auto"/>
            </w:tcBorders>
            <w:noWrap/>
            <w:vAlign w:val="center"/>
            <w:hideMark/>
          </w:tcPr>
          <w:p w14:paraId="3D9FA408" w14:textId="77777777" w:rsidR="00934F2E" w:rsidRDefault="00934F2E" w:rsidP="001F7304">
            <w:pPr>
              <w:jc w:val="center"/>
              <w:rPr>
                <w:b/>
                <w:bCs/>
                <w:color w:val="000000"/>
              </w:rPr>
            </w:pPr>
            <w:r>
              <w:rPr>
                <w:b/>
                <w:bCs/>
                <w:color w:val="000000"/>
              </w:rPr>
              <w:t xml:space="preserve">Veiklos rezultatų vertinimo rodikliai </w:t>
            </w:r>
          </w:p>
          <w:p w14:paraId="30649D99" w14:textId="77777777" w:rsidR="00934F2E" w:rsidRDefault="00934F2E" w:rsidP="001F7304">
            <w:pPr>
              <w:jc w:val="center"/>
              <w:rPr>
                <w:b/>
                <w:bCs/>
                <w:color w:val="000000"/>
              </w:rPr>
            </w:pPr>
            <w:r>
              <w:rPr>
                <w:b/>
                <w:bCs/>
                <w:color w:val="000000"/>
              </w:rPr>
              <w:t>(toliau – rodiklis)</w:t>
            </w:r>
          </w:p>
        </w:tc>
        <w:tc>
          <w:tcPr>
            <w:tcW w:w="1368" w:type="pct"/>
            <w:tcBorders>
              <w:top w:val="single" w:sz="4" w:space="0" w:color="auto"/>
              <w:left w:val="single" w:sz="4" w:space="0" w:color="auto"/>
              <w:bottom w:val="single" w:sz="4" w:space="0" w:color="auto"/>
              <w:right w:val="single" w:sz="4" w:space="0" w:color="auto"/>
            </w:tcBorders>
            <w:vAlign w:val="center"/>
            <w:hideMark/>
          </w:tcPr>
          <w:p w14:paraId="1EFED67E" w14:textId="77777777" w:rsidR="00934F2E" w:rsidRDefault="00934F2E" w:rsidP="001F7304">
            <w:pPr>
              <w:jc w:val="center"/>
              <w:rPr>
                <w:b/>
                <w:bCs/>
                <w:color w:val="000000"/>
              </w:rPr>
            </w:pPr>
            <w:r>
              <w:rPr>
                <w:b/>
                <w:bCs/>
                <w:color w:val="000000"/>
              </w:rPr>
              <w:t>Rajonų ir regionų lygmens Lietuvos nacionalinės sveikatos sistemos (toliau – LNSS) viešosios įstaigos*</w:t>
            </w:r>
          </w:p>
        </w:tc>
        <w:tc>
          <w:tcPr>
            <w:tcW w:w="1910" w:type="pct"/>
            <w:tcBorders>
              <w:top w:val="single" w:sz="4" w:space="0" w:color="auto"/>
              <w:left w:val="single" w:sz="4" w:space="0" w:color="auto"/>
              <w:bottom w:val="single" w:sz="4" w:space="0" w:color="auto"/>
              <w:right w:val="single" w:sz="4" w:space="0" w:color="auto"/>
            </w:tcBorders>
            <w:vAlign w:val="center"/>
            <w:hideMark/>
          </w:tcPr>
          <w:p w14:paraId="3177666F" w14:textId="77777777" w:rsidR="00934F2E" w:rsidRDefault="00934F2E" w:rsidP="001F7304">
            <w:pPr>
              <w:jc w:val="center"/>
              <w:rPr>
                <w:b/>
                <w:bCs/>
                <w:color w:val="000000"/>
              </w:rPr>
            </w:pPr>
            <w:r>
              <w:rPr>
                <w:b/>
                <w:bCs/>
                <w:color w:val="000000"/>
              </w:rPr>
              <w:t>Viešoji įstaiga „Lazdijų ligoninė“</w:t>
            </w:r>
          </w:p>
        </w:tc>
      </w:tr>
      <w:tr w:rsidR="00934F2E" w14:paraId="492130E8" w14:textId="77777777" w:rsidTr="00385EDD">
        <w:trPr>
          <w:trHeight w:val="323"/>
        </w:trPr>
        <w:tc>
          <w:tcPr>
            <w:tcW w:w="216" w:type="pct"/>
            <w:vMerge/>
            <w:tcBorders>
              <w:top w:val="single" w:sz="4" w:space="0" w:color="auto"/>
              <w:left w:val="single" w:sz="4" w:space="0" w:color="auto"/>
              <w:bottom w:val="single" w:sz="4" w:space="0" w:color="auto"/>
              <w:right w:val="single" w:sz="4" w:space="0" w:color="auto"/>
            </w:tcBorders>
            <w:vAlign w:val="center"/>
            <w:hideMark/>
          </w:tcPr>
          <w:p w14:paraId="68250E22" w14:textId="77777777" w:rsidR="00934F2E" w:rsidRDefault="00934F2E" w:rsidP="001F7304">
            <w:pPr>
              <w:rPr>
                <w:b/>
                <w:bCs/>
                <w:color w:val="000000"/>
                <w:lang w:eastAsia="en-US"/>
              </w:rPr>
            </w:pPr>
          </w:p>
        </w:tc>
        <w:tc>
          <w:tcPr>
            <w:tcW w:w="1506" w:type="pct"/>
            <w:vMerge/>
            <w:tcBorders>
              <w:top w:val="single" w:sz="4" w:space="0" w:color="auto"/>
              <w:left w:val="single" w:sz="4" w:space="0" w:color="auto"/>
              <w:bottom w:val="single" w:sz="4" w:space="0" w:color="auto"/>
              <w:right w:val="single" w:sz="4" w:space="0" w:color="auto"/>
            </w:tcBorders>
            <w:vAlign w:val="center"/>
            <w:hideMark/>
          </w:tcPr>
          <w:p w14:paraId="709C0FC1" w14:textId="77777777" w:rsidR="00934F2E" w:rsidRDefault="00934F2E" w:rsidP="001F7304">
            <w:pPr>
              <w:rPr>
                <w:b/>
                <w:bCs/>
                <w:color w:val="000000"/>
                <w:lang w:eastAsia="en-US"/>
              </w:rPr>
            </w:pPr>
          </w:p>
        </w:tc>
        <w:tc>
          <w:tcPr>
            <w:tcW w:w="1368" w:type="pct"/>
            <w:tcBorders>
              <w:top w:val="single" w:sz="4" w:space="0" w:color="auto"/>
              <w:left w:val="single" w:sz="4" w:space="0" w:color="auto"/>
              <w:bottom w:val="single" w:sz="4" w:space="0" w:color="auto"/>
              <w:right w:val="single" w:sz="4" w:space="0" w:color="auto"/>
            </w:tcBorders>
            <w:noWrap/>
            <w:hideMark/>
          </w:tcPr>
          <w:p w14:paraId="2E15646A" w14:textId="77777777" w:rsidR="00934F2E" w:rsidRDefault="00934F2E" w:rsidP="001F7304">
            <w:pPr>
              <w:jc w:val="center"/>
              <w:rPr>
                <w:b/>
                <w:bCs/>
                <w:color w:val="000000"/>
              </w:rPr>
            </w:pPr>
            <w:r>
              <w:rPr>
                <w:b/>
                <w:bCs/>
                <w:color w:val="000000"/>
              </w:rPr>
              <w:t>Siektina reikšmė</w:t>
            </w:r>
          </w:p>
        </w:tc>
        <w:tc>
          <w:tcPr>
            <w:tcW w:w="1910" w:type="pct"/>
            <w:tcBorders>
              <w:top w:val="single" w:sz="4" w:space="0" w:color="auto"/>
              <w:left w:val="single" w:sz="4" w:space="0" w:color="auto"/>
              <w:bottom w:val="single" w:sz="4" w:space="0" w:color="auto"/>
              <w:right w:val="single" w:sz="4" w:space="0" w:color="auto"/>
            </w:tcBorders>
            <w:hideMark/>
          </w:tcPr>
          <w:p w14:paraId="05B9EF62" w14:textId="77777777" w:rsidR="00934F2E" w:rsidRDefault="00934F2E" w:rsidP="001F7304">
            <w:pPr>
              <w:jc w:val="center"/>
              <w:rPr>
                <w:b/>
                <w:bCs/>
                <w:color w:val="000000"/>
              </w:rPr>
            </w:pPr>
            <w:r>
              <w:rPr>
                <w:b/>
                <w:bCs/>
                <w:color w:val="000000"/>
              </w:rPr>
              <w:t>Pasiekta reikšmė</w:t>
            </w:r>
          </w:p>
        </w:tc>
      </w:tr>
      <w:tr w:rsidR="00934F2E" w14:paraId="46D9ACFA" w14:textId="77777777" w:rsidTr="00385EDD">
        <w:trPr>
          <w:trHeight w:val="300"/>
        </w:trPr>
        <w:tc>
          <w:tcPr>
            <w:tcW w:w="216" w:type="pct"/>
            <w:tcBorders>
              <w:top w:val="single" w:sz="4" w:space="0" w:color="auto"/>
              <w:left w:val="single" w:sz="4" w:space="0" w:color="auto"/>
              <w:bottom w:val="single" w:sz="4" w:space="0" w:color="auto"/>
              <w:right w:val="single" w:sz="4" w:space="0" w:color="auto"/>
            </w:tcBorders>
            <w:noWrap/>
            <w:hideMark/>
          </w:tcPr>
          <w:p w14:paraId="195E17DD" w14:textId="77777777" w:rsidR="00934F2E" w:rsidRDefault="00934F2E" w:rsidP="001F7304">
            <w:pPr>
              <w:jc w:val="center"/>
              <w:rPr>
                <w:i/>
                <w:iCs/>
                <w:color w:val="000000"/>
              </w:rPr>
            </w:pPr>
            <w:r>
              <w:rPr>
                <w:i/>
                <w:iCs/>
                <w:color w:val="000000"/>
              </w:rPr>
              <w:t>1</w:t>
            </w:r>
          </w:p>
        </w:tc>
        <w:tc>
          <w:tcPr>
            <w:tcW w:w="1506" w:type="pct"/>
            <w:tcBorders>
              <w:top w:val="single" w:sz="4" w:space="0" w:color="auto"/>
              <w:left w:val="single" w:sz="4" w:space="0" w:color="auto"/>
              <w:bottom w:val="single" w:sz="4" w:space="0" w:color="auto"/>
              <w:right w:val="single" w:sz="4" w:space="0" w:color="auto"/>
            </w:tcBorders>
            <w:noWrap/>
            <w:hideMark/>
          </w:tcPr>
          <w:p w14:paraId="49C63C1F" w14:textId="77777777" w:rsidR="00934F2E" w:rsidRDefault="00934F2E" w:rsidP="001F7304">
            <w:pPr>
              <w:jc w:val="center"/>
              <w:rPr>
                <w:i/>
                <w:iCs/>
                <w:color w:val="000000"/>
              </w:rPr>
            </w:pPr>
            <w:r>
              <w:rPr>
                <w:i/>
                <w:iCs/>
                <w:color w:val="000000"/>
              </w:rPr>
              <w:t>2</w:t>
            </w:r>
          </w:p>
        </w:tc>
        <w:tc>
          <w:tcPr>
            <w:tcW w:w="1368" w:type="pct"/>
            <w:tcBorders>
              <w:top w:val="single" w:sz="4" w:space="0" w:color="auto"/>
              <w:left w:val="single" w:sz="4" w:space="0" w:color="auto"/>
              <w:bottom w:val="single" w:sz="4" w:space="0" w:color="auto"/>
              <w:right w:val="single" w:sz="4" w:space="0" w:color="auto"/>
            </w:tcBorders>
            <w:noWrap/>
            <w:hideMark/>
          </w:tcPr>
          <w:p w14:paraId="54FD4C00" w14:textId="77777777" w:rsidR="00934F2E" w:rsidRDefault="00934F2E" w:rsidP="001F7304">
            <w:pPr>
              <w:jc w:val="center"/>
              <w:rPr>
                <w:i/>
                <w:iCs/>
                <w:color w:val="000000"/>
              </w:rPr>
            </w:pPr>
            <w:r>
              <w:rPr>
                <w:i/>
                <w:iCs/>
                <w:color w:val="000000"/>
              </w:rPr>
              <w:t>3</w:t>
            </w:r>
          </w:p>
        </w:tc>
        <w:tc>
          <w:tcPr>
            <w:tcW w:w="1910" w:type="pct"/>
            <w:tcBorders>
              <w:top w:val="single" w:sz="4" w:space="0" w:color="auto"/>
              <w:left w:val="single" w:sz="4" w:space="0" w:color="auto"/>
              <w:bottom w:val="single" w:sz="4" w:space="0" w:color="auto"/>
              <w:right w:val="single" w:sz="4" w:space="0" w:color="auto"/>
            </w:tcBorders>
            <w:vAlign w:val="center"/>
            <w:hideMark/>
          </w:tcPr>
          <w:p w14:paraId="14597491" w14:textId="77777777" w:rsidR="00934F2E" w:rsidRDefault="00934F2E" w:rsidP="001F7304">
            <w:pPr>
              <w:jc w:val="center"/>
              <w:rPr>
                <w:i/>
                <w:iCs/>
                <w:color w:val="000000"/>
              </w:rPr>
            </w:pPr>
            <w:r>
              <w:rPr>
                <w:i/>
                <w:iCs/>
                <w:color w:val="000000"/>
              </w:rPr>
              <w:t>4</w:t>
            </w:r>
          </w:p>
        </w:tc>
      </w:tr>
      <w:tr w:rsidR="00934F2E" w14:paraId="1C202D5B" w14:textId="77777777" w:rsidTr="00385EDD">
        <w:trPr>
          <w:gridAfter w:val="3"/>
          <w:wAfter w:w="4784" w:type="pct"/>
          <w:trHeight w:val="300"/>
        </w:trPr>
        <w:tc>
          <w:tcPr>
            <w:tcW w:w="216" w:type="pct"/>
            <w:tcBorders>
              <w:top w:val="single" w:sz="4" w:space="0" w:color="auto"/>
              <w:left w:val="single" w:sz="4" w:space="0" w:color="auto"/>
              <w:bottom w:val="single" w:sz="4" w:space="0" w:color="auto"/>
              <w:right w:val="single" w:sz="4" w:space="0" w:color="auto"/>
            </w:tcBorders>
            <w:noWrap/>
            <w:hideMark/>
          </w:tcPr>
          <w:p w14:paraId="27CDC58B" w14:textId="77777777" w:rsidR="00934F2E" w:rsidRDefault="00934F2E" w:rsidP="001F7304">
            <w:pPr>
              <w:jc w:val="center"/>
              <w:rPr>
                <w:i/>
                <w:iCs/>
                <w:color w:val="000000"/>
              </w:rPr>
            </w:pPr>
            <w:r>
              <w:rPr>
                <w:b/>
                <w:bCs/>
                <w:color w:val="000000"/>
              </w:rPr>
              <w:t>I</w:t>
            </w:r>
          </w:p>
        </w:tc>
      </w:tr>
      <w:tr w:rsidR="00934F2E" w:rsidRPr="00671360" w14:paraId="2AA8F2BA" w14:textId="77777777" w:rsidTr="00385EDD">
        <w:trPr>
          <w:trHeight w:val="1230"/>
        </w:trPr>
        <w:tc>
          <w:tcPr>
            <w:tcW w:w="216" w:type="pct"/>
            <w:tcBorders>
              <w:top w:val="single" w:sz="4" w:space="0" w:color="auto"/>
              <w:left w:val="single" w:sz="4" w:space="0" w:color="auto"/>
              <w:bottom w:val="single" w:sz="4" w:space="0" w:color="auto"/>
              <w:right w:val="single" w:sz="4" w:space="0" w:color="auto"/>
            </w:tcBorders>
            <w:noWrap/>
            <w:vAlign w:val="center"/>
            <w:hideMark/>
          </w:tcPr>
          <w:p w14:paraId="1978B6F4" w14:textId="77777777" w:rsidR="00934F2E" w:rsidRPr="00671360" w:rsidRDefault="00934F2E" w:rsidP="001F7304">
            <w:pPr>
              <w:jc w:val="center"/>
              <w:rPr>
                <w:color w:val="000000"/>
              </w:rPr>
            </w:pPr>
            <w:r w:rsidRPr="00671360">
              <w:rPr>
                <w:color w:val="000000"/>
              </w:rPr>
              <w:t>1.</w:t>
            </w:r>
          </w:p>
        </w:tc>
        <w:tc>
          <w:tcPr>
            <w:tcW w:w="1506" w:type="pct"/>
            <w:tcBorders>
              <w:top w:val="single" w:sz="4" w:space="0" w:color="auto"/>
              <w:left w:val="single" w:sz="4" w:space="0" w:color="auto"/>
              <w:bottom w:val="single" w:sz="4" w:space="0" w:color="auto"/>
              <w:right w:val="single" w:sz="4" w:space="0" w:color="auto"/>
            </w:tcBorders>
            <w:vAlign w:val="center"/>
            <w:hideMark/>
          </w:tcPr>
          <w:p w14:paraId="470F7FA3" w14:textId="77777777" w:rsidR="00934F2E" w:rsidRPr="00671360" w:rsidRDefault="00934F2E" w:rsidP="001F7304">
            <w:pPr>
              <w:jc w:val="both"/>
              <w:rPr>
                <w:color w:val="000000"/>
              </w:rPr>
            </w:pPr>
            <w:r w:rsidRPr="00671360">
              <w:rPr>
                <w:color w:val="000000"/>
              </w:rPr>
              <w:t>Įstaigos praėjusių metų veiklos rezultatų ataskaitoje nurodytas pajamų ir sąnaudų skirtumas (grynasis perviršis ar deficitas)</w:t>
            </w:r>
          </w:p>
        </w:tc>
        <w:tc>
          <w:tcPr>
            <w:tcW w:w="1368" w:type="pct"/>
            <w:tcBorders>
              <w:top w:val="single" w:sz="4" w:space="0" w:color="auto"/>
              <w:left w:val="single" w:sz="4" w:space="0" w:color="auto"/>
              <w:bottom w:val="single" w:sz="4" w:space="0" w:color="auto"/>
              <w:right w:val="single" w:sz="4" w:space="0" w:color="auto"/>
            </w:tcBorders>
            <w:vAlign w:val="center"/>
            <w:hideMark/>
          </w:tcPr>
          <w:p w14:paraId="38A0779E" w14:textId="77777777" w:rsidR="00934F2E" w:rsidRPr="00671360" w:rsidRDefault="00934F2E" w:rsidP="001F7304">
            <w:pPr>
              <w:jc w:val="center"/>
              <w:rPr>
                <w:color w:val="000000"/>
              </w:rPr>
            </w:pPr>
            <w:r w:rsidRPr="00671360">
              <w:rPr>
                <w:color w:val="000000"/>
              </w:rPr>
              <w:t>Būti nenuostolingai</w:t>
            </w:r>
          </w:p>
        </w:tc>
        <w:tc>
          <w:tcPr>
            <w:tcW w:w="1910" w:type="pct"/>
            <w:tcBorders>
              <w:top w:val="single" w:sz="4" w:space="0" w:color="auto"/>
              <w:left w:val="single" w:sz="4" w:space="0" w:color="auto"/>
              <w:bottom w:val="single" w:sz="4" w:space="0" w:color="auto"/>
              <w:right w:val="single" w:sz="4" w:space="0" w:color="auto"/>
            </w:tcBorders>
            <w:vAlign w:val="center"/>
            <w:hideMark/>
          </w:tcPr>
          <w:p w14:paraId="7F19B559" w14:textId="2CCF2B36" w:rsidR="00934F2E" w:rsidRPr="00671360" w:rsidRDefault="00934F2E" w:rsidP="001F7304">
            <w:pPr>
              <w:rPr>
                <w:color w:val="000000"/>
                <w:szCs w:val="20"/>
              </w:rPr>
            </w:pPr>
            <w:r w:rsidRPr="00671360">
              <w:rPr>
                <w:color w:val="000000"/>
              </w:rPr>
              <w:t>Nuostolinga (-</w:t>
            </w:r>
            <w:r>
              <w:rPr>
                <w:color w:val="000000"/>
              </w:rPr>
              <w:t>99553,17</w:t>
            </w:r>
            <w:r w:rsidRPr="00671360">
              <w:rPr>
                <w:color w:val="000000"/>
              </w:rPr>
              <w:t xml:space="preserve"> </w:t>
            </w:r>
            <w:r>
              <w:rPr>
                <w:color w:val="000000"/>
              </w:rPr>
              <w:t>E</w:t>
            </w:r>
            <w:r w:rsidRPr="00671360">
              <w:rPr>
                <w:color w:val="000000"/>
              </w:rPr>
              <w:t>ur)</w:t>
            </w:r>
          </w:p>
          <w:p w14:paraId="184F0614" w14:textId="0D776B6C" w:rsidR="00934F2E" w:rsidRPr="001162BD" w:rsidRDefault="001162BD" w:rsidP="001F7304">
            <w:pPr>
              <w:jc w:val="both"/>
              <w:rPr>
                <w:b/>
                <w:bCs/>
                <w:color w:val="000000"/>
              </w:rPr>
            </w:pPr>
            <w:r w:rsidRPr="001162BD">
              <w:rPr>
                <w:b/>
                <w:bCs/>
                <w:color w:val="000000"/>
              </w:rPr>
              <w:t>5</w:t>
            </w:r>
            <w:r w:rsidR="00246D47" w:rsidRPr="001162BD">
              <w:rPr>
                <w:b/>
                <w:bCs/>
                <w:color w:val="000000"/>
              </w:rPr>
              <w:t xml:space="preserve"> bal</w:t>
            </w:r>
            <w:r w:rsidRPr="001162BD">
              <w:rPr>
                <w:b/>
                <w:bCs/>
                <w:color w:val="000000"/>
              </w:rPr>
              <w:t>ai</w:t>
            </w:r>
          </w:p>
        </w:tc>
      </w:tr>
      <w:tr w:rsidR="00934F2E" w:rsidRPr="00671360" w14:paraId="481E8DD0" w14:textId="77777777" w:rsidTr="00385EDD">
        <w:trPr>
          <w:gridAfter w:val="3"/>
          <w:wAfter w:w="4784" w:type="pct"/>
          <w:trHeight w:val="276"/>
        </w:trPr>
        <w:tc>
          <w:tcPr>
            <w:tcW w:w="216" w:type="pct"/>
            <w:tcBorders>
              <w:top w:val="single" w:sz="4" w:space="0" w:color="auto"/>
              <w:left w:val="single" w:sz="4" w:space="0" w:color="auto"/>
              <w:bottom w:val="single" w:sz="4" w:space="0" w:color="auto"/>
              <w:right w:val="single" w:sz="4" w:space="0" w:color="auto"/>
            </w:tcBorders>
            <w:vAlign w:val="center"/>
          </w:tcPr>
          <w:p w14:paraId="2E748BA9" w14:textId="77777777" w:rsidR="00934F2E" w:rsidRPr="00671360" w:rsidRDefault="00934F2E" w:rsidP="001F7304">
            <w:pPr>
              <w:jc w:val="center"/>
            </w:pPr>
          </w:p>
        </w:tc>
      </w:tr>
      <w:tr w:rsidR="00934F2E" w14:paraId="22D75C8A" w14:textId="77777777" w:rsidTr="00790AA7">
        <w:tc>
          <w:tcPr>
            <w:tcW w:w="216" w:type="pct"/>
            <w:tcBorders>
              <w:top w:val="single" w:sz="4" w:space="0" w:color="auto"/>
              <w:left w:val="single" w:sz="4" w:space="0" w:color="auto"/>
              <w:bottom w:val="single" w:sz="4" w:space="0" w:color="auto"/>
              <w:right w:val="single" w:sz="4" w:space="0" w:color="auto"/>
            </w:tcBorders>
            <w:vAlign w:val="center"/>
            <w:hideMark/>
          </w:tcPr>
          <w:p w14:paraId="57333FF9" w14:textId="77777777" w:rsidR="00934F2E" w:rsidRDefault="00934F2E" w:rsidP="001F7304">
            <w:pPr>
              <w:jc w:val="center"/>
              <w:rPr>
                <w:highlight w:val="yellow"/>
              </w:rPr>
            </w:pPr>
            <w:r>
              <w:t>2.</w:t>
            </w:r>
          </w:p>
        </w:tc>
        <w:tc>
          <w:tcPr>
            <w:tcW w:w="1506" w:type="pct"/>
            <w:tcBorders>
              <w:top w:val="single" w:sz="4" w:space="0" w:color="auto"/>
              <w:left w:val="single" w:sz="4" w:space="0" w:color="auto"/>
              <w:bottom w:val="single" w:sz="4" w:space="0" w:color="auto"/>
              <w:right w:val="single" w:sz="4" w:space="0" w:color="auto"/>
            </w:tcBorders>
            <w:hideMark/>
          </w:tcPr>
          <w:p w14:paraId="642A245F" w14:textId="77777777" w:rsidR="00934F2E" w:rsidRDefault="00934F2E" w:rsidP="00790AA7">
            <w:pPr>
              <w:rPr>
                <w:b/>
                <w:highlight w:val="yellow"/>
              </w:rPr>
            </w:pPr>
            <w:r>
              <w:rPr>
                <w:b/>
              </w:rPr>
              <w:t>Įstaigos sąnaudų darbo užmokesčiui dalis</w:t>
            </w:r>
          </w:p>
        </w:tc>
        <w:tc>
          <w:tcPr>
            <w:tcW w:w="1368" w:type="pct"/>
            <w:tcBorders>
              <w:top w:val="single" w:sz="4" w:space="0" w:color="auto"/>
              <w:left w:val="single" w:sz="4" w:space="0" w:color="auto"/>
              <w:bottom w:val="single" w:sz="4" w:space="0" w:color="auto"/>
              <w:right w:val="single" w:sz="4" w:space="0" w:color="auto"/>
            </w:tcBorders>
            <w:vAlign w:val="center"/>
            <w:hideMark/>
          </w:tcPr>
          <w:p w14:paraId="3FC24673" w14:textId="77777777" w:rsidR="00934F2E" w:rsidRDefault="00934F2E" w:rsidP="001F7304">
            <w:r>
              <w:t>Valstybės institucijoms skyrus papildomų Privalomojo sveikatos draudimo fondo (toliau – PSDF) biudžeto lėšų asmens sveikatos priežiūros paslaugoms apmokėti ir rekomendavus jas nukreipti sveikatos priežiūros specialistų darbo užmokesčiui didinti, ne mažiau kaip 85 proc. nurodytų lėšų panaudojamos darbo užmokesčiui didinti</w:t>
            </w:r>
          </w:p>
        </w:tc>
        <w:tc>
          <w:tcPr>
            <w:tcW w:w="1910" w:type="pct"/>
            <w:tcBorders>
              <w:top w:val="single" w:sz="4" w:space="0" w:color="auto"/>
              <w:left w:val="single" w:sz="4" w:space="0" w:color="auto"/>
              <w:bottom w:val="single" w:sz="4" w:space="0" w:color="auto"/>
              <w:right w:val="single" w:sz="4" w:space="0" w:color="auto"/>
            </w:tcBorders>
            <w:hideMark/>
          </w:tcPr>
          <w:p w14:paraId="1B157FDF" w14:textId="79CEFD4F" w:rsidR="00934F2E" w:rsidRPr="00E41FD3" w:rsidRDefault="00934F2E" w:rsidP="00790AA7">
            <w:r w:rsidRPr="00E41FD3">
              <w:t>125 proc.</w:t>
            </w:r>
            <w:r>
              <w:t xml:space="preserve">– </w:t>
            </w:r>
            <w:r w:rsidR="008F1050">
              <w:t>1</w:t>
            </w:r>
            <w:r w:rsidR="003F4376">
              <w:rPr>
                <w:b/>
                <w:bCs/>
              </w:rPr>
              <w:t>0</w:t>
            </w:r>
            <w:r w:rsidRPr="002F39D1">
              <w:rPr>
                <w:b/>
                <w:bCs/>
              </w:rPr>
              <w:t xml:space="preserve"> balų</w:t>
            </w:r>
          </w:p>
        </w:tc>
      </w:tr>
      <w:tr w:rsidR="00934F2E" w14:paraId="487D9B67" w14:textId="77777777" w:rsidTr="00385EDD">
        <w:tc>
          <w:tcPr>
            <w:tcW w:w="216" w:type="pct"/>
            <w:tcBorders>
              <w:top w:val="single" w:sz="4" w:space="0" w:color="auto"/>
              <w:left w:val="single" w:sz="4" w:space="0" w:color="auto"/>
              <w:bottom w:val="single" w:sz="4" w:space="0" w:color="auto"/>
              <w:right w:val="single" w:sz="4" w:space="0" w:color="auto"/>
            </w:tcBorders>
            <w:vAlign w:val="center"/>
          </w:tcPr>
          <w:p w14:paraId="3B05DB65" w14:textId="77777777" w:rsidR="00934F2E" w:rsidRDefault="00934F2E" w:rsidP="001F7304">
            <w:pPr>
              <w:jc w:val="center"/>
              <w:rPr>
                <w:szCs w:val="20"/>
              </w:rPr>
            </w:pPr>
          </w:p>
        </w:tc>
        <w:tc>
          <w:tcPr>
            <w:tcW w:w="2874" w:type="pct"/>
            <w:gridSpan w:val="2"/>
            <w:tcBorders>
              <w:top w:val="single" w:sz="4" w:space="0" w:color="auto"/>
              <w:left w:val="single" w:sz="4" w:space="0" w:color="auto"/>
              <w:bottom w:val="single" w:sz="4" w:space="0" w:color="auto"/>
              <w:right w:val="single" w:sz="4" w:space="0" w:color="auto"/>
            </w:tcBorders>
            <w:vAlign w:val="center"/>
          </w:tcPr>
          <w:p w14:paraId="6ABE938C" w14:textId="77777777" w:rsidR="00934F2E" w:rsidRPr="00CD5810" w:rsidRDefault="00934F2E" w:rsidP="001F7304">
            <w:pPr>
              <w:jc w:val="both"/>
              <w:rPr>
                <w:b/>
              </w:rPr>
            </w:pPr>
            <w:r>
              <w:rPr>
                <w:b/>
              </w:rPr>
              <w:t xml:space="preserve">Rodiklio reikšmė apskaičiuojama pagal formulę: </w:t>
            </w:r>
          </w:p>
          <w:p w14:paraId="2C2F443E" w14:textId="77777777" w:rsidR="00934F2E" w:rsidRDefault="00934F2E" w:rsidP="001F7304">
            <w:r>
              <w:lastRenderedPageBreak/>
              <w:t>Rodiklis parodo, kokią dalį procentais vidutinio vieno mėnesio darbo užmokesčio fondo augimas (palyginus du laikotarpius: iki darbo užmokesčio didinimo ir po jo, neįskaitant duomenų apie darbo užmokestį Lietuvos Respublikos teritorijoje paskelbto karantino laikotarpiu, t. y. nuo mėnesio, kurį buvo paskelbtas karantinas, pirmosios dienos iki mėnesio, kurį buvo atšauktas karantinas, paskutinės dienos) sudarė nuo papildomai skirtų Privalomojo sveikatos draudimo fondo (toliau – PSDF) lėšų, kurias buvo rekomenduojama skirti sveikatos priežiūros specialistų darbo užmokesčiui didinti. Rodiklio reikšmė apskaičiuojama pagal formulę:</w:t>
            </w:r>
          </w:p>
          <w:tbl>
            <w:tblPr>
              <w:tblStyle w:val="Lentelstinklelis"/>
              <w:tblW w:w="0" w:type="auto"/>
              <w:tblInd w:w="0" w:type="dxa"/>
              <w:tblLook w:val="04A0" w:firstRow="1" w:lastRow="0" w:firstColumn="1" w:lastColumn="0" w:noHBand="0" w:noVBand="1"/>
            </w:tblPr>
            <w:tblGrid>
              <w:gridCol w:w="3058"/>
              <w:gridCol w:w="3058"/>
            </w:tblGrid>
            <w:tr w:rsidR="00934F2E" w14:paraId="2A41F537" w14:textId="77777777" w:rsidTr="001F7304">
              <w:tc>
                <w:tcPr>
                  <w:tcW w:w="3058" w:type="dxa"/>
                  <w:tcBorders>
                    <w:top w:val="nil"/>
                    <w:left w:val="nil"/>
                    <w:bottom w:val="single" w:sz="4" w:space="0" w:color="auto"/>
                    <w:right w:val="nil"/>
                  </w:tcBorders>
                  <w:hideMark/>
                </w:tcPr>
                <w:p w14:paraId="2C59C4F5" w14:textId="77777777" w:rsidR="00934F2E" w:rsidRDefault="00934F2E" w:rsidP="001F7304">
                  <w:pPr>
                    <w:jc w:val="center"/>
                  </w:pPr>
                  <w:r>
                    <w:rPr>
                      <w:bCs/>
                    </w:rPr>
                    <w:t>DUF1</w:t>
                  </w:r>
                  <w:r>
                    <w:rPr>
                      <w:bCs/>
                      <w:vertAlign w:val="superscript"/>
                    </w:rPr>
                    <w:t>1</w:t>
                  </w:r>
                  <w:r>
                    <w:rPr>
                      <w:bCs/>
                    </w:rPr>
                    <w:t>-DUF2</w:t>
                  </w:r>
                  <w:r>
                    <w:rPr>
                      <w:bCs/>
                      <w:vertAlign w:val="superscript"/>
                    </w:rPr>
                    <w:t>2</w:t>
                  </w:r>
                </w:p>
              </w:tc>
              <w:tc>
                <w:tcPr>
                  <w:tcW w:w="3058" w:type="dxa"/>
                  <w:vMerge w:val="restart"/>
                  <w:tcBorders>
                    <w:top w:val="nil"/>
                    <w:left w:val="nil"/>
                    <w:bottom w:val="nil"/>
                    <w:right w:val="nil"/>
                  </w:tcBorders>
                  <w:vAlign w:val="center"/>
                  <w:hideMark/>
                </w:tcPr>
                <w:p w14:paraId="0AE5BAF5" w14:textId="77777777" w:rsidR="00934F2E" w:rsidRDefault="00934F2E" w:rsidP="001F7304">
                  <w:r>
                    <w:rPr>
                      <w:bCs/>
                    </w:rPr>
                    <w:t>X 100</w:t>
                  </w:r>
                </w:p>
              </w:tc>
            </w:tr>
            <w:tr w:rsidR="00934F2E" w14:paraId="542DDE55" w14:textId="77777777" w:rsidTr="001F7304">
              <w:tc>
                <w:tcPr>
                  <w:tcW w:w="3058" w:type="dxa"/>
                  <w:tcBorders>
                    <w:top w:val="single" w:sz="4" w:space="0" w:color="auto"/>
                    <w:left w:val="nil"/>
                    <w:bottom w:val="nil"/>
                    <w:right w:val="nil"/>
                  </w:tcBorders>
                  <w:hideMark/>
                </w:tcPr>
                <w:p w14:paraId="3F68F8E7" w14:textId="77777777" w:rsidR="00934F2E" w:rsidRDefault="00934F2E" w:rsidP="001F7304">
                  <w:pPr>
                    <w:jc w:val="center"/>
                  </w:pPr>
                  <w:r>
                    <w:rPr>
                      <w:bCs/>
                    </w:rPr>
                    <w:t>Papildomos lėšos</w:t>
                  </w:r>
                  <w:r>
                    <w:rPr>
                      <w:bCs/>
                      <w:vertAlign w:val="superscript"/>
                    </w:rPr>
                    <w:t>3</w:t>
                  </w:r>
                </w:p>
              </w:tc>
              <w:tc>
                <w:tcPr>
                  <w:tcW w:w="0" w:type="auto"/>
                  <w:vMerge/>
                  <w:tcBorders>
                    <w:top w:val="nil"/>
                    <w:left w:val="nil"/>
                    <w:bottom w:val="nil"/>
                    <w:right w:val="nil"/>
                  </w:tcBorders>
                  <w:vAlign w:val="center"/>
                  <w:hideMark/>
                </w:tcPr>
                <w:p w14:paraId="3921790E" w14:textId="77777777" w:rsidR="00934F2E" w:rsidRDefault="00934F2E" w:rsidP="001F7304">
                  <w:pPr>
                    <w:rPr>
                      <w:lang w:eastAsia="en-US"/>
                    </w:rPr>
                  </w:pPr>
                </w:p>
              </w:tc>
            </w:tr>
          </w:tbl>
          <w:p w14:paraId="7EB75152" w14:textId="77777777" w:rsidR="00934F2E" w:rsidRDefault="00934F2E" w:rsidP="001F7304"/>
          <w:p w14:paraId="59B7ACF3" w14:textId="77777777" w:rsidR="00934F2E" w:rsidRDefault="00934F2E" w:rsidP="001F7304">
            <w:r>
              <w:rPr>
                <w:vertAlign w:val="superscript"/>
              </w:rPr>
              <w:t>1</w:t>
            </w:r>
            <w:r>
              <w:t xml:space="preserve"> DUF1 – vidutinis vieno mėnesio darbo užmokesčio fondo dydis 2020 m. balandžio–gruodžio mėnesiais. Į šį laikotarpį neįskaičiuojami Lietuvos Respublikos teritorijoje paskelbto karantino laikotarpio duomenys (nuo mėnesio, kurį paskelbtas karantinas, pirmosios dienos iki mėnesio, kurį atšauktas karantinas, paskutinės dienos). Vidutinis vieno mėnesio darbo užmokesčio fondas apskaičiuojamas sudedant šio laikotarpio (neįskaitant karantino laikotarpio) kiekvieno mėnesio darbo užmokesčio fondo sumas ir padalijant jas iš mėnesių (neįskaitant karantino laikotarpio) skaičiaus.</w:t>
            </w:r>
          </w:p>
          <w:p w14:paraId="7672D159" w14:textId="77777777" w:rsidR="00934F2E" w:rsidRDefault="00934F2E" w:rsidP="001F7304">
            <w:pPr>
              <w:pStyle w:val="Default"/>
              <w:tabs>
                <w:tab w:val="left" w:pos="851"/>
              </w:tabs>
              <w:jc w:val="both"/>
            </w:pPr>
            <w:r>
              <w:rPr>
                <w:vertAlign w:val="superscript"/>
              </w:rPr>
              <w:t>2</w:t>
            </w:r>
            <w:r>
              <w:t xml:space="preserve"> DUF2 – vidutinis vieno mėnesio darbo užmokesčio fondo dydis 2019 m. rugsėjo–2020 m. kovo mėnesiais. Į šį laikotarpį neįskaičiuojami Lietuvos Respublikos teritorijoje paskelbto karantino laikotarpio duomenys (nuo mėnesio, kurį paskelbtas karantinas, pirmosios dienos iki mėnesio, kurį atšauktas karantinas, paskutinės dienos). Vidutinis vieno mėnesio darbo užmokesčio fondas apskaičiuojamas sudedant šio laikotarpio (neįskaitant karantino laikotarpio) kiekvieno mėnesio darbo užmokesčio fondo sumas ir padalijant jas iš mėnesių (neįskaitant karantino laikotarpio) skaičiaus.</w:t>
            </w:r>
          </w:p>
          <w:p w14:paraId="2DD632D4" w14:textId="77777777" w:rsidR="00934F2E" w:rsidRDefault="00934F2E" w:rsidP="001F7304">
            <w:r>
              <w:rPr>
                <w:vertAlign w:val="superscript"/>
              </w:rPr>
              <w:t>3</w:t>
            </w:r>
            <w:r>
              <w:t xml:space="preserve"> Papildomos lėšos – vidutiniškai vienam mėnesiui tenkančios papildomos PSDF lėšos (neįskaitant draudėjų mokamų socialinio draudimo įmokų</w:t>
            </w:r>
            <w:r>
              <w:rPr>
                <w:rFonts w:ascii="Arial" w:hAnsi="Arial" w:cs="Arial"/>
                <w:sz w:val="22"/>
                <w:szCs w:val="22"/>
                <w:shd w:val="clear" w:color="auto" w:fill="FFFFFF"/>
              </w:rPr>
              <w:t>)</w:t>
            </w:r>
            <w:r>
              <w:t xml:space="preserve">, kurias rekomenduota nukreipti sveikatos priežiūros specialistų darbo užmokesčiui didinti. Šios lėšos apskaičiuojamos iš </w:t>
            </w:r>
            <w:r>
              <w:lastRenderedPageBreak/>
              <w:t>papildomai skirtų PSDF lėšų atėmus draudėjų mokamas socialinio draudimo įmokų sumas ir jas padalijus iš mėnesių, kuriems skirtos šios lėšos, skaičiaus.</w:t>
            </w:r>
          </w:p>
          <w:p w14:paraId="0D68AD49" w14:textId="77777777" w:rsidR="00934F2E" w:rsidRDefault="00934F2E" w:rsidP="001F7304">
            <w:r>
              <w:rPr>
                <w:b/>
              </w:rPr>
              <w:t xml:space="preserve">Duomenų teikėjas: </w:t>
            </w:r>
            <w:r>
              <w:rPr>
                <w:bCs/>
              </w:rPr>
              <w:t>VLK.</w:t>
            </w:r>
          </w:p>
          <w:p w14:paraId="03CC7AD4" w14:textId="77777777" w:rsidR="00934F2E" w:rsidRDefault="00934F2E" w:rsidP="001F7304">
            <w:pPr>
              <w:jc w:val="center"/>
            </w:pPr>
          </w:p>
        </w:tc>
        <w:tc>
          <w:tcPr>
            <w:tcW w:w="1910" w:type="pct"/>
            <w:tcBorders>
              <w:top w:val="single" w:sz="4" w:space="0" w:color="auto"/>
              <w:left w:val="single" w:sz="4" w:space="0" w:color="auto"/>
              <w:bottom w:val="single" w:sz="4" w:space="0" w:color="auto"/>
              <w:right w:val="single" w:sz="4" w:space="0" w:color="auto"/>
            </w:tcBorders>
            <w:vAlign w:val="center"/>
          </w:tcPr>
          <w:p w14:paraId="5690B80F" w14:textId="77777777" w:rsidR="00934F2E" w:rsidRDefault="00934F2E" w:rsidP="001F7304"/>
          <w:tbl>
            <w:tblPr>
              <w:tblStyle w:val="Lentelstinklelis"/>
              <w:tblW w:w="0" w:type="auto"/>
              <w:tblInd w:w="0" w:type="dxa"/>
              <w:tblLook w:val="04A0" w:firstRow="1" w:lastRow="0" w:firstColumn="1" w:lastColumn="0" w:noHBand="0" w:noVBand="1"/>
            </w:tblPr>
            <w:tblGrid>
              <w:gridCol w:w="1748"/>
              <w:gridCol w:w="1155"/>
            </w:tblGrid>
            <w:tr w:rsidR="00934F2E" w:rsidRPr="00935CC9" w14:paraId="47B88E2E" w14:textId="77777777" w:rsidTr="001F7304">
              <w:tc>
                <w:tcPr>
                  <w:tcW w:w="1748" w:type="dxa"/>
                  <w:tcBorders>
                    <w:top w:val="nil"/>
                    <w:left w:val="nil"/>
                    <w:bottom w:val="single" w:sz="4" w:space="0" w:color="auto"/>
                    <w:right w:val="nil"/>
                  </w:tcBorders>
                  <w:hideMark/>
                </w:tcPr>
                <w:p w14:paraId="08F1F543" w14:textId="0FF4B005" w:rsidR="00934F2E" w:rsidRPr="00935CC9" w:rsidRDefault="00934F2E" w:rsidP="001F7304">
                  <w:pPr>
                    <w:jc w:val="center"/>
                    <w:rPr>
                      <w:bCs/>
                    </w:rPr>
                  </w:pPr>
                  <w:r w:rsidRPr="00935CC9">
                    <w:rPr>
                      <w:bCs/>
                    </w:rPr>
                    <w:lastRenderedPageBreak/>
                    <w:t>DUF1</w:t>
                  </w:r>
                  <w:r w:rsidRPr="00935CC9">
                    <w:rPr>
                      <w:bCs/>
                      <w:vertAlign w:val="superscript"/>
                    </w:rPr>
                    <w:t>1</w:t>
                  </w:r>
                  <w:r w:rsidRPr="00935CC9">
                    <w:rPr>
                      <w:bCs/>
                    </w:rPr>
                    <w:t>-DUF2</w:t>
                  </w:r>
                  <w:r w:rsidRPr="00935CC9">
                    <w:rPr>
                      <w:bCs/>
                      <w:vertAlign w:val="superscript"/>
                    </w:rPr>
                    <w:t xml:space="preserve">2  </w:t>
                  </w:r>
                  <w:r w:rsidRPr="00935CC9">
                    <w:rPr>
                      <w:bCs/>
                    </w:rPr>
                    <w:t>(</w:t>
                  </w:r>
                  <w:r w:rsidR="003F4376">
                    <w:rPr>
                      <w:bCs/>
                    </w:rPr>
                    <w:t>8947,62</w:t>
                  </w:r>
                  <w:r w:rsidRPr="00935CC9">
                    <w:rPr>
                      <w:bCs/>
                    </w:rPr>
                    <w:t>)</w:t>
                  </w:r>
                </w:p>
              </w:tc>
              <w:tc>
                <w:tcPr>
                  <w:tcW w:w="1155" w:type="dxa"/>
                  <w:vMerge w:val="restart"/>
                  <w:tcBorders>
                    <w:top w:val="nil"/>
                    <w:left w:val="nil"/>
                    <w:bottom w:val="nil"/>
                    <w:right w:val="nil"/>
                  </w:tcBorders>
                  <w:vAlign w:val="center"/>
                  <w:hideMark/>
                </w:tcPr>
                <w:p w14:paraId="455ACEB3" w14:textId="77777777" w:rsidR="00934F2E" w:rsidRPr="00935CC9" w:rsidRDefault="00934F2E" w:rsidP="001F7304">
                  <w:pPr>
                    <w:rPr>
                      <w:bCs/>
                    </w:rPr>
                  </w:pPr>
                  <w:r w:rsidRPr="00935CC9">
                    <w:rPr>
                      <w:bCs/>
                    </w:rPr>
                    <w:t>X 100</w:t>
                  </w:r>
                </w:p>
              </w:tc>
            </w:tr>
            <w:tr w:rsidR="00934F2E" w:rsidRPr="00935CC9" w14:paraId="1A02888E" w14:textId="77777777" w:rsidTr="001F7304">
              <w:tc>
                <w:tcPr>
                  <w:tcW w:w="1748" w:type="dxa"/>
                  <w:tcBorders>
                    <w:top w:val="single" w:sz="4" w:space="0" w:color="auto"/>
                    <w:left w:val="nil"/>
                    <w:bottom w:val="nil"/>
                    <w:right w:val="nil"/>
                  </w:tcBorders>
                  <w:vAlign w:val="center"/>
                  <w:hideMark/>
                </w:tcPr>
                <w:p w14:paraId="0E335CCC" w14:textId="4D1BF5E9" w:rsidR="00934F2E" w:rsidRPr="00935CC9" w:rsidRDefault="00934F2E" w:rsidP="001F7304">
                  <w:pPr>
                    <w:jc w:val="center"/>
                    <w:rPr>
                      <w:bCs/>
                    </w:rPr>
                  </w:pPr>
                  <w:r w:rsidRPr="00935CC9">
                    <w:rPr>
                      <w:bCs/>
                    </w:rPr>
                    <w:t>Papildomos lėšos</w:t>
                  </w:r>
                  <w:r w:rsidRPr="00935CC9">
                    <w:rPr>
                      <w:bCs/>
                      <w:vertAlign w:val="superscript"/>
                    </w:rPr>
                    <w:t xml:space="preserve">3 </w:t>
                  </w:r>
                  <w:r w:rsidRPr="00935CC9">
                    <w:rPr>
                      <w:bCs/>
                    </w:rPr>
                    <w:t>(</w:t>
                  </w:r>
                  <w:r w:rsidR="003F4376">
                    <w:rPr>
                      <w:bCs/>
                    </w:rPr>
                    <w:t>11353,5</w:t>
                  </w:r>
                  <w:r w:rsidRPr="00935CC9">
                    <w:rPr>
                      <w:bCs/>
                    </w:rPr>
                    <w:t>)</w:t>
                  </w:r>
                </w:p>
              </w:tc>
              <w:tc>
                <w:tcPr>
                  <w:tcW w:w="0" w:type="auto"/>
                  <w:vMerge/>
                  <w:tcBorders>
                    <w:top w:val="nil"/>
                    <w:left w:val="nil"/>
                    <w:bottom w:val="nil"/>
                    <w:right w:val="nil"/>
                  </w:tcBorders>
                  <w:vAlign w:val="center"/>
                  <w:hideMark/>
                </w:tcPr>
                <w:p w14:paraId="637BA8AB" w14:textId="77777777" w:rsidR="00934F2E" w:rsidRPr="00935CC9" w:rsidRDefault="00934F2E" w:rsidP="001F7304">
                  <w:pPr>
                    <w:rPr>
                      <w:bCs/>
                      <w:lang w:eastAsia="en-US"/>
                    </w:rPr>
                  </w:pPr>
                </w:p>
              </w:tc>
            </w:tr>
          </w:tbl>
          <w:p w14:paraId="6E3D80A8" w14:textId="77777777" w:rsidR="00934F2E" w:rsidRDefault="00934F2E" w:rsidP="001F7304">
            <w:pPr>
              <w:jc w:val="center"/>
            </w:pPr>
          </w:p>
        </w:tc>
      </w:tr>
      <w:tr w:rsidR="00934F2E" w:rsidRPr="00B20F8C" w14:paraId="7746E90E" w14:textId="77777777" w:rsidTr="00385EDD">
        <w:trPr>
          <w:trHeight w:val="1114"/>
        </w:trPr>
        <w:tc>
          <w:tcPr>
            <w:tcW w:w="216" w:type="pct"/>
            <w:vMerge w:val="restart"/>
            <w:tcBorders>
              <w:top w:val="single" w:sz="4" w:space="0" w:color="auto"/>
              <w:left w:val="single" w:sz="4" w:space="0" w:color="auto"/>
              <w:bottom w:val="single" w:sz="4" w:space="0" w:color="auto"/>
              <w:right w:val="single" w:sz="4" w:space="0" w:color="auto"/>
            </w:tcBorders>
            <w:vAlign w:val="center"/>
            <w:hideMark/>
          </w:tcPr>
          <w:p w14:paraId="15BF8753" w14:textId="77777777" w:rsidR="00934F2E" w:rsidRPr="00B20F8C" w:rsidRDefault="00934F2E" w:rsidP="001F7304">
            <w:pPr>
              <w:jc w:val="center"/>
            </w:pPr>
            <w:r w:rsidRPr="00B20F8C">
              <w:lastRenderedPageBreak/>
              <w:t>3.</w:t>
            </w:r>
          </w:p>
        </w:tc>
        <w:tc>
          <w:tcPr>
            <w:tcW w:w="1506" w:type="pct"/>
            <w:tcBorders>
              <w:top w:val="single" w:sz="4" w:space="0" w:color="auto"/>
              <w:left w:val="single" w:sz="4" w:space="0" w:color="auto"/>
              <w:bottom w:val="single" w:sz="4" w:space="0" w:color="auto"/>
              <w:right w:val="single" w:sz="4" w:space="0" w:color="auto"/>
            </w:tcBorders>
            <w:vAlign w:val="center"/>
            <w:hideMark/>
          </w:tcPr>
          <w:p w14:paraId="6FB74AE0" w14:textId="77777777" w:rsidR="00934F2E" w:rsidRPr="00B20F8C" w:rsidRDefault="00934F2E" w:rsidP="001F7304">
            <w:pPr>
              <w:jc w:val="both"/>
              <w:rPr>
                <w:b/>
              </w:rPr>
            </w:pPr>
            <w:r w:rsidRPr="00B20F8C">
              <w:rPr>
                <w:b/>
              </w:rPr>
              <w:t>Įstaigos sąnaudų valdymo išlaidoms dalis</w:t>
            </w:r>
          </w:p>
        </w:tc>
        <w:tc>
          <w:tcPr>
            <w:tcW w:w="1368" w:type="pct"/>
            <w:tcBorders>
              <w:top w:val="single" w:sz="4" w:space="0" w:color="auto"/>
              <w:left w:val="single" w:sz="4" w:space="0" w:color="auto"/>
              <w:bottom w:val="single" w:sz="4" w:space="0" w:color="auto"/>
              <w:right w:val="single" w:sz="4" w:space="0" w:color="auto"/>
            </w:tcBorders>
            <w:vAlign w:val="center"/>
            <w:hideMark/>
          </w:tcPr>
          <w:p w14:paraId="65C05767" w14:textId="77777777" w:rsidR="00934F2E" w:rsidRPr="00B20F8C" w:rsidRDefault="00934F2E" w:rsidP="001F7304">
            <w:pPr>
              <w:jc w:val="center"/>
            </w:pPr>
            <w:r w:rsidRPr="00B20F8C">
              <w:t>Įstaigos sąnaudų valdymo išlaidoms dalis ne daugiau kaip 2,4 proc.</w:t>
            </w:r>
          </w:p>
        </w:tc>
        <w:tc>
          <w:tcPr>
            <w:tcW w:w="1910" w:type="pct"/>
            <w:tcBorders>
              <w:top w:val="single" w:sz="4" w:space="0" w:color="auto"/>
              <w:left w:val="single" w:sz="4" w:space="0" w:color="auto"/>
              <w:bottom w:val="single" w:sz="4" w:space="0" w:color="auto"/>
              <w:right w:val="single" w:sz="4" w:space="0" w:color="auto"/>
            </w:tcBorders>
            <w:vAlign w:val="center"/>
            <w:hideMark/>
          </w:tcPr>
          <w:p w14:paraId="1EE5F724" w14:textId="7581C08F" w:rsidR="00934F2E" w:rsidRPr="00B20F8C" w:rsidRDefault="00B20F8C" w:rsidP="001F7304">
            <w:pPr>
              <w:jc w:val="center"/>
            </w:pPr>
            <w:r w:rsidRPr="00B20F8C">
              <w:t xml:space="preserve">1,75 </w:t>
            </w:r>
            <w:r w:rsidR="00934F2E" w:rsidRPr="00B20F8C">
              <w:t>proc. –</w:t>
            </w:r>
            <w:r>
              <w:t xml:space="preserve"> 1</w:t>
            </w:r>
            <w:r w:rsidR="00934F2E" w:rsidRPr="00B20F8C">
              <w:rPr>
                <w:b/>
                <w:bCs/>
              </w:rPr>
              <w:t>0 balų</w:t>
            </w:r>
          </w:p>
        </w:tc>
      </w:tr>
      <w:tr w:rsidR="00934F2E" w:rsidRPr="00B20F8C" w14:paraId="2456A892" w14:textId="77777777" w:rsidTr="00790AA7">
        <w:trPr>
          <w:trHeight w:val="1114"/>
        </w:trPr>
        <w:tc>
          <w:tcPr>
            <w:tcW w:w="216" w:type="pct"/>
            <w:vMerge/>
            <w:tcBorders>
              <w:top w:val="single" w:sz="4" w:space="0" w:color="auto"/>
              <w:left w:val="single" w:sz="4" w:space="0" w:color="auto"/>
              <w:bottom w:val="single" w:sz="4" w:space="0" w:color="auto"/>
              <w:right w:val="single" w:sz="4" w:space="0" w:color="auto"/>
            </w:tcBorders>
            <w:vAlign w:val="center"/>
            <w:hideMark/>
          </w:tcPr>
          <w:p w14:paraId="7667BB23" w14:textId="77777777" w:rsidR="00934F2E" w:rsidRPr="00B20F8C" w:rsidRDefault="00934F2E" w:rsidP="001F7304">
            <w:pPr>
              <w:rPr>
                <w:highlight w:val="yellow"/>
                <w:lang w:eastAsia="en-US"/>
              </w:rPr>
            </w:pPr>
          </w:p>
        </w:tc>
        <w:tc>
          <w:tcPr>
            <w:tcW w:w="2874" w:type="pct"/>
            <w:gridSpan w:val="2"/>
            <w:tcBorders>
              <w:top w:val="single" w:sz="4" w:space="0" w:color="auto"/>
              <w:left w:val="single" w:sz="4" w:space="0" w:color="auto"/>
              <w:bottom w:val="single" w:sz="4" w:space="0" w:color="auto"/>
              <w:right w:val="single" w:sz="4" w:space="0" w:color="auto"/>
            </w:tcBorders>
            <w:vAlign w:val="center"/>
          </w:tcPr>
          <w:p w14:paraId="04833411" w14:textId="77777777" w:rsidR="00934F2E" w:rsidRPr="00442599" w:rsidRDefault="00934F2E" w:rsidP="001F7304">
            <w:pPr>
              <w:rPr>
                <w:szCs w:val="20"/>
              </w:rPr>
            </w:pPr>
            <w:r w:rsidRPr="00442599">
              <w:t>Rodiklio reikšmė apskaičiuojama pagal formulę:</w:t>
            </w:r>
          </w:p>
          <w:p w14:paraId="38711784" w14:textId="77777777" w:rsidR="00934F2E" w:rsidRPr="00442599" w:rsidRDefault="00934F2E" w:rsidP="001F7304"/>
          <w:p w14:paraId="659FE44A" w14:textId="77777777" w:rsidR="00934F2E" w:rsidRPr="00442599" w:rsidRDefault="00934F2E" w:rsidP="001F7304">
            <w:r w:rsidRPr="00442599">
              <w:rPr>
                <w:vertAlign w:val="superscript"/>
              </w:rPr>
              <w:t xml:space="preserve">1 </w:t>
            </w:r>
            <w:r w:rsidRPr="00442599">
              <w:t>Prie valdymo darbuotojų priskiriami: įstaigos vadovas ir jo pavaduotojai, patarėjai, vyriausieji finansininkai (buhalteriai).</w:t>
            </w:r>
          </w:p>
          <w:p w14:paraId="4205D3B5" w14:textId="77777777" w:rsidR="00934F2E" w:rsidRPr="00442599" w:rsidRDefault="00934F2E" w:rsidP="001F7304">
            <w:pPr>
              <w:rPr>
                <w:color w:val="000000"/>
                <w:szCs w:val="20"/>
              </w:rPr>
            </w:pPr>
            <w:r w:rsidRPr="00442599">
              <w:rPr>
                <w:vertAlign w:val="superscript"/>
              </w:rPr>
              <w:t>2</w:t>
            </w:r>
            <w:r w:rsidRPr="00442599">
              <w:t xml:space="preserve"> Prie valdymo darbuotojų išlaidų priskiriama: darbo užmokestis, </w:t>
            </w:r>
            <w:r w:rsidRPr="00442599">
              <w:rPr>
                <w:color w:val="000000"/>
              </w:rPr>
              <w:t>prekių ir paslaugų naudojimo išlaidos, darbo vietų įkūrimo, administracinių patalpų išlaikymo (įskaitant ir remontą) sąnaudos, darbdavių socialinės pašalpos, materialiojo ir nematerialiojo turto įsigijimo išlaidos.</w:t>
            </w:r>
          </w:p>
          <w:p w14:paraId="7497A503" w14:textId="77777777" w:rsidR="00934F2E" w:rsidRPr="00442599" w:rsidRDefault="00934F2E" w:rsidP="001F7304"/>
          <w:p w14:paraId="78A25142" w14:textId="77777777" w:rsidR="00934F2E" w:rsidRPr="00442599" w:rsidRDefault="00934F2E" w:rsidP="001F7304">
            <w:r w:rsidRPr="00442599">
              <w:t>Duomenų teikėjai: asmens sveikatos priežiūros įstaigos (toliau – ASPĮ) ir VLK.</w:t>
            </w:r>
          </w:p>
        </w:tc>
        <w:tc>
          <w:tcPr>
            <w:tcW w:w="1910" w:type="pct"/>
            <w:tcBorders>
              <w:top w:val="single" w:sz="4" w:space="0" w:color="auto"/>
              <w:left w:val="single" w:sz="4" w:space="0" w:color="auto"/>
              <w:bottom w:val="single" w:sz="4" w:space="0" w:color="auto"/>
              <w:right w:val="single" w:sz="4" w:space="0" w:color="auto"/>
            </w:tcBorders>
            <w:vAlign w:val="center"/>
          </w:tcPr>
          <w:p w14:paraId="061443D8" w14:textId="77777777" w:rsidR="00934F2E" w:rsidRPr="00442599" w:rsidRDefault="00934F2E" w:rsidP="001F7304"/>
          <w:tbl>
            <w:tblPr>
              <w:tblStyle w:val="Lentelstinklelis"/>
              <w:tblW w:w="0" w:type="auto"/>
              <w:tblInd w:w="0" w:type="dxa"/>
              <w:tblLook w:val="04A0" w:firstRow="1" w:lastRow="0" w:firstColumn="1" w:lastColumn="0" w:noHBand="0" w:noVBand="1"/>
            </w:tblPr>
            <w:tblGrid>
              <w:gridCol w:w="2510"/>
              <w:gridCol w:w="1942"/>
            </w:tblGrid>
            <w:tr w:rsidR="00934F2E" w:rsidRPr="00442599" w14:paraId="7493369C" w14:textId="77777777" w:rsidTr="001F7304">
              <w:tc>
                <w:tcPr>
                  <w:tcW w:w="2529" w:type="dxa"/>
                  <w:tcBorders>
                    <w:top w:val="nil"/>
                    <w:left w:val="nil"/>
                    <w:bottom w:val="single" w:sz="4" w:space="0" w:color="auto"/>
                    <w:right w:val="nil"/>
                  </w:tcBorders>
                </w:tcPr>
                <w:p w14:paraId="527B7A7A" w14:textId="77777777" w:rsidR="00934F2E" w:rsidRPr="00442599" w:rsidRDefault="00934F2E" w:rsidP="001F7304">
                  <w:pPr>
                    <w:jc w:val="center"/>
                    <w:rPr>
                      <w:vertAlign w:val="superscript"/>
                    </w:rPr>
                  </w:pPr>
                  <w:r w:rsidRPr="00442599">
                    <w:t>Valdymo darbuotojų</w:t>
                  </w:r>
                  <w:r w:rsidRPr="00442599">
                    <w:rPr>
                      <w:vertAlign w:val="superscript"/>
                    </w:rPr>
                    <w:t>1</w:t>
                  </w:r>
                  <w:r w:rsidRPr="00442599">
                    <w:t xml:space="preserve"> per metus patirtų išlaidų suma</w:t>
                  </w:r>
                  <w:r w:rsidRPr="00442599">
                    <w:rPr>
                      <w:vertAlign w:val="superscript"/>
                    </w:rPr>
                    <w:t>2</w:t>
                  </w:r>
                </w:p>
                <w:p w14:paraId="66167F52" w14:textId="2CB26D8C" w:rsidR="00934F2E" w:rsidRPr="00442599" w:rsidRDefault="00934F2E" w:rsidP="001F7304">
                  <w:pPr>
                    <w:jc w:val="center"/>
                    <w:rPr>
                      <w:b/>
                      <w:bCs/>
                    </w:rPr>
                  </w:pPr>
                  <w:r w:rsidRPr="00442599">
                    <w:rPr>
                      <w:b/>
                      <w:bCs/>
                    </w:rPr>
                    <w:t>(</w:t>
                  </w:r>
                  <w:r w:rsidR="00B20F8C" w:rsidRPr="00442599">
                    <w:rPr>
                      <w:b/>
                      <w:bCs/>
                    </w:rPr>
                    <w:t>80669,68</w:t>
                  </w:r>
                  <w:r w:rsidRPr="00442599">
                    <w:rPr>
                      <w:b/>
                      <w:bCs/>
                    </w:rPr>
                    <w:t>)</w:t>
                  </w:r>
                </w:p>
                <w:p w14:paraId="081F674D" w14:textId="77777777" w:rsidR="00934F2E" w:rsidRPr="00442599" w:rsidRDefault="00934F2E" w:rsidP="001F7304">
                  <w:pPr>
                    <w:jc w:val="center"/>
                    <w:rPr>
                      <w:szCs w:val="20"/>
                    </w:rPr>
                  </w:pPr>
                </w:p>
              </w:tc>
              <w:tc>
                <w:tcPr>
                  <w:tcW w:w="2290" w:type="dxa"/>
                  <w:vMerge w:val="restart"/>
                  <w:tcBorders>
                    <w:top w:val="nil"/>
                    <w:left w:val="nil"/>
                    <w:bottom w:val="nil"/>
                    <w:right w:val="nil"/>
                  </w:tcBorders>
                  <w:vAlign w:val="center"/>
                  <w:hideMark/>
                </w:tcPr>
                <w:p w14:paraId="37CAA7C6" w14:textId="77777777" w:rsidR="00934F2E" w:rsidRPr="00442599" w:rsidRDefault="00934F2E" w:rsidP="001F7304">
                  <w:r w:rsidRPr="00442599">
                    <w:t xml:space="preserve">x 100 </w:t>
                  </w:r>
                  <w:r w:rsidRPr="00442599">
                    <w:rPr>
                      <w:lang w:val="en-US"/>
                    </w:rPr>
                    <w:t>%</w:t>
                  </w:r>
                </w:p>
              </w:tc>
            </w:tr>
            <w:tr w:rsidR="00934F2E" w:rsidRPr="00442599" w14:paraId="0AC68744" w14:textId="77777777" w:rsidTr="001F7304">
              <w:tc>
                <w:tcPr>
                  <w:tcW w:w="2529" w:type="dxa"/>
                  <w:tcBorders>
                    <w:top w:val="single" w:sz="4" w:space="0" w:color="auto"/>
                    <w:left w:val="nil"/>
                    <w:bottom w:val="nil"/>
                    <w:right w:val="nil"/>
                  </w:tcBorders>
                  <w:hideMark/>
                </w:tcPr>
                <w:p w14:paraId="33B3E7C2" w14:textId="77777777" w:rsidR="00934F2E" w:rsidRPr="00442599" w:rsidRDefault="00934F2E" w:rsidP="001F7304">
                  <w:pPr>
                    <w:jc w:val="center"/>
                    <w:rPr>
                      <w:b/>
                      <w:bCs/>
                    </w:rPr>
                  </w:pPr>
                  <w:r w:rsidRPr="00442599">
                    <w:t>Pagrindinės įstaigos veiklos sąnaudos per metus + kitos įstaigos veiklos sąnaudos per metus (</w:t>
                  </w:r>
                  <w:r w:rsidR="00B20F8C" w:rsidRPr="00442599">
                    <w:rPr>
                      <w:b/>
                      <w:bCs/>
                    </w:rPr>
                    <w:t>4610194,59+</w:t>
                  </w:r>
                  <w:r w:rsidR="00442599" w:rsidRPr="00442599">
                    <w:rPr>
                      <w:b/>
                      <w:bCs/>
                    </w:rPr>
                    <w:t>1961,84</w:t>
                  </w:r>
                  <w:r w:rsidRPr="00442599">
                    <w:rPr>
                      <w:b/>
                      <w:bCs/>
                    </w:rPr>
                    <w:t>)</w:t>
                  </w:r>
                </w:p>
                <w:p w14:paraId="4EA2FD26" w14:textId="63CBC02B" w:rsidR="00442599" w:rsidRPr="00442599" w:rsidRDefault="00442599" w:rsidP="001F7304">
                  <w:pPr>
                    <w:jc w:val="center"/>
                  </w:pPr>
                  <w:r w:rsidRPr="00442599">
                    <w:rPr>
                      <w:b/>
                      <w:bCs/>
                    </w:rPr>
                    <w:t>4610174,81</w:t>
                  </w:r>
                </w:p>
              </w:tc>
              <w:tc>
                <w:tcPr>
                  <w:tcW w:w="0" w:type="auto"/>
                  <w:vMerge/>
                  <w:tcBorders>
                    <w:top w:val="nil"/>
                    <w:left w:val="nil"/>
                    <w:bottom w:val="nil"/>
                    <w:right w:val="nil"/>
                  </w:tcBorders>
                  <w:vAlign w:val="center"/>
                  <w:hideMark/>
                </w:tcPr>
                <w:p w14:paraId="5DD68C05" w14:textId="77777777" w:rsidR="00934F2E" w:rsidRPr="00442599" w:rsidRDefault="00934F2E" w:rsidP="001F7304">
                  <w:pPr>
                    <w:rPr>
                      <w:lang w:eastAsia="en-US"/>
                    </w:rPr>
                  </w:pPr>
                </w:p>
              </w:tc>
            </w:tr>
          </w:tbl>
          <w:p w14:paraId="787E6787" w14:textId="77777777" w:rsidR="00934F2E" w:rsidRPr="00442599" w:rsidRDefault="00934F2E" w:rsidP="00790AA7">
            <w:pPr>
              <w:rPr>
                <w:b/>
                <w:bCs/>
              </w:rPr>
            </w:pPr>
          </w:p>
        </w:tc>
      </w:tr>
      <w:tr w:rsidR="00790AA7" w:rsidRPr="00442599" w14:paraId="7322CA1C" w14:textId="77777777" w:rsidTr="00E172AC">
        <w:tc>
          <w:tcPr>
            <w:tcW w:w="216" w:type="pct"/>
            <w:vMerge w:val="restart"/>
            <w:tcBorders>
              <w:top w:val="single" w:sz="4" w:space="0" w:color="auto"/>
              <w:left w:val="single" w:sz="4" w:space="0" w:color="auto"/>
              <w:right w:val="single" w:sz="4" w:space="0" w:color="auto"/>
            </w:tcBorders>
            <w:vAlign w:val="center"/>
            <w:hideMark/>
          </w:tcPr>
          <w:p w14:paraId="2B8DACB3" w14:textId="77777777" w:rsidR="00790AA7" w:rsidRPr="00442599" w:rsidRDefault="00790AA7" w:rsidP="001F7304">
            <w:pPr>
              <w:jc w:val="center"/>
            </w:pPr>
            <w:r w:rsidRPr="00442599">
              <w:t>4.</w:t>
            </w:r>
          </w:p>
        </w:tc>
        <w:tc>
          <w:tcPr>
            <w:tcW w:w="1506" w:type="pct"/>
            <w:tcBorders>
              <w:top w:val="single" w:sz="4" w:space="0" w:color="auto"/>
              <w:left w:val="single" w:sz="4" w:space="0" w:color="auto"/>
              <w:bottom w:val="single" w:sz="4" w:space="0" w:color="auto"/>
              <w:right w:val="single" w:sz="4" w:space="0" w:color="auto"/>
            </w:tcBorders>
            <w:vAlign w:val="center"/>
            <w:hideMark/>
          </w:tcPr>
          <w:p w14:paraId="752729B0" w14:textId="77777777" w:rsidR="00790AA7" w:rsidRPr="00442599" w:rsidRDefault="00790AA7" w:rsidP="001F7304">
            <w:pPr>
              <w:jc w:val="both"/>
              <w:rPr>
                <w:b/>
              </w:rPr>
            </w:pPr>
            <w:r w:rsidRPr="00442599">
              <w:rPr>
                <w:b/>
              </w:rPr>
              <w:t>Įstaigos finansinių įsipareigojimų dalis nuo metinio įstaigos biudžeto</w:t>
            </w:r>
          </w:p>
        </w:tc>
        <w:tc>
          <w:tcPr>
            <w:tcW w:w="1368" w:type="pct"/>
            <w:tcBorders>
              <w:top w:val="single" w:sz="4" w:space="0" w:color="auto"/>
              <w:left w:val="single" w:sz="4" w:space="0" w:color="auto"/>
              <w:bottom w:val="single" w:sz="4" w:space="0" w:color="auto"/>
              <w:right w:val="single" w:sz="4" w:space="0" w:color="auto"/>
            </w:tcBorders>
            <w:vAlign w:val="center"/>
            <w:hideMark/>
          </w:tcPr>
          <w:p w14:paraId="7A773CE5" w14:textId="77777777" w:rsidR="00790AA7" w:rsidRPr="00442599" w:rsidRDefault="00790AA7" w:rsidP="001F7304">
            <w:pPr>
              <w:jc w:val="center"/>
            </w:pPr>
            <w:r w:rsidRPr="00442599">
              <w:t>Įsipareigojimų koeficientas ne didesnis kaip 0,12</w:t>
            </w:r>
          </w:p>
        </w:tc>
        <w:tc>
          <w:tcPr>
            <w:tcW w:w="1910" w:type="pct"/>
            <w:tcBorders>
              <w:top w:val="single" w:sz="4" w:space="0" w:color="auto"/>
              <w:left w:val="single" w:sz="4" w:space="0" w:color="auto"/>
              <w:bottom w:val="single" w:sz="4" w:space="0" w:color="auto"/>
              <w:right w:val="single" w:sz="4" w:space="0" w:color="auto"/>
            </w:tcBorders>
            <w:vAlign w:val="center"/>
            <w:hideMark/>
          </w:tcPr>
          <w:p w14:paraId="4B68160D" w14:textId="55E2A0B4" w:rsidR="00790AA7" w:rsidRPr="00442599" w:rsidRDefault="00790AA7" w:rsidP="001F7304">
            <w:pPr>
              <w:jc w:val="center"/>
            </w:pPr>
            <w:r w:rsidRPr="00442599">
              <w:t xml:space="preserve">0,13 – </w:t>
            </w:r>
            <w:r w:rsidRPr="00442599">
              <w:rPr>
                <w:b/>
                <w:bCs/>
              </w:rPr>
              <w:t>0 balų</w:t>
            </w:r>
          </w:p>
        </w:tc>
      </w:tr>
      <w:tr w:rsidR="00790AA7" w:rsidRPr="00442599" w14:paraId="1176920D" w14:textId="77777777" w:rsidTr="00E172AC">
        <w:tc>
          <w:tcPr>
            <w:tcW w:w="216" w:type="pct"/>
            <w:vMerge/>
            <w:tcBorders>
              <w:left w:val="single" w:sz="4" w:space="0" w:color="auto"/>
              <w:right w:val="single" w:sz="4" w:space="0" w:color="auto"/>
            </w:tcBorders>
            <w:vAlign w:val="center"/>
          </w:tcPr>
          <w:p w14:paraId="18B088C3" w14:textId="77777777" w:rsidR="00790AA7" w:rsidRPr="00442599" w:rsidRDefault="00790AA7" w:rsidP="001F7304">
            <w:pPr>
              <w:jc w:val="center"/>
              <w:rPr>
                <w:color w:val="000000" w:themeColor="text1"/>
              </w:rPr>
            </w:pPr>
          </w:p>
        </w:tc>
        <w:tc>
          <w:tcPr>
            <w:tcW w:w="2874" w:type="pct"/>
            <w:gridSpan w:val="2"/>
            <w:tcBorders>
              <w:top w:val="single" w:sz="4" w:space="0" w:color="auto"/>
              <w:left w:val="single" w:sz="4" w:space="0" w:color="auto"/>
              <w:bottom w:val="nil"/>
              <w:right w:val="nil"/>
            </w:tcBorders>
            <w:vAlign w:val="center"/>
          </w:tcPr>
          <w:p w14:paraId="477B6C98" w14:textId="77777777" w:rsidR="00790AA7" w:rsidRPr="00442599" w:rsidRDefault="00790AA7" w:rsidP="001F7304">
            <w:pPr>
              <w:jc w:val="center"/>
              <w:rPr>
                <w:color w:val="000000" w:themeColor="text1"/>
              </w:rPr>
            </w:pPr>
          </w:p>
        </w:tc>
        <w:tc>
          <w:tcPr>
            <w:tcW w:w="1910" w:type="pct"/>
            <w:tcBorders>
              <w:top w:val="single" w:sz="4" w:space="0" w:color="auto"/>
              <w:left w:val="nil"/>
              <w:bottom w:val="nil"/>
              <w:right w:val="single" w:sz="4" w:space="0" w:color="auto"/>
            </w:tcBorders>
            <w:vAlign w:val="center"/>
          </w:tcPr>
          <w:p w14:paraId="6501CF32" w14:textId="77777777" w:rsidR="00790AA7" w:rsidRPr="00442599" w:rsidRDefault="00790AA7" w:rsidP="001F7304">
            <w:pPr>
              <w:jc w:val="center"/>
              <w:rPr>
                <w:color w:val="000000" w:themeColor="text1"/>
              </w:rPr>
            </w:pPr>
          </w:p>
        </w:tc>
      </w:tr>
      <w:tr w:rsidR="00790AA7" w:rsidRPr="00442599" w14:paraId="7BB84632" w14:textId="77777777" w:rsidTr="00E172AC">
        <w:tc>
          <w:tcPr>
            <w:tcW w:w="216" w:type="pct"/>
            <w:vMerge/>
            <w:tcBorders>
              <w:left w:val="single" w:sz="4" w:space="0" w:color="auto"/>
              <w:right w:val="single" w:sz="4" w:space="0" w:color="auto"/>
            </w:tcBorders>
            <w:vAlign w:val="center"/>
            <w:hideMark/>
          </w:tcPr>
          <w:p w14:paraId="0CCDAAE2" w14:textId="77777777" w:rsidR="00790AA7" w:rsidRPr="00442599" w:rsidRDefault="00790AA7" w:rsidP="001F7304">
            <w:pPr>
              <w:rPr>
                <w:color w:val="000000" w:themeColor="text1"/>
                <w:lang w:eastAsia="en-US"/>
              </w:rPr>
            </w:pPr>
          </w:p>
        </w:tc>
        <w:tc>
          <w:tcPr>
            <w:tcW w:w="2874" w:type="pct"/>
            <w:gridSpan w:val="2"/>
            <w:tcBorders>
              <w:top w:val="nil"/>
              <w:left w:val="single" w:sz="4" w:space="0" w:color="auto"/>
              <w:bottom w:val="nil"/>
              <w:right w:val="nil"/>
            </w:tcBorders>
            <w:vAlign w:val="center"/>
            <w:hideMark/>
          </w:tcPr>
          <w:p w14:paraId="49214F62" w14:textId="77777777" w:rsidR="00790AA7" w:rsidRPr="00442599" w:rsidRDefault="00790AA7" w:rsidP="001F7304">
            <w:pPr>
              <w:rPr>
                <w:color w:val="000000" w:themeColor="text1"/>
              </w:rPr>
            </w:pPr>
            <w:r w:rsidRPr="00442599">
              <w:rPr>
                <w:b/>
                <w:color w:val="000000" w:themeColor="text1"/>
              </w:rPr>
              <w:t>Rodiklio reikšmė apskaičiuojama pagal formulę:</w:t>
            </w:r>
          </w:p>
        </w:tc>
        <w:tc>
          <w:tcPr>
            <w:tcW w:w="1910" w:type="pct"/>
            <w:tcBorders>
              <w:top w:val="nil"/>
              <w:left w:val="nil"/>
              <w:bottom w:val="nil"/>
              <w:right w:val="single" w:sz="4" w:space="0" w:color="auto"/>
            </w:tcBorders>
            <w:vAlign w:val="center"/>
          </w:tcPr>
          <w:p w14:paraId="1DEF2DAF" w14:textId="77777777" w:rsidR="00790AA7" w:rsidRPr="00442599" w:rsidRDefault="00790AA7" w:rsidP="001F7304">
            <w:pPr>
              <w:jc w:val="center"/>
              <w:rPr>
                <w:color w:val="000000" w:themeColor="text1"/>
              </w:rPr>
            </w:pPr>
          </w:p>
        </w:tc>
      </w:tr>
      <w:tr w:rsidR="00790AA7" w:rsidRPr="00442599" w14:paraId="3508E0DB" w14:textId="77777777" w:rsidTr="00E172AC">
        <w:tc>
          <w:tcPr>
            <w:tcW w:w="216" w:type="pct"/>
            <w:vMerge/>
            <w:tcBorders>
              <w:left w:val="single" w:sz="4" w:space="0" w:color="auto"/>
              <w:right w:val="single" w:sz="4" w:space="0" w:color="auto"/>
            </w:tcBorders>
            <w:vAlign w:val="center"/>
            <w:hideMark/>
          </w:tcPr>
          <w:p w14:paraId="6769F222" w14:textId="77777777" w:rsidR="00790AA7" w:rsidRPr="00442599" w:rsidRDefault="00790AA7" w:rsidP="001F7304">
            <w:pPr>
              <w:rPr>
                <w:color w:val="000000" w:themeColor="text1"/>
                <w:lang w:eastAsia="en-US"/>
              </w:rPr>
            </w:pPr>
          </w:p>
        </w:tc>
        <w:tc>
          <w:tcPr>
            <w:tcW w:w="1506" w:type="pct"/>
            <w:tcBorders>
              <w:top w:val="nil"/>
              <w:left w:val="single" w:sz="4" w:space="0" w:color="auto"/>
              <w:bottom w:val="nil"/>
              <w:right w:val="nil"/>
            </w:tcBorders>
            <w:vAlign w:val="center"/>
          </w:tcPr>
          <w:p w14:paraId="667AF9DC" w14:textId="77777777" w:rsidR="00790AA7" w:rsidRPr="00442599" w:rsidRDefault="00790AA7" w:rsidP="001F7304">
            <w:pPr>
              <w:jc w:val="both"/>
              <w:rPr>
                <w:b/>
                <w:color w:val="000000" w:themeColor="text1"/>
              </w:rPr>
            </w:pPr>
          </w:p>
        </w:tc>
        <w:tc>
          <w:tcPr>
            <w:tcW w:w="1368" w:type="pct"/>
            <w:tcBorders>
              <w:top w:val="nil"/>
              <w:left w:val="nil"/>
              <w:bottom w:val="nil"/>
              <w:right w:val="nil"/>
            </w:tcBorders>
            <w:vAlign w:val="center"/>
          </w:tcPr>
          <w:p w14:paraId="16D06243" w14:textId="77777777" w:rsidR="00790AA7" w:rsidRPr="00442599" w:rsidRDefault="00790AA7" w:rsidP="001F7304">
            <w:pPr>
              <w:jc w:val="center"/>
              <w:rPr>
                <w:color w:val="000000" w:themeColor="text1"/>
              </w:rPr>
            </w:pPr>
          </w:p>
        </w:tc>
        <w:tc>
          <w:tcPr>
            <w:tcW w:w="1910" w:type="pct"/>
            <w:tcBorders>
              <w:top w:val="nil"/>
              <w:left w:val="nil"/>
              <w:bottom w:val="nil"/>
              <w:right w:val="single" w:sz="4" w:space="0" w:color="auto"/>
            </w:tcBorders>
            <w:vAlign w:val="center"/>
          </w:tcPr>
          <w:p w14:paraId="5356690C" w14:textId="77777777" w:rsidR="00790AA7" w:rsidRPr="00442599" w:rsidRDefault="00790AA7" w:rsidP="001F7304">
            <w:pPr>
              <w:jc w:val="center"/>
              <w:rPr>
                <w:color w:val="000000" w:themeColor="text1"/>
              </w:rPr>
            </w:pPr>
          </w:p>
        </w:tc>
      </w:tr>
      <w:tr w:rsidR="00790AA7" w:rsidRPr="00442599" w14:paraId="36D50F2F" w14:textId="77777777" w:rsidTr="00E172AC">
        <w:tc>
          <w:tcPr>
            <w:tcW w:w="216" w:type="pct"/>
            <w:vMerge/>
            <w:tcBorders>
              <w:left w:val="single" w:sz="4" w:space="0" w:color="auto"/>
              <w:right w:val="single" w:sz="4" w:space="0" w:color="auto"/>
            </w:tcBorders>
            <w:vAlign w:val="center"/>
            <w:hideMark/>
          </w:tcPr>
          <w:p w14:paraId="30A6EFD3" w14:textId="77777777" w:rsidR="00790AA7" w:rsidRPr="00442599" w:rsidRDefault="00790AA7" w:rsidP="001F7304">
            <w:pPr>
              <w:rPr>
                <w:color w:val="000000" w:themeColor="text1"/>
                <w:lang w:eastAsia="en-US"/>
              </w:rPr>
            </w:pPr>
          </w:p>
        </w:tc>
        <w:tc>
          <w:tcPr>
            <w:tcW w:w="1506" w:type="pct"/>
            <w:tcBorders>
              <w:top w:val="nil"/>
              <w:left w:val="single" w:sz="4" w:space="0" w:color="auto"/>
              <w:bottom w:val="nil"/>
              <w:right w:val="nil"/>
            </w:tcBorders>
            <w:vAlign w:val="center"/>
          </w:tcPr>
          <w:p w14:paraId="0F4B4952" w14:textId="77777777" w:rsidR="00790AA7" w:rsidRPr="00442599" w:rsidRDefault="00790AA7" w:rsidP="001F7304">
            <w:pPr>
              <w:jc w:val="both"/>
              <w:rPr>
                <w:b/>
                <w:color w:val="000000" w:themeColor="text1"/>
              </w:rPr>
            </w:pPr>
          </w:p>
        </w:tc>
        <w:tc>
          <w:tcPr>
            <w:tcW w:w="1368" w:type="pct"/>
            <w:tcBorders>
              <w:top w:val="nil"/>
              <w:left w:val="nil"/>
              <w:bottom w:val="nil"/>
              <w:right w:val="nil"/>
            </w:tcBorders>
            <w:vAlign w:val="center"/>
          </w:tcPr>
          <w:p w14:paraId="56489632" w14:textId="77777777" w:rsidR="00790AA7" w:rsidRPr="00442599" w:rsidRDefault="00790AA7" w:rsidP="001F7304">
            <w:pPr>
              <w:jc w:val="center"/>
              <w:rPr>
                <w:color w:val="000000" w:themeColor="text1"/>
              </w:rPr>
            </w:pPr>
          </w:p>
        </w:tc>
        <w:tc>
          <w:tcPr>
            <w:tcW w:w="1910" w:type="pct"/>
            <w:tcBorders>
              <w:top w:val="nil"/>
              <w:left w:val="nil"/>
              <w:bottom w:val="single" w:sz="4" w:space="0" w:color="auto"/>
              <w:right w:val="single" w:sz="4" w:space="0" w:color="auto"/>
            </w:tcBorders>
            <w:vAlign w:val="center"/>
            <w:hideMark/>
          </w:tcPr>
          <w:p w14:paraId="39B6D9FA" w14:textId="593F4426" w:rsidR="00790AA7" w:rsidRPr="00442599" w:rsidRDefault="00790AA7" w:rsidP="001F7304">
            <w:pPr>
              <w:jc w:val="center"/>
              <w:rPr>
                <w:color w:val="000000" w:themeColor="text1"/>
              </w:rPr>
            </w:pPr>
            <w:r w:rsidRPr="00442599">
              <w:rPr>
                <w:color w:val="000000" w:themeColor="text1"/>
              </w:rPr>
              <w:t xml:space="preserve">Įsipareigojimai </w:t>
            </w:r>
            <w:r w:rsidRPr="00442599">
              <w:rPr>
                <w:b/>
                <w:bCs/>
                <w:color w:val="000000" w:themeColor="text1"/>
              </w:rPr>
              <w:t>(606399,59)</w:t>
            </w:r>
          </w:p>
        </w:tc>
      </w:tr>
      <w:tr w:rsidR="00790AA7" w:rsidRPr="00442599" w14:paraId="525F8687" w14:textId="77777777" w:rsidTr="00E172AC">
        <w:tc>
          <w:tcPr>
            <w:tcW w:w="216" w:type="pct"/>
            <w:vMerge/>
            <w:tcBorders>
              <w:left w:val="single" w:sz="4" w:space="0" w:color="auto"/>
              <w:right w:val="single" w:sz="4" w:space="0" w:color="auto"/>
            </w:tcBorders>
            <w:vAlign w:val="center"/>
            <w:hideMark/>
          </w:tcPr>
          <w:p w14:paraId="26B43CDE" w14:textId="77777777" w:rsidR="00790AA7" w:rsidRPr="00442599" w:rsidRDefault="00790AA7" w:rsidP="001F7304">
            <w:pPr>
              <w:rPr>
                <w:color w:val="000000" w:themeColor="text1"/>
                <w:lang w:eastAsia="en-US"/>
              </w:rPr>
            </w:pPr>
          </w:p>
        </w:tc>
        <w:tc>
          <w:tcPr>
            <w:tcW w:w="1506" w:type="pct"/>
            <w:tcBorders>
              <w:top w:val="nil"/>
              <w:left w:val="single" w:sz="4" w:space="0" w:color="auto"/>
              <w:bottom w:val="nil"/>
              <w:right w:val="nil"/>
            </w:tcBorders>
            <w:vAlign w:val="center"/>
          </w:tcPr>
          <w:p w14:paraId="6B8FCC5D" w14:textId="77777777" w:rsidR="00790AA7" w:rsidRPr="00442599" w:rsidRDefault="00790AA7" w:rsidP="001F7304">
            <w:pPr>
              <w:jc w:val="both"/>
              <w:rPr>
                <w:b/>
                <w:color w:val="000000" w:themeColor="text1"/>
              </w:rPr>
            </w:pPr>
          </w:p>
        </w:tc>
        <w:tc>
          <w:tcPr>
            <w:tcW w:w="1368" w:type="pct"/>
            <w:tcBorders>
              <w:top w:val="nil"/>
              <w:left w:val="nil"/>
              <w:bottom w:val="nil"/>
              <w:right w:val="nil"/>
            </w:tcBorders>
            <w:vAlign w:val="center"/>
          </w:tcPr>
          <w:p w14:paraId="06A00313" w14:textId="77777777" w:rsidR="00790AA7" w:rsidRPr="00442599" w:rsidRDefault="00790AA7" w:rsidP="001F7304">
            <w:pPr>
              <w:jc w:val="center"/>
              <w:rPr>
                <w:color w:val="000000" w:themeColor="text1"/>
              </w:rPr>
            </w:pPr>
          </w:p>
        </w:tc>
        <w:tc>
          <w:tcPr>
            <w:tcW w:w="1910" w:type="pct"/>
            <w:tcBorders>
              <w:top w:val="single" w:sz="4" w:space="0" w:color="auto"/>
              <w:left w:val="nil"/>
              <w:bottom w:val="nil"/>
              <w:right w:val="single" w:sz="4" w:space="0" w:color="auto"/>
            </w:tcBorders>
            <w:vAlign w:val="center"/>
            <w:hideMark/>
          </w:tcPr>
          <w:p w14:paraId="43A2A9F9" w14:textId="1D695F3E" w:rsidR="00790AA7" w:rsidRPr="00442599" w:rsidRDefault="00790AA7" w:rsidP="001F7304">
            <w:pPr>
              <w:jc w:val="center"/>
              <w:rPr>
                <w:color w:val="000000" w:themeColor="text1"/>
              </w:rPr>
            </w:pPr>
            <w:r w:rsidRPr="00442599">
              <w:rPr>
                <w:color w:val="000000" w:themeColor="text1"/>
              </w:rPr>
              <w:t xml:space="preserve">Sąnaudos </w:t>
            </w:r>
            <w:r w:rsidRPr="00442599">
              <w:rPr>
                <w:b/>
                <w:bCs/>
                <w:color w:val="000000" w:themeColor="text1"/>
              </w:rPr>
              <w:t>(4610174,81)</w:t>
            </w:r>
          </w:p>
        </w:tc>
      </w:tr>
      <w:tr w:rsidR="00790AA7" w:rsidRPr="00442599" w14:paraId="67FADA4F" w14:textId="77777777" w:rsidTr="00E172AC">
        <w:tc>
          <w:tcPr>
            <w:tcW w:w="216" w:type="pct"/>
            <w:vMerge/>
            <w:tcBorders>
              <w:left w:val="single" w:sz="4" w:space="0" w:color="auto"/>
              <w:right w:val="single" w:sz="4" w:space="0" w:color="auto"/>
            </w:tcBorders>
            <w:vAlign w:val="center"/>
            <w:hideMark/>
          </w:tcPr>
          <w:p w14:paraId="35B8D76A" w14:textId="77777777" w:rsidR="00790AA7" w:rsidRPr="00442599" w:rsidRDefault="00790AA7" w:rsidP="001F7304">
            <w:pPr>
              <w:rPr>
                <w:color w:val="000000" w:themeColor="text1"/>
                <w:lang w:eastAsia="en-US"/>
              </w:rPr>
            </w:pPr>
          </w:p>
        </w:tc>
        <w:tc>
          <w:tcPr>
            <w:tcW w:w="1506" w:type="pct"/>
            <w:tcBorders>
              <w:top w:val="nil"/>
              <w:left w:val="single" w:sz="4" w:space="0" w:color="auto"/>
              <w:bottom w:val="single" w:sz="4" w:space="0" w:color="auto"/>
              <w:right w:val="nil"/>
            </w:tcBorders>
            <w:vAlign w:val="center"/>
          </w:tcPr>
          <w:p w14:paraId="0F2CC657" w14:textId="77777777" w:rsidR="00790AA7" w:rsidRPr="00442599" w:rsidRDefault="00790AA7" w:rsidP="001F7304">
            <w:pPr>
              <w:jc w:val="both"/>
              <w:rPr>
                <w:b/>
                <w:color w:val="000000" w:themeColor="text1"/>
              </w:rPr>
            </w:pPr>
          </w:p>
        </w:tc>
        <w:tc>
          <w:tcPr>
            <w:tcW w:w="1368" w:type="pct"/>
            <w:tcBorders>
              <w:top w:val="nil"/>
              <w:left w:val="nil"/>
              <w:bottom w:val="single" w:sz="4" w:space="0" w:color="auto"/>
              <w:right w:val="nil"/>
            </w:tcBorders>
            <w:vAlign w:val="center"/>
          </w:tcPr>
          <w:p w14:paraId="43C1C05C" w14:textId="77777777" w:rsidR="00790AA7" w:rsidRPr="00442599" w:rsidRDefault="00790AA7" w:rsidP="001F7304">
            <w:pPr>
              <w:jc w:val="center"/>
              <w:rPr>
                <w:color w:val="000000" w:themeColor="text1"/>
              </w:rPr>
            </w:pPr>
          </w:p>
        </w:tc>
        <w:tc>
          <w:tcPr>
            <w:tcW w:w="1910" w:type="pct"/>
            <w:tcBorders>
              <w:top w:val="nil"/>
              <w:left w:val="nil"/>
              <w:bottom w:val="single" w:sz="4" w:space="0" w:color="auto"/>
              <w:right w:val="single" w:sz="4" w:space="0" w:color="auto"/>
            </w:tcBorders>
            <w:vAlign w:val="center"/>
          </w:tcPr>
          <w:p w14:paraId="7AFD7192" w14:textId="77777777" w:rsidR="00790AA7" w:rsidRPr="00442599" w:rsidRDefault="00790AA7" w:rsidP="001F7304">
            <w:pPr>
              <w:jc w:val="center"/>
              <w:rPr>
                <w:color w:val="000000" w:themeColor="text1"/>
              </w:rPr>
            </w:pPr>
          </w:p>
        </w:tc>
      </w:tr>
      <w:tr w:rsidR="00790AA7" w:rsidRPr="00442599" w14:paraId="50F8495D" w14:textId="77777777" w:rsidTr="00E172AC">
        <w:tc>
          <w:tcPr>
            <w:tcW w:w="216" w:type="pct"/>
            <w:vMerge/>
            <w:tcBorders>
              <w:left w:val="single" w:sz="4" w:space="0" w:color="auto"/>
              <w:right w:val="single" w:sz="4" w:space="0" w:color="auto"/>
            </w:tcBorders>
            <w:vAlign w:val="center"/>
            <w:hideMark/>
          </w:tcPr>
          <w:p w14:paraId="1D95F4AC" w14:textId="77777777" w:rsidR="00790AA7" w:rsidRPr="00442599" w:rsidRDefault="00790AA7" w:rsidP="001F7304">
            <w:pPr>
              <w:rPr>
                <w:color w:val="000000" w:themeColor="text1"/>
                <w:lang w:eastAsia="en-US"/>
              </w:rPr>
            </w:pPr>
          </w:p>
        </w:tc>
        <w:tc>
          <w:tcPr>
            <w:tcW w:w="2874" w:type="pct"/>
            <w:gridSpan w:val="2"/>
            <w:tcBorders>
              <w:top w:val="single" w:sz="4" w:space="0" w:color="auto"/>
              <w:left w:val="single" w:sz="4" w:space="0" w:color="auto"/>
              <w:bottom w:val="nil"/>
              <w:right w:val="nil"/>
            </w:tcBorders>
            <w:vAlign w:val="center"/>
            <w:hideMark/>
          </w:tcPr>
          <w:p w14:paraId="1CD83A83" w14:textId="77777777" w:rsidR="00790AA7" w:rsidRPr="00442599" w:rsidRDefault="00790AA7" w:rsidP="001F7304">
            <w:pPr>
              <w:rPr>
                <w:color w:val="000000" w:themeColor="text1"/>
              </w:rPr>
            </w:pPr>
            <w:r w:rsidRPr="00442599">
              <w:rPr>
                <w:b/>
                <w:color w:val="000000" w:themeColor="text1"/>
              </w:rPr>
              <w:t xml:space="preserve">Duomenų teikėjas: </w:t>
            </w:r>
            <w:r w:rsidRPr="00442599">
              <w:rPr>
                <w:color w:val="000000" w:themeColor="text1"/>
              </w:rPr>
              <w:t>ASPĮ ir</w:t>
            </w:r>
            <w:r w:rsidRPr="00442599">
              <w:rPr>
                <w:b/>
                <w:color w:val="000000" w:themeColor="text1"/>
              </w:rPr>
              <w:t xml:space="preserve"> </w:t>
            </w:r>
            <w:r w:rsidRPr="00442599">
              <w:rPr>
                <w:color w:val="000000" w:themeColor="text1"/>
              </w:rPr>
              <w:t>VLK.</w:t>
            </w:r>
          </w:p>
        </w:tc>
        <w:tc>
          <w:tcPr>
            <w:tcW w:w="1910" w:type="pct"/>
            <w:tcBorders>
              <w:top w:val="single" w:sz="4" w:space="0" w:color="auto"/>
              <w:left w:val="nil"/>
              <w:bottom w:val="nil"/>
              <w:right w:val="single" w:sz="4" w:space="0" w:color="auto"/>
            </w:tcBorders>
            <w:vAlign w:val="center"/>
          </w:tcPr>
          <w:p w14:paraId="2E4966C4" w14:textId="77777777" w:rsidR="00790AA7" w:rsidRPr="00442599" w:rsidRDefault="00790AA7" w:rsidP="001F7304">
            <w:pPr>
              <w:jc w:val="center"/>
              <w:rPr>
                <w:color w:val="000000" w:themeColor="text1"/>
              </w:rPr>
            </w:pPr>
          </w:p>
        </w:tc>
      </w:tr>
      <w:tr w:rsidR="00790AA7" w:rsidRPr="00B20F8C" w14:paraId="003DE84B" w14:textId="77777777" w:rsidTr="00E172AC">
        <w:tc>
          <w:tcPr>
            <w:tcW w:w="216" w:type="pct"/>
            <w:vMerge/>
            <w:tcBorders>
              <w:left w:val="single" w:sz="4" w:space="0" w:color="auto"/>
              <w:bottom w:val="single" w:sz="4" w:space="0" w:color="auto"/>
              <w:right w:val="single" w:sz="4" w:space="0" w:color="auto"/>
            </w:tcBorders>
            <w:vAlign w:val="center"/>
            <w:hideMark/>
          </w:tcPr>
          <w:p w14:paraId="60235EA8" w14:textId="77777777" w:rsidR="00790AA7" w:rsidRPr="00B20F8C" w:rsidRDefault="00790AA7" w:rsidP="001F7304">
            <w:pPr>
              <w:rPr>
                <w:highlight w:val="yellow"/>
                <w:lang w:eastAsia="en-US"/>
              </w:rPr>
            </w:pPr>
          </w:p>
        </w:tc>
        <w:tc>
          <w:tcPr>
            <w:tcW w:w="1506" w:type="pct"/>
            <w:tcBorders>
              <w:top w:val="nil"/>
              <w:left w:val="single" w:sz="4" w:space="0" w:color="auto"/>
              <w:bottom w:val="single" w:sz="4" w:space="0" w:color="auto"/>
              <w:right w:val="nil"/>
            </w:tcBorders>
            <w:vAlign w:val="center"/>
          </w:tcPr>
          <w:p w14:paraId="47F3461F" w14:textId="77777777" w:rsidR="00790AA7" w:rsidRPr="00B20F8C" w:rsidRDefault="00790AA7" w:rsidP="001F7304">
            <w:pPr>
              <w:jc w:val="both"/>
              <w:rPr>
                <w:b/>
                <w:highlight w:val="yellow"/>
              </w:rPr>
            </w:pPr>
          </w:p>
        </w:tc>
        <w:tc>
          <w:tcPr>
            <w:tcW w:w="1368" w:type="pct"/>
            <w:tcBorders>
              <w:top w:val="nil"/>
              <w:left w:val="nil"/>
              <w:bottom w:val="single" w:sz="4" w:space="0" w:color="auto"/>
              <w:right w:val="nil"/>
            </w:tcBorders>
            <w:vAlign w:val="center"/>
          </w:tcPr>
          <w:p w14:paraId="5AD5ED19" w14:textId="77777777" w:rsidR="00790AA7" w:rsidRPr="00B20F8C" w:rsidRDefault="00790AA7" w:rsidP="00790AA7">
            <w:pPr>
              <w:rPr>
                <w:highlight w:val="yellow"/>
              </w:rPr>
            </w:pPr>
          </w:p>
        </w:tc>
        <w:tc>
          <w:tcPr>
            <w:tcW w:w="1910" w:type="pct"/>
            <w:tcBorders>
              <w:top w:val="nil"/>
              <w:left w:val="nil"/>
              <w:bottom w:val="single" w:sz="4" w:space="0" w:color="auto"/>
              <w:right w:val="single" w:sz="4" w:space="0" w:color="auto"/>
            </w:tcBorders>
            <w:vAlign w:val="center"/>
          </w:tcPr>
          <w:p w14:paraId="5BF5D01E" w14:textId="77777777" w:rsidR="00790AA7" w:rsidRPr="00B20F8C" w:rsidRDefault="00790AA7" w:rsidP="00790AA7">
            <w:pPr>
              <w:rPr>
                <w:highlight w:val="yellow"/>
              </w:rPr>
            </w:pPr>
          </w:p>
        </w:tc>
      </w:tr>
      <w:tr w:rsidR="00934F2E" w:rsidRPr="00BC2B23" w14:paraId="3D7CD14A" w14:textId="77777777" w:rsidTr="00385EDD">
        <w:tc>
          <w:tcPr>
            <w:tcW w:w="216" w:type="pct"/>
            <w:tcBorders>
              <w:top w:val="single" w:sz="4" w:space="0" w:color="auto"/>
              <w:left w:val="single" w:sz="4" w:space="0" w:color="auto"/>
              <w:bottom w:val="single" w:sz="4" w:space="0" w:color="auto"/>
              <w:right w:val="single" w:sz="4" w:space="0" w:color="auto"/>
            </w:tcBorders>
            <w:vAlign w:val="center"/>
            <w:hideMark/>
          </w:tcPr>
          <w:p w14:paraId="62052D1B" w14:textId="77777777" w:rsidR="00934F2E" w:rsidRPr="00BC2B23" w:rsidRDefault="00934F2E" w:rsidP="001F7304">
            <w:pPr>
              <w:jc w:val="center"/>
            </w:pPr>
            <w:r w:rsidRPr="00BC2B23">
              <w:t>5.</w:t>
            </w:r>
          </w:p>
        </w:tc>
        <w:tc>
          <w:tcPr>
            <w:tcW w:w="1506" w:type="pct"/>
            <w:tcBorders>
              <w:top w:val="single" w:sz="4" w:space="0" w:color="auto"/>
              <w:left w:val="single" w:sz="4" w:space="0" w:color="auto"/>
              <w:bottom w:val="single" w:sz="4" w:space="0" w:color="auto"/>
              <w:right w:val="single" w:sz="4" w:space="0" w:color="auto"/>
            </w:tcBorders>
            <w:hideMark/>
          </w:tcPr>
          <w:p w14:paraId="7BA056EC" w14:textId="77777777" w:rsidR="00934F2E" w:rsidRPr="00BC2B23" w:rsidRDefault="00934F2E" w:rsidP="001F7304">
            <w:pPr>
              <w:jc w:val="both"/>
              <w:rPr>
                <w:b/>
              </w:rPr>
            </w:pPr>
            <w:r w:rsidRPr="00BC2B23">
              <w:rPr>
                <w:b/>
              </w:rPr>
              <w:t>Papildomų finansavimo šaltinių pritraukimas</w:t>
            </w:r>
          </w:p>
        </w:tc>
        <w:tc>
          <w:tcPr>
            <w:tcW w:w="1368" w:type="pct"/>
            <w:tcBorders>
              <w:top w:val="single" w:sz="4" w:space="0" w:color="auto"/>
              <w:left w:val="single" w:sz="4" w:space="0" w:color="auto"/>
              <w:bottom w:val="single" w:sz="4" w:space="0" w:color="auto"/>
              <w:right w:val="single" w:sz="4" w:space="0" w:color="auto"/>
            </w:tcBorders>
            <w:vAlign w:val="center"/>
            <w:hideMark/>
          </w:tcPr>
          <w:p w14:paraId="51339C76" w14:textId="462B2C42" w:rsidR="00934F2E" w:rsidRPr="00BC2B23" w:rsidRDefault="00442599" w:rsidP="001F7304">
            <w:pPr>
              <w:jc w:val="center"/>
            </w:pPr>
            <w:r w:rsidRPr="00BC2B23">
              <w:t xml:space="preserve">ASPĮ per pastaruosius 3 m. yra pasirašiusi bent vieną sutartį dėl </w:t>
            </w:r>
            <w:r w:rsidRPr="00BC2B23">
              <w:lastRenderedPageBreak/>
              <w:t>dalyvavimo projekte, iš kurio gauna papildomą finansavimą</w:t>
            </w:r>
          </w:p>
        </w:tc>
        <w:tc>
          <w:tcPr>
            <w:tcW w:w="1910" w:type="pct"/>
            <w:tcBorders>
              <w:top w:val="single" w:sz="4" w:space="0" w:color="auto"/>
              <w:left w:val="single" w:sz="4" w:space="0" w:color="auto"/>
              <w:bottom w:val="single" w:sz="4" w:space="0" w:color="auto"/>
              <w:right w:val="single" w:sz="4" w:space="0" w:color="auto"/>
            </w:tcBorders>
            <w:vAlign w:val="center"/>
            <w:hideMark/>
          </w:tcPr>
          <w:p w14:paraId="602F87A3" w14:textId="77777777" w:rsidR="00934F2E" w:rsidRDefault="00385EDD" w:rsidP="001F7304">
            <w:pPr>
              <w:jc w:val="center"/>
            </w:pPr>
            <w:r>
              <w:lastRenderedPageBreak/>
              <w:t>Pasirašytos 4 finansavimo sutartys</w:t>
            </w:r>
          </w:p>
          <w:p w14:paraId="4406371B" w14:textId="125EE93F" w:rsidR="00385EDD" w:rsidRPr="00385EDD" w:rsidRDefault="00385EDD" w:rsidP="001F7304">
            <w:pPr>
              <w:jc w:val="center"/>
              <w:rPr>
                <w:b/>
                <w:bCs/>
              </w:rPr>
            </w:pPr>
            <w:r w:rsidRPr="00385EDD">
              <w:rPr>
                <w:b/>
                <w:bCs/>
              </w:rPr>
              <w:t>10 balų</w:t>
            </w:r>
          </w:p>
        </w:tc>
      </w:tr>
      <w:tr w:rsidR="00934F2E" w:rsidRPr="00BC2B23" w14:paraId="5A32B19F" w14:textId="77777777" w:rsidTr="00385EDD">
        <w:trPr>
          <w:gridAfter w:val="3"/>
          <w:wAfter w:w="4784" w:type="pct"/>
        </w:trPr>
        <w:tc>
          <w:tcPr>
            <w:tcW w:w="216" w:type="pct"/>
            <w:tcBorders>
              <w:top w:val="single" w:sz="4" w:space="0" w:color="auto"/>
              <w:left w:val="single" w:sz="4" w:space="0" w:color="auto"/>
              <w:bottom w:val="single" w:sz="4" w:space="0" w:color="auto"/>
              <w:right w:val="single" w:sz="4" w:space="0" w:color="auto"/>
            </w:tcBorders>
            <w:vAlign w:val="center"/>
            <w:hideMark/>
          </w:tcPr>
          <w:p w14:paraId="7875CC7C" w14:textId="77777777" w:rsidR="00934F2E" w:rsidRPr="00BC2B23" w:rsidRDefault="00934F2E" w:rsidP="001F7304">
            <w:pPr>
              <w:jc w:val="center"/>
              <w:rPr>
                <w:b/>
              </w:rPr>
            </w:pPr>
            <w:r w:rsidRPr="00BC2B23">
              <w:rPr>
                <w:b/>
              </w:rPr>
              <w:t>II</w:t>
            </w:r>
          </w:p>
        </w:tc>
      </w:tr>
      <w:tr w:rsidR="00934F2E" w:rsidRPr="00442599" w14:paraId="3BF45BCA" w14:textId="77777777" w:rsidTr="00385EDD">
        <w:tc>
          <w:tcPr>
            <w:tcW w:w="216" w:type="pct"/>
            <w:tcBorders>
              <w:top w:val="single" w:sz="4" w:space="0" w:color="auto"/>
              <w:left w:val="single" w:sz="4" w:space="0" w:color="auto"/>
              <w:bottom w:val="single" w:sz="4" w:space="0" w:color="auto"/>
              <w:right w:val="single" w:sz="4" w:space="0" w:color="auto"/>
            </w:tcBorders>
            <w:vAlign w:val="center"/>
            <w:hideMark/>
          </w:tcPr>
          <w:p w14:paraId="65D51546" w14:textId="77777777" w:rsidR="00934F2E" w:rsidRPr="00442599" w:rsidRDefault="00934F2E" w:rsidP="001F7304">
            <w:pPr>
              <w:jc w:val="center"/>
            </w:pPr>
            <w:r w:rsidRPr="00442599">
              <w:t>1.</w:t>
            </w:r>
          </w:p>
        </w:tc>
        <w:tc>
          <w:tcPr>
            <w:tcW w:w="1506" w:type="pct"/>
            <w:tcBorders>
              <w:top w:val="single" w:sz="4" w:space="0" w:color="auto"/>
              <w:left w:val="single" w:sz="4" w:space="0" w:color="auto"/>
              <w:bottom w:val="single" w:sz="4" w:space="0" w:color="auto"/>
              <w:right w:val="single" w:sz="4" w:space="0" w:color="auto"/>
            </w:tcBorders>
            <w:hideMark/>
          </w:tcPr>
          <w:p w14:paraId="3A9E0994" w14:textId="77777777" w:rsidR="00934F2E" w:rsidRPr="00442599" w:rsidRDefault="00934F2E" w:rsidP="001F7304">
            <w:pPr>
              <w:rPr>
                <w:bCs/>
              </w:rPr>
            </w:pPr>
            <w:r w:rsidRPr="00442599">
              <w:rPr>
                <w:bCs/>
              </w:rPr>
              <w:t>Pacientų pasitenkinimo įstaigos teikiamomis asmens sveikatos priežiūros paslaugomis lygis, tai yra pacientų teigiamai įvertintų įstaigoje suteiktų paslaugų skaičiaus dalis nuo visų per metus įstaigoje suteiktų asmens sveikatos priežiūros paslaugų skaičiaus pagal sveikatos apsaugos ministro nustatytas paslaugų grupes</w:t>
            </w:r>
          </w:p>
        </w:tc>
        <w:tc>
          <w:tcPr>
            <w:tcW w:w="1368" w:type="pct"/>
            <w:tcBorders>
              <w:top w:val="single" w:sz="4" w:space="0" w:color="auto"/>
              <w:left w:val="single" w:sz="4" w:space="0" w:color="auto"/>
              <w:bottom w:val="single" w:sz="4" w:space="0" w:color="auto"/>
              <w:right w:val="single" w:sz="4" w:space="0" w:color="auto"/>
            </w:tcBorders>
            <w:vAlign w:val="center"/>
            <w:hideMark/>
          </w:tcPr>
          <w:p w14:paraId="5BE242DD" w14:textId="0894C507" w:rsidR="00934F2E" w:rsidRPr="00442599" w:rsidRDefault="006302C2" w:rsidP="001F7304">
            <w:pPr>
              <w:jc w:val="center"/>
            </w:pPr>
            <w:r>
              <w:t>Pacientų pasitenkinimo</w:t>
            </w:r>
            <w:r w:rsidR="00411DFE">
              <w:t xml:space="preserve"> teikiamomis asmens sveikatos priežiūros paslaugomis lygis ne mažiau kaip 0,8 balo</w:t>
            </w:r>
          </w:p>
        </w:tc>
        <w:tc>
          <w:tcPr>
            <w:tcW w:w="1910" w:type="pct"/>
            <w:tcBorders>
              <w:top w:val="single" w:sz="4" w:space="0" w:color="auto"/>
              <w:left w:val="single" w:sz="4" w:space="0" w:color="auto"/>
              <w:bottom w:val="single" w:sz="4" w:space="0" w:color="auto"/>
              <w:right w:val="single" w:sz="4" w:space="0" w:color="auto"/>
            </w:tcBorders>
            <w:vAlign w:val="center"/>
            <w:hideMark/>
          </w:tcPr>
          <w:p w14:paraId="122BF8CC" w14:textId="6325FC96" w:rsidR="00934F2E" w:rsidRPr="00442599" w:rsidRDefault="00934F2E" w:rsidP="001F7304">
            <w:pPr>
              <w:jc w:val="center"/>
            </w:pPr>
            <w:r w:rsidRPr="00442599">
              <w:t xml:space="preserve">Pacientų bendro pasitenkinimo ASPĮ teikiamomis asmens sveikatos priežiūros paslaugomis lygis – </w:t>
            </w:r>
            <w:r w:rsidR="00411DFE" w:rsidRPr="00790AA7">
              <w:rPr>
                <w:b/>
                <w:bCs/>
              </w:rPr>
              <w:t>0</w:t>
            </w:r>
            <w:r w:rsidR="00411DFE">
              <w:t>,</w:t>
            </w:r>
            <w:r w:rsidR="00442599" w:rsidRPr="00442599">
              <w:rPr>
                <w:b/>
                <w:bCs/>
              </w:rPr>
              <w:t>989</w:t>
            </w:r>
            <w:r w:rsidR="00855C33">
              <w:rPr>
                <w:b/>
                <w:bCs/>
              </w:rPr>
              <w:t xml:space="preserve"> – 10 balų</w:t>
            </w:r>
          </w:p>
        </w:tc>
      </w:tr>
      <w:tr w:rsidR="00934F2E" w:rsidRPr="00442599" w14:paraId="3BAE7B1E" w14:textId="77777777" w:rsidTr="00385EDD">
        <w:tc>
          <w:tcPr>
            <w:tcW w:w="216" w:type="pct"/>
            <w:tcBorders>
              <w:top w:val="single" w:sz="4" w:space="0" w:color="auto"/>
              <w:left w:val="single" w:sz="4" w:space="0" w:color="auto"/>
              <w:bottom w:val="single" w:sz="4" w:space="0" w:color="auto"/>
              <w:right w:val="single" w:sz="4" w:space="0" w:color="auto"/>
            </w:tcBorders>
            <w:vAlign w:val="center"/>
            <w:hideMark/>
          </w:tcPr>
          <w:p w14:paraId="28721845" w14:textId="77777777" w:rsidR="00934F2E" w:rsidRPr="00442599" w:rsidRDefault="00934F2E" w:rsidP="001F7304">
            <w:pPr>
              <w:jc w:val="center"/>
            </w:pPr>
            <w:r w:rsidRPr="00442599">
              <w:t>2.</w:t>
            </w:r>
          </w:p>
        </w:tc>
        <w:tc>
          <w:tcPr>
            <w:tcW w:w="1506" w:type="pct"/>
            <w:tcBorders>
              <w:top w:val="single" w:sz="4" w:space="0" w:color="auto"/>
              <w:left w:val="single" w:sz="4" w:space="0" w:color="auto"/>
              <w:bottom w:val="single" w:sz="4" w:space="0" w:color="auto"/>
              <w:right w:val="single" w:sz="4" w:space="0" w:color="auto"/>
            </w:tcBorders>
            <w:vAlign w:val="center"/>
            <w:hideMark/>
          </w:tcPr>
          <w:p w14:paraId="3C19D846" w14:textId="77777777" w:rsidR="00934F2E" w:rsidRPr="00442599" w:rsidRDefault="00934F2E" w:rsidP="001F7304">
            <w:pPr>
              <w:jc w:val="both"/>
              <w:rPr>
                <w:bCs/>
              </w:rPr>
            </w:pPr>
            <w:r w:rsidRPr="00442599">
              <w:rPr>
                <w:bCs/>
              </w:rPr>
              <w:t>Įstaigoje gautų pacientų skundų dėl įstaigoje suteiktų asmens sveikatos priežiūros paslaugų skaičius per metus ir pagrįstų skundų dalis</w:t>
            </w:r>
          </w:p>
        </w:tc>
        <w:tc>
          <w:tcPr>
            <w:tcW w:w="1368" w:type="pct"/>
            <w:tcBorders>
              <w:top w:val="single" w:sz="4" w:space="0" w:color="auto"/>
              <w:left w:val="single" w:sz="4" w:space="0" w:color="auto"/>
              <w:bottom w:val="single" w:sz="4" w:space="0" w:color="auto"/>
              <w:right w:val="single" w:sz="4" w:space="0" w:color="auto"/>
            </w:tcBorders>
            <w:vAlign w:val="center"/>
            <w:hideMark/>
          </w:tcPr>
          <w:p w14:paraId="468ABAAA" w14:textId="77777777" w:rsidR="00934F2E" w:rsidRPr="00442599" w:rsidRDefault="00934F2E" w:rsidP="001F7304">
            <w:pPr>
              <w:jc w:val="center"/>
            </w:pPr>
            <w:r w:rsidRPr="00442599">
              <w:t>Nenustatoma</w:t>
            </w:r>
          </w:p>
        </w:tc>
        <w:tc>
          <w:tcPr>
            <w:tcW w:w="1910" w:type="pct"/>
            <w:tcBorders>
              <w:top w:val="single" w:sz="4" w:space="0" w:color="auto"/>
              <w:left w:val="single" w:sz="4" w:space="0" w:color="auto"/>
              <w:bottom w:val="single" w:sz="4" w:space="0" w:color="auto"/>
              <w:right w:val="single" w:sz="4" w:space="0" w:color="auto"/>
            </w:tcBorders>
            <w:vAlign w:val="center"/>
            <w:hideMark/>
          </w:tcPr>
          <w:p w14:paraId="5327DF4D" w14:textId="34495694" w:rsidR="00934F2E" w:rsidRPr="00442599" w:rsidRDefault="00934F2E" w:rsidP="001F7304">
            <w:pPr>
              <w:jc w:val="center"/>
            </w:pPr>
            <w:r w:rsidRPr="00442599">
              <w:t>Įstaigoje pacientų skundų dėl paslaugų kokybės suteikimo negauta.</w:t>
            </w:r>
          </w:p>
        </w:tc>
      </w:tr>
      <w:tr w:rsidR="00934F2E" w:rsidRPr="00AA69DA" w14:paraId="06F59716" w14:textId="77777777" w:rsidTr="00385EDD">
        <w:tc>
          <w:tcPr>
            <w:tcW w:w="216" w:type="pct"/>
            <w:tcBorders>
              <w:top w:val="single" w:sz="4" w:space="0" w:color="auto"/>
              <w:left w:val="single" w:sz="4" w:space="0" w:color="auto"/>
              <w:bottom w:val="single" w:sz="4" w:space="0" w:color="auto"/>
              <w:right w:val="single" w:sz="4" w:space="0" w:color="auto"/>
            </w:tcBorders>
            <w:vAlign w:val="center"/>
            <w:hideMark/>
          </w:tcPr>
          <w:p w14:paraId="2FB60830" w14:textId="77777777" w:rsidR="00934F2E" w:rsidRPr="00AA69DA" w:rsidRDefault="00934F2E" w:rsidP="001F7304">
            <w:pPr>
              <w:jc w:val="center"/>
            </w:pPr>
            <w:r w:rsidRPr="00AA69DA">
              <w:t>3.</w:t>
            </w:r>
          </w:p>
        </w:tc>
        <w:tc>
          <w:tcPr>
            <w:tcW w:w="1506" w:type="pct"/>
            <w:tcBorders>
              <w:top w:val="single" w:sz="4" w:space="0" w:color="auto"/>
              <w:left w:val="single" w:sz="4" w:space="0" w:color="auto"/>
              <w:bottom w:val="single" w:sz="4" w:space="0" w:color="auto"/>
              <w:right w:val="single" w:sz="4" w:space="0" w:color="auto"/>
            </w:tcBorders>
            <w:vAlign w:val="center"/>
            <w:hideMark/>
          </w:tcPr>
          <w:p w14:paraId="7564EE8E" w14:textId="7004E2E3" w:rsidR="00934F2E" w:rsidRPr="00AA69DA" w:rsidRDefault="00934F2E" w:rsidP="001F7304">
            <w:pPr>
              <w:jc w:val="both"/>
              <w:rPr>
                <w:bCs/>
              </w:rPr>
            </w:pPr>
            <w:r w:rsidRPr="00AA69DA">
              <w:rPr>
                <w:bCs/>
              </w:rPr>
              <w:t>Įstaigoje gautų pagrįstų skundų dalis nuo visų įstaigoje suteiktų asmens sveikatos priežiūros paslaugų skaičiaus per metus pagal sveikatos apsaugos ministro nustatytas paslaugų grupes</w:t>
            </w:r>
          </w:p>
        </w:tc>
        <w:tc>
          <w:tcPr>
            <w:tcW w:w="1368" w:type="pct"/>
            <w:tcBorders>
              <w:top w:val="single" w:sz="4" w:space="0" w:color="auto"/>
              <w:left w:val="single" w:sz="4" w:space="0" w:color="auto"/>
              <w:bottom w:val="single" w:sz="4" w:space="0" w:color="auto"/>
              <w:right w:val="single" w:sz="4" w:space="0" w:color="auto"/>
            </w:tcBorders>
            <w:vAlign w:val="center"/>
            <w:hideMark/>
          </w:tcPr>
          <w:p w14:paraId="3C20A49D" w14:textId="77777777" w:rsidR="00934F2E" w:rsidRPr="00AA69DA" w:rsidRDefault="00934F2E" w:rsidP="001F7304">
            <w:pPr>
              <w:jc w:val="center"/>
            </w:pPr>
            <w:r w:rsidRPr="00AA69DA">
              <w:t>Nenustatoma</w:t>
            </w:r>
          </w:p>
        </w:tc>
        <w:tc>
          <w:tcPr>
            <w:tcW w:w="1910" w:type="pct"/>
            <w:tcBorders>
              <w:top w:val="single" w:sz="4" w:space="0" w:color="auto"/>
              <w:left w:val="single" w:sz="4" w:space="0" w:color="auto"/>
              <w:bottom w:val="single" w:sz="4" w:space="0" w:color="auto"/>
              <w:right w:val="single" w:sz="4" w:space="0" w:color="auto"/>
            </w:tcBorders>
            <w:vAlign w:val="center"/>
            <w:hideMark/>
          </w:tcPr>
          <w:p w14:paraId="4B57EB95" w14:textId="0DDEA2BE" w:rsidR="00934F2E" w:rsidRPr="00AA69DA" w:rsidRDefault="00934F2E" w:rsidP="001F7304">
            <w:pPr>
              <w:jc w:val="center"/>
            </w:pPr>
            <w:r w:rsidRPr="00AA69DA">
              <w:t>Įstaigoje pagrįstų skundų negauta.</w:t>
            </w:r>
          </w:p>
        </w:tc>
      </w:tr>
      <w:tr w:rsidR="00934F2E" w:rsidRPr="003754F8" w14:paraId="2120A165" w14:textId="77777777" w:rsidTr="00790AA7">
        <w:tc>
          <w:tcPr>
            <w:tcW w:w="216" w:type="pct"/>
            <w:tcBorders>
              <w:top w:val="single" w:sz="4" w:space="0" w:color="auto"/>
              <w:left w:val="single" w:sz="4" w:space="0" w:color="auto"/>
              <w:bottom w:val="single" w:sz="4" w:space="0" w:color="auto"/>
              <w:right w:val="single" w:sz="4" w:space="0" w:color="auto"/>
            </w:tcBorders>
            <w:vAlign w:val="center"/>
            <w:hideMark/>
          </w:tcPr>
          <w:p w14:paraId="16B1E64F" w14:textId="77777777" w:rsidR="00934F2E" w:rsidRPr="003754F8" w:rsidRDefault="00934F2E" w:rsidP="001F7304">
            <w:pPr>
              <w:jc w:val="center"/>
            </w:pPr>
            <w:r w:rsidRPr="003754F8">
              <w:t>4.</w:t>
            </w:r>
          </w:p>
        </w:tc>
        <w:tc>
          <w:tcPr>
            <w:tcW w:w="1506" w:type="pct"/>
            <w:tcBorders>
              <w:top w:val="single" w:sz="4" w:space="0" w:color="auto"/>
              <w:left w:val="single" w:sz="4" w:space="0" w:color="auto"/>
              <w:bottom w:val="single" w:sz="4" w:space="0" w:color="auto"/>
              <w:right w:val="single" w:sz="4" w:space="0" w:color="auto"/>
            </w:tcBorders>
            <w:vAlign w:val="center"/>
            <w:hideMark/>
          </w:tcPr>
          <w:p w14:paraId="41DD2AD5" w14:textId="77777777" w:rsidR="00934F2E" w:rsidRPr="003754F8" w:rsidRDefault="00934F2E" w:rsidP="001F7304">
            <w:pPr>
              <w:jc w:val="both"/>
              <w:rPr>
                <w:bCs/>
              </w:rPr>
            </w:pPr>
            <w:r w:rsidRPr="003754F8">
              <w:rPr>
                <w:bCs/>
              </w:rPr>
              <w:t>Įstaigoje taikomos kovos su korupcija priemonės, numatytos sveikatos apsaugos ministro tvirtinamoje Sveikatos priežiūros srities korupcijos prevencijos programoje</w:t>
            </w:r>
          </w:p>
        </w:tc>
        <w:tc>
          <w:tcPr>
            <w:tcW w:w="1368" w:type="pct"/>
            <w:tcBorders>
              <w:top w:val="single" w:sz="4" w:space="0" w:color="auto"/>
              <w:left w:val="single" w:sz="4" w:space="0" w:color="auto"/>
              <w:bottom w:val="single" w:sz="4" w:space="0" w:color="auto"/>
              <w:right w:val="single" w:sz="4" w:space="0" w:color="auto"/>
            </w:tcBorders>
            <w:hideMark/>
          </w:tcPr>
          <w:p w14:paraId="5CC107D1" w14:textId="3DCEC071" w:rsidR="00934F2E" w:rsidRPr="003754F8" w:rsidRDefault="001D5F50" w:rsidP="00790AA7">
            <w:r>
              <w:t>Asmens sveikatos priežiūros įstaiga įtrauka į Skaidrių asmens sveikatos priežiūros įstaigų sąrašą</w:t>
            </w:r>
          </w:p>
        </w:tc>
        <w:tc>
          <w:tcPr>
            <w:tcW w:w="1910" w:type="pct"/>
            <w:tcBorders>
              <w:top w:val="single" w:sz="4" w:space="0" w:color="auto"/>
              <w:left w:val="single" w:sz="4" w:space="0" w:color="auto"/>
              <w:bottom w:val="single" w:sz="4" w:space="0" w:color="auto"/>
              <w:right w:val="single" w:sz="4" w:space="0" w:color="auto"/>
            </w:tcBorders>
            <w:hideMark/>
          </w:tcPr>
          <w:p w14:paraId="7455BFFA" w14:textId="0C6744EA" w:rsidR="00934F2E" w:rsidRPr="003754F8" w:rsidRDefault="00934F2E" w:rsidP="00790AA7">
            <w:r w:rsidRPr="003754F8">
              <w:t>Vadovaujantis LR SAM įsakymais Nr. V-2521, V-65, 202</w:t>
            </w:r>
            <w:r w:rsidR="003754F8" w:rsidRPr="003754F8">
              <w:t>2</w:t>
            </w:r>
            <w:r w:rsidRPr="003754F8">
              <w:t xml:space="preserve"> m. VšĮ „Lazdijų ligoninė“ teiks prašymą steigėjui, dėl skaidrios asmens sveikatos priežiūros įstaigos vardo suteikimo.</w:t>
            </w:r>
          </w:p>
          <w:p w14:paraId="18B2DEF8" w14:textId="3FB99328" w:rsidR="00934F2E" w:rsidRPr="003754F8" w:rsidRDefault="00934F2E" w:rsidP="00790AA7">
            <w:pPr>
              <w:rPr>
                <w:b/>
              </w:rPr>
            </w:pPr>
            <w:r w:rsidRPr="003754F8">
              <w:rPr>
                <w:b/>
                <w:bCs/>
              </w:rPr>
              <w:t xml:space="preserve"> Skaidrios įstaigos vardas nesuteiktas</w:t>
            </w:r>
            <w:r w:rsidRPr="003754F8">
              <w:t xml:space="preserve"> </w:t>
            </w:r>
            <w:r w:rsidRPr="003754F8">
              <w:rPr>
                <w:b/>
                <w:bCs/>
              </w:rPr>
              <w:t>(0 balų)</w:t>
            </w:r>
          </w:p>
        </w:tc>
      </w:tr>
      <w:tr w:rsidR="00934F2E" w:rsidRPr="00C930F8" w14:paraId="659369D2" w14:textId="77777777" w:rsidTr="00385EDD">
        <w:tc>
          <w:tcPr>
            <w:tcW w:w="216" w:type="pct"/>
            <w:tcBorders>
              <w:top w:val="single" w:sz="4" w:space="0" w:color="auto"/>
              <w:left w:val="single" w:sz="4" w:space="0" w:color="auto"/>
              <w:bottom w:val="single" w:sz="4" w:space="0" w:color="auto"/>
              <w:right w:val="single" w:sz="4" w:space="0" w:color="auto"/>
            </w:tcBorders>
            <w:vAlign w:val="center"/>
          </w:tcPr>
          <w:p w14:paraId="7BDC563C" w14:textId="77777777" w:rsidR="00934F2E" w:rsidRPr="00C930F8" w:rsidRDefault="00934F2E" w:rsidP="001F7304">
            <w:pPr>
              <w:jc w:val="center"/>
              <w:rPr>
                <w:szCs w:val="20"/>
              </w:rPr>
            </w:pPr>
          </w:p>
        </w:tc>
        <w:tc>
          <w:tcPr>
            <w:tcW w:w="4784" w:type="pct"/>
            <w:gridSpan w:val="3"/>
            <w:tcBorders>
              <w:top w:val="single" w:sz="4" w:space="0" w:color="auto"/>
              <w:left w:val="single" w:sz="4" w:space="0" w:color="auto"/>
              <w:bottom w:val="single" w:sz="4" w:space="0" w:color="auto"/>
              <w:right w:val="single" w:sz="4" w:space="0" w:color="auto"/>
            </w:tcBorders>
            <w:vAlign w:val="center"/>
          </w:tcPr>
          <w:p w14:paraId="4EE544FD" w14:textId="77777777" w:rsidR="00934F2E" w:rsidRPr="00C930F8" w:rsidRDefault="00934F2E" w:rsidP="001F7304">
            <w:pPr>
              <w:jc w:val="both"/>
            </w:pPr>
            <w:r w:rsidRPr="00C930F8">
              <w:t>ASPĮ, kurių dalininko (savininko) teises ir pareigas įgyvendina Lietuvos Respublikos sveikatos apsaugos ministerija, (toliau – Ministerija) skaidrios asmens sveikatos priežiūros įstaigos vardas suteikiamas vadovaujantis Skaidrios asmens sveikatos priežiūros įstaigos vardo suteikimo tvarko aprašu, patvirtintu Lietuvos Respublikos sveikatos apsaugos ministro 2015 m. sausio 26 d. įsakymu Nr. V-65 „Dėl Skaidrios asmens sveikatos priežiūros įstaigos vardo suteikimo tvarkos aprašo patvirtinimo“, o ASPĮ, kurių savininkė (dalininkė) yra savivaldybė, – ASPĮ dalininko (savininko) nustatyta tvarka.</w:t>
            </w:r>
          </w:p>
          <w:p w14:paraId="4C948E3A" w14:textId="77777777" w:rsidR="00934F2E" w:rsidRPr="00C930F8" w:rsidRDefault="00934F2E" w:rsidP="001F7304"/>
          <w:p w14:paraId="7A212B9F" w14:textId="77777777" w:rsidR="00934F2E" w:rsidRPr="00C930F8" w:rsidRDefault="00934F2E" w:rsidP="001F7304">
            <w:r w:rsidRPr="00C930F8">
              <w:rPr>
                <w:b/>
              </w:rPr>
              <w:t>Duomenų teikėjai:</w:t>
            </w:r>
            <w:r w:rsidRPr="00C930F8">
              <w:t xml:space="preserve"> savivaldybių administracijos, ASPĮ ir Ministerija.</w:t>
            </w:r>
          </w:p>
        </w:tc>
      </w:tr>
      <w:tr w:rsidR="00934F2E" w:rsidRPr="00B20F8C" w14:paraId="0784148A" w14:textId="77777777" w:rsidTr="00790AA7">
        <w:tc>
          <w:tcPr>
            <w:tcW w:w="216" w:type="pct"/>
            <w:tcBorders>
              <w:top w:val="single" w:sz="4" w:space="0" w:color="auto"/>
              <w:left w:val="single" w:sz="4" w:space="0" w:color="auto"/>
              <w:bottom w:val="single" w:sz="4" w:space="0" w:color="auto"/>
              <w:right w:val="single" w:sz="4" w:space="0" w:color="auto"/>
            </w:tcBorders>
            <w:vAlign w:val="center"/>
            <w:hideMark/>
          </w:tcPr>
          <w:p w14:paraId="634F8F41" w14:textId="77777777" w:rsidR="00934F2E" w:rsidRPr="00CC204A" w:rsidRDefault="00934F2E" w:rsidP="001F7304">
            <w:pPr>
              <w:jc w:val="center"/>
            </w:pPr>
            <w:r w:rsidRPr="00CC204A">
              <w:lastRenderedPageBreak/>
              <w:t>5.</w:t>
            </w:r>
          </w:p>
        </w:tc>
        <w:tc>
          <w:tcPr>
            <w:tcW w:w="1506" w:type="pct"/>
            <w:tcBorders>
              <w:top w:val="single" w:sz="4" w:space="0" w:color="auto"/>
              <w:left w:val="single" w:sz="4" w:space="0" w:color="auto"/>
              <w:bottom w:val="single" w:sz="4" w:space="0" w:color="auto"/>
              <w:right w:val="single" w:sz="4" w:space="0" w:color="auto"/>
            </w:tcBorders>
            <w:hideMark/>
          </w:tcPr>
          <w:p w14:paraId="7E379504" w14:textId="77777777" w:rsidR="00934F2E" w:rsidRPr="00CC204A" w:rsidRDefault="00934F2E" w:rsidP="00790AA7">
            <w:pPr>
              <w:rPr>
                <w:bCs/>
              </w:rPr>
            </w:pPr>
            <w:r w:rsidRPr="00CC204A">
              <w:rPr>
                <w:bCs/>
              </w:rPr>
              <w:t>Informacinių technologijų diegimo ir plėtros lygis (pacientų elektroninės registracijos sistema, įstaigos interneto svetainės išsamumas, darbuotojų darbo krūvio apskaita, įstaigos dalyvavimo elektroninėje sveikatos sistemoje mastas)</w:t>
            </w:r>
            <w:r w:rsidRPr="00CC204A">
              <w:rPr>
                <w:bCs/>
              </w:rPr>
              <w:tab/>
            </w:r>
          </w:p>
        </w:tc>
        <w:tc>
          <w:tcPr>
            <w:tcW w:w="1368" w:type="pct"/>
            <w:tcBorders>
              <w:top w:val="single" w:sz="4" w:space="0" w:color="auto"/>
              <w:left w:val="single" w:sz="4" w:space="0" w:color="auto"/>
              <w:bottom w:val="single" w:sz="4" w:space="0" w:color="auto"/>
              <w:right w:val="single" w:sz="4" w:space="0" w:color="auto"/>
            </w:tcBorders>
            <w:vAlign w:val="center"/>
          </w:tcPr>
          <w:p w14:paraId="355CA394" w14:textId="7C8026E5" w:rsidR="00934F2E" w:rsidRPr="00CC204A" w:rsidRDefault="00934F2E" w:rsidP="001F7304">
            <w:pPr>
              <w:pStyle w:val="Default"/>
              <w:tabs>
                <w:tab w:val="left" w:pos="1621"/>
              </w:tabs>
              <w:spacing w:line="252" w:lineRule="auto"/>
              <w:ind w:left="29"/>
              <w:rPr>
                <w:rFonts w:eastAsia="Times New Roman"/>
              </w:rPr>
            </w:pPr>
            <w:r w:rsidRPr="00CC204A">
              <w:rPr>
                <w:rFonts w:eastAsia="Times New Roman"/>
              </w:rPr>
              <w:t>1. Ne mažiau kaip 9</w:t>
            </w:r>
            <w:r w:rsidR="00562DFC">
              <w:rPr>
                <w:rFonts w:eastAsia="Times New Roman"/>
              </w:rPr>
              <w:t>8</w:t>
            </w:r>
            <w:r w:rsidRPr="00CC204A">
              <w:rPr>
                <w:rFonts w:eastAsia="Times New Roman"/>
              </w:rPr>
              <w:t xml:space="preserve"> proc. visų epikrizių išrašoma el. būdu (e. dokumentas Nr. E003 „Stacionaro epikrizė“, kurio duomenų sąrašas nustatytas Lietuvos Respublikos sveikatos apsaugos ministro 2010 m. gruodžio 17 d. įsakyme Nr. V-1079 „Dėl Sveikatos priežiūros įstaigų informacinių sistemų susiejimo su e. sveikatos paslaugų ir bendradarbiavimo infrastruktūra reikalavimų ir techninių sąlygų patvirtinimo“ (toliau įsakymas Nr. V-1079),  (toliau – E003));</w:t>
            </w:r>
          </w:p>
          <w:p w14:paraId="3DFC389C" w14:textId="77777777" w:rsidR="00934F2E" w:rsidRPr="00CC204A" w:rsidRDefault="00934F2E" w:rsidP="001F7304">
            <w:pPr>
              <w:pStyle w:val="Default"/>
              <w:tabs>
                <w:tab w:val="left" w:pos="1621"/>
              </w:tabs>
              <w:spacing w:line="252" w:lineRule="auto"/>
              <w:ind w:left="29"/>
              <w:rPr>
                <w:rFonts w:eastAsia="Times New Roman"/>
              </w:rPr>
            </w:pPr>
          </w:p>
          <w:p w14:paraId="10149C54" w14:textId="3D95EFF6" w:rsidR="00934F2E" w:rsidRDefault="00934F2E" w:rsidP="00037DB9">
            <w:pPr>
              <w:pStyle w:val="Default"/>
              <w:spacing w:line="252" w:lineRule="auto"/>
              <w:ind w:left="29"/>
              <w:rPr>
                <w:rFonts w:eastAsia="Times New Roman"/>
              </w:rPr>
            </w:pPr>
            <w:r w:rsidRPr="00CC204A">
              <w:rPr>
                <w:rFonts w:eastAsia="Times New Roman"/>
              </w:rPr>
              <w:t>2. ASPĮ, išrašant e. receptus, vaistų sąveikų tikrinimo funkcionalumą naudoja pilna apimtimi;</w:t>
            </w:r>
          </w:p>
          <w:p w14:paraId="3C237C45" w14:textId="77777777" w:rsidR="00ED4FEB" w:rsidRPr="00CC204A" w:rsidRDefault="00ED4FEB" w:rsidP="00037DB9">
            <w:pPr>
              <w:pStyle w:val="Default"/>
              <w:spacing w:line="252" w:lineRule="auto"/>
              <w:ind w:left="29"/>
              <w:rPr>
                <w:rFonts w:eastAsia="Times New Roman"/>
              </w:rPr>
            </w:pPr>
          </w:p>
          <w:p w14:paraId="4487F5A0" w14:textId="3406F3A1" w:rsidR="00934F2E" w:rsidRDefault="00934F2E" w:rsidP="00037DB9">
            <w:pPr>
              <w:pStyle w:val="Default"/>
              <w:spacing w:line="252" w:lineRule="auto"/>
              <w:rPr>
                <w:rFonts w:eastAsia="Times New Roman"/>
              </w:rPr>
            </w:pPr>
            <w:r w:rsidRPr="00CC204A">
              <w:rPr>
                <w:rFonts w:eastAsia="Times New Roman"/>
              </w:rPr>
              <w:t>3. ASPĮ yra Išankstinės pacientų registracijos informacinės sistemos (toliau – IPR IS) dalyvis.</w:t>
            </w:r>
          </w:p>
          <w:p w14:paraId="09BD48E6" w14:textId="77777777" w:rsidR="00B3508F" w:rsidRDefault="00B3508F" w:rsidP="00037DB9">
            <w:pPr>
              <w:pStyle w:val="Default"/>
              <w:spacing w:line="252" w:lineRule="auto"/>
              <w:rPr>
                <w:rFonts w:eastAsia="Times New Roman"/>
              </w:rPr>
            </w:pPr>
          </w:p>
          <w:p w14:paraId="05AC8C29" w14:textId="077B85DE" w:rsidR="001106A7" w:rsidRDefault="00BB2F14" w:rsidP="00037DB9">
            <w:pPr>
              <w:pStyle w:val="Default"/>
              <w:spacing w:line="252" w:lineRule="auto"/>
              <w:rPr>
                <w:rFonts w:eastAsia="Times New Roman"/>
              </w:rPr>
            </w:pPr>
            <w:r>
              <w:rPr>
                <w:rFonts w:eastAsia="Times New Roman"/>
              </w:rPr>
              <w:t>4. Ne mažiau kaip 50 proc. visų atsakymų į siuntimus (e. dokumentas Nr. E027-a „Atsakymas į siuntimą konsultacijai, tyrimams</w:t>
            </w:r>
            <w:r w:rsidR="00A44DD3">
              <w:rPr>
                <w:rFonts w:eastAsia="Times New Roman"/>
              </w:rPr>
              <w:t xml:space="preserve">, </w:t>
            </w:r>
            <w:r w:rsidR="00A44DD3">
              <w:rPr>
                <w:rFonts w:eastAsia="Times New Roman"/>
              </w:rPr>
              <w:lastRenderedPageBreak/>
              <w:t xml:space="preserve">gydymui“) (toliau </w:t>
            </w:r>
            <w:r w:rsidR="00037DB9">
              <w:rPr>
                <w:rFonts w:eastAsia="Times New Roman"/>
              </w:rPr>
              <w:t>–</w:t>
            </w:r>
            <w:r w:rsidR="00A44DD3">
              <w:rPr>
                <w:rFonts w:eastAsia="Times New Roman"/>
              </w:rPr>
              <w:t xml:space="preserve"> E027-a) išrašoma el. būdu.</w:t>
            </w:r>
          </w:p>
          <w:p w14:paraId="07E7FD0D" w14:textId="77777777" w:rsidR="006B6559" w:rsidRDefault="006B6559" w:rsidP="00037DB9">
            <w:pPr>
              <w:pStyle w:val="Default"/>
              <w:spacing w:line="252" w:lineRule="auto"/>
              <w:rPr>
                <w:rFonts w:eastAsia="Times New Roman"/>
              </w:rPr>
            </w:pPr>
          </w:p>
          <w:p w14:paraId="01BE0C53" w14:textId="28CB392B" w:rsidR="006D2055" w:rsidRPr="00CC204A" w:rsidRDefault="006B6559" w:rsidP="00037DB9">
            <w:pPr>
              <w:pStyle w:val="Default"/>
              <w:spacing w:line="252" w:lineRule="auto"/>
              <w:rPr>
                <w:rFonts w:eastAsia="Times New Roman"/>
              </w:rPr>
            </w:pPr>
            <w:r>
              <w:rPr>
                <w:rFonts w:eastAsia="Times New Roman"/>
              </w:rPr>
              <w:t>5. Patvirtinta ASPĮ naudojamos informacinės sistemos infrastruktūros saugumo dokumentacija.</w:t>
            </w:r>
          </w:p>
        </w:tc>
        <w:tc>
          <w:tcPr>
            <w:tcW w:w="1910" w:type="pct"/>
            <w:tcBorders>
              <w:top w:val="single" w:sz="4" w:space="0" w:color="auto"/>
              <w:left w:val="single" w:sz="4" w:space="0" w:color="auto"/>
              <w:bottom w:val="single" w:sz="4" w:space="0" w:color="auto"/>
              <w:right w:val="single" w:sz="4" w:space="0" w:color="auto"/>
            </w:tcBorders>
            <w:vAlign w:val="center"/>
          </w:tcPr>
          <w:p w14:paraId="72EB7C67" w14:textId="3BBEC5C7" w:rsidR="00934F2E" w:rsidRPr="00572592" w:rsidRDefault="00934F2E" w:rsidP="001F7304">
            <w:pPr>
              <w:pStyle w:val="Default"/>
              <w:spacing w:line="252" w:lineRule="auto"/>
              <w:jc w:val="both"/>
            </w:pPr>
            <w:r w:rsidRPr="00572592">
              <w:rPr>
                <w:b/>
                <w:bCs/>
              </w:rPr>
              <w:lastRenderedPageBreak/>
              <w:t xml:space="preserve">1. </w:t>
            </w:r>
            <w:r w:rsidR="00385EDD">
              <w:t>74,00</w:t>
            </w:r>
            <w:r w:rsidRPr="00572592">
              <w:t xml:space="preserve"> proc. epikrizių išrašoma el. būdu (</w:t>
            </w:r>
            <w:r w:rsidRPr="00572592">
              <w:rPr>
                <w:b/>
                <w:bCs/>
              </w:rPr>
              <w:t>0 balų)</w:t>
            </w:r>
          </w:p>
          <w:p w14:paraId="4F107AB9" w14:textId="77777777" w:rsidR="00934F2E" w:rsidRPr="00572592" w:rsidRDefault="00934F2E" w:rsidP="001F7304">
            <w:pPr>
              <w:pStyle w:val="Default"/>
              <w:spacing w:line="252" w:lineRule="auto"/>
              <w:jc w:val="both"/>
              <w:rPr>
                <w:b/>
                <w:bCs/>
              </w:rPr>
            </w:pPr>
          </w:p>
          <w:p w14:paraId="4640ECFD" w14:textId="77777777" w:rsidR="00934F2E" w:rsidRPr="00572592" w:rsidRDefault="00934F2E" w:rsidP="001F7304">
            <w:pPr>
              <w:pStyle w:val="Default"/>
              <w:spacing w:line="252" w:lineRule="auto"/>
              <w:jc w:val="both"/>
              <w:rPr>
                <w:b/>
                <w:bCs/>
              </w:rPr>
            </w:pPr>
          </w:p>
          <w:p w14:paraId="43D08153" w14:textId="77777777" w:rsidR="00934F2E" w:rsidRPr="00572592" w:rsidRDefault="00934F2E" w:rsidP="001F7304">
            <w:pPr>
              <w:pStyle w:val="Default"/>
              <w:spacing w:line="252" w:lineRule="auto"/>
              <w:jc w:val="both"/>
              <w:rPr>
                <w:b/>
                <w:bCs/>
              </w:rPr>
            </w:pPr>
          </w:p>
          <w:p w14:paraId="30FE17B5" w14:textId="77777777" w:rsidR="00934F2E" w:rsidRPr="00572592" w:rsidRDefault="00934F2E" w:rsidP="001F7304">
            <w:pPr>
              <w:pStyle w:val="Default"/>
              <w:spacing w:line="252" w:lineRule="auto"/>
              <w:jc w:val="both"/>
              <w:rPr>
                <w:b/>
                <w:bCs/>
              </w:rPr>
            </w:pPr>
          </w:p>
          <w:p w14:paraId="1EE04A55" w14:textId="77777777" w:rsidR="00934F2E" w:rsidRPr="00572592" w:rsidRDefault="00934F2E" w:rsidP="001F7304">
            <w:pPr>
              <w:pStyle w:val="Default"/>
              <w:spacing w:line="252" w:lineRule="auto"/>
              <w:jc w:val="both"/>
              <w:rPr>
                <w:b/>
                <w:bCs/>
              </w:rPr>
            </w:pPr>
          </w:p>
          <w:p w14:paraId="1D904E9C" w14:textId="77777777" w:rsidR="00934F2E" w:rsidRPr="00572592" w:rsidRDefault="00934F2E" w:rsidP="001F7304">
            <w:pPr>
              <w:pStyle w:val="Default"/>
              <w:spacing w:line="252" w:lineRule="auto"/>
              <w:jc w:val="both"/>
              <w:rPr>
                <w:b/>
                <w:bCs/>
              </w:rPr>
            </w:pPr>
          </w:p>
          <w:p w14:paraId="44248532" w14:textId="77777777" w:rsidR="00934F2E" w:rsidRPr="00572592" w:rsidRDefault="00934F2E" w:rsidP="001F7304">
            <w:pPr>
              <w:pStyle w:val="Default"/>
              <w:spacing w:line="252" w:lineRule="auto"/>
              <w:jc w:val="both"/>
              <w:rPr>
                <w:b/>
                <w:bCs/>
              </w:rPr>
            </w:pPr>
          </w:p>
          <w:p w14:paraId="4816B6CA" w14:textId="77777777" w:rsidR="00934F2E" w:rsidRPr="00572592" w:rsidRDefault="00934F2E" w:rsidP="001F7304">
            <w:pPr>
              <w:pStyle w:val="Default"/>
              <w:spacing w:line="252" w:lineRule="auto"/>
              <w:jc w:val="both"/>
              <w:rPr>
                <w:b/>
                <w:bCs/>
              </w:rPr>
            </w:pPr>
          </w:p>
          <w:p w14:paraId="2A6F453E" w14:textId="77777777" w:rsidR="00934F2E" w:rsidRPr="00572592" w:rsidRDefault="00934F2E" w:rsidP="001F7304">
            <w:pPr>
              <w:pStyle w:val="Default"/>
              <w:spacing w:line="252" w:lineRule="auto"/>
              <w:jc w:val="both"/>
              <w:rPr>
                <w:b/>
                <w:bCs/>
              </w:rPr>
            </w:pPr>
          </w:p>
          <w:p w14:paraId="09C0178B" w14:textId="77777777" w:rsidR="00934F2E" w:rsidRPr="00572592" w:rsidRDefault="00934F2E" w:rsidP="001F7304">
            <w:pPr>
              <w:pStyle w:val="Default"/>
              <w:spacing w:line="252" w:lineRule="auto"/>
              <w:jc w:val="both"/>
              <w:rPr>
                <w:b/>
                <w:bCs/>
              </w:rPr>
            </w:pPr>
          </w:p>
          <w:p w14:paraId="2953F5EE" w14:textId="77777777" w:rsidR="00934F2E" w:rsidRPr="00572592" w:rsidRDefault="00934F2E" w:rsidP="001F7304">
            <w:pPr>
              <w:pStyle w:val="Default"/>
              <w:spacing w:line="252" w:lineRule="auto"/>
              <w:jc w:val="both"/>
              <w:rPr>
                <w:b/>
                <w:bCs/>
              </w:rPr>
            </w:pPr>
          </w:p>
          <w:p w14:paraId="150E7B6A" w14:textId="77777777" w:rsidR="00934F2E" w:rsidRPr="00572592" w:rsidRDefault="00934F2E" w:rsidP="001F7304">
            <w:pPr>
              <w:pStyle w:val="Default"/>
              <w:spacing w:line="252" w:lineRule="auto"/>
              <w:jc w:val="both"/>
              <w:rPr>
                <w:b/>
                <w:bCs/>
              </w:rPr>
            </w:pPr>
          </w:p>
          <w:p w14:paraId="67A13DB7" w14:textId="7C8B447A" w:rsidR="00934F2E" w:rsidRDefault="00934F2E" w:rsidP="001F7304">
            <w:pPr>
              <w:pStyle w:val="Default"/>
              <w:spacing w:line="252" w:lineRule="auto"/>
              <w:jc w:val="both"/>
              <w:rPr>
                <w:b/>
                <w:bCs/>
              </w:rPr>
            </w:pPr>
          </w:p>
          <w:p w14:paraId="05CEFEED" w14:textId="71166E49" w:rsidR="00790AA7" w:rsidRDefault="00790AA7" w:rsidP="001F7304">
            <w:pPr>
              <w:pStyle w:val="Default"/>
              <w:spacing w:line="252" w:lineRule="auto"/>
              <w:jc w:val="both"/>
              <w:rPr>
                <w:b/>
                <w:bCs/>
              </w:rPr>
            </w:pPr>
          </w:p>
          <w:p w14:paraId="0491DC76" w14:textId="77777777" w:rsidR="00790AA7" w:rsidRPr="00572592" w:rsidRDefault="00790AA7" w:rsidP="001F7304">
            <w:pPr>
              <w:pStyle w:val="Default"/>
              <w:spacing w:line="252" w:lineRule="auto"/>
              <w:jc w:val="both"/>
              <w:rPr>
                <w:b/>
                <w:bCs/>
              </w:rPr>
            </w:pPr>
          </w:p>
          <w:p w14:paraId="5EB7A356" w14:textId="77777777" w:rsidR="00934F2E" w:rsidRPr="00572592" w:rsidRDefault="00934F2E" w:rsidP="001F7304">
            <w:pPr>
              <w:pStyle w:val="Default"/>
              <w:spacing w:line="252" w:lineRule="auto"/>
              <w:jc w:val="both"/>
              <w:rPr>
                <w:b/>
                <w:bCs/>
              </w:rPr>
            </w:pPr>
            <w:r w:rsidRPr="00572592">
              <w:rPr>
                <w:b/>
                <w:bCs/>
              </w:rPr>
              <w:t xml:space="preserve">2. </w:t>
            </w:r>
            <w:r w:rsidRPr="00572592">
              <w:t xml:space="preserve">Funkcionalumas įdiegtas ir naudojamas pilna apimtimi – </w:t>
            </w:r>
            <w:r w:rsidRPr="00572592">
              <w:rPr>
                <w:b/>
                <w:bCs/>
              </w:rPr>
              <w:t>10 balų</w:t>
            </w:r>
          </w:p>
          <w:p w14:paraId="460210DB" w14:textId="471510EC" w:rsidR="00934F2E" w:rsidRDefault="00934F2E" w:rsidP="001F7304">
            <w:pPr>
              <w:pStyle w:val="Default"/>
              <w:spacing w:line="252" w:lineRule="auto"/>
              <w:jc w:val="both"/>
              <w:rPr>
                <w:b/>
                <w:bCs/>
              </w:rPr>
            </w:pPr>
          </w:p>
          <w:p w14:paraId="0E36FC56" w14:textId="77777777" w:rsidR="00ED4FEB" w:rsidRPr="00572592" w:rsidRDefault="00ED4FEB" w:rsidP="001F7304">
            <w:pPr>
              <w:pStyle w:val="Default"/>
              <w:spacing w:line="252" w:lineRule="auto"/>
              <w:jc w:val="both"/>
              <w:rPr>
                <w:b/>
                <w:bCs/>
              </w:rPr>
            </w:pPr>
          </w:p>
          <w:p w14:paraId="584D69A3" w14:textId="260EF76D" w:rsidR="00934F2E" w:rsidRDefault="00934F2E" w:rsidP="001F7304">
            <w:pPr>
              <w:pStyle w:val="Default"/>
              <w:spacing w:line="252" w:lineRule="auto"/>
              <w:jc w:val="both"/>
              <w:rPr>
                <w:b/>
                <w:bCs/>
              </w:rPr>
            </w:pPr>
            <w:r w:rsidRPr="00572592">
              <w:rPr>
                <w:b/>
                <w:bCs/>
              </w:rPr>
              <w:t xml:space="preserve">3. </w:t>
            </w:r>
            <w:r w:rsidRPr="00572592">
              <w:t>Taip</w:t>
            </w:r>
            <w:r w:rsidRPr="00572592">
              <w:rPr>
                <w:b/>
                <w:bCs/>
              </w:rPr>
              <w:t xml:space="preserve"> – 10 balų</w:t>
            </w:r>
          </w:p>
          <w:p w14:paraId="2736C68C" w14:textId="7B6BBA4E" w:rsidR="00A44DD3" w:rsidRDefault="00A44DD3" w:rsidP="001F7304">
            <w:pPr>
              <w:pStyle w:val="Default"/>
              <w:spacing w:line="252" w:lineRule="auto"/>
              <w:jc w:val="both"/>
              <w:rPr>
                <w:b/>
                <w:bCs/>
              </w:rPr>
            </w:pPr>
          </w:p>
          <w:p w14:paraId="768B5E33" w14:textId="3DA25820" w:rsidR="00086505" w:rsidRDefault="00086505" w:rsidP="001F7304">
            <w:pPr>
              <w:pStyle w:val="Default"/>
              <w:spacing w:line="252" w:lineRule="auto"/>
              <w:jc w:val="both"/>
              <w:rPr>
                <w:b/>
                <w:bCs/>
              </w:rPr>
            </w:pPr>
          </w:p>
          <w:p w14:paraId="181BA2C9" w14:textId="77777777" w:rsidR="00B3508F" w:rsidRDefault="00B3508F" w:rsidP="001F7304">
            <w:pPr>
              <w:pStyle w:val="Default"/>
              <w:spacing w:line="252" w:lineRule="auto"/>
              <w:jc w:val="both"/>
              <w:rPr>
                <w:b/>
                <w:bCs/>
              </w:rPr>
            </w:pPr>
          </w:p>
          <w:p w14:paraId="6ED72D2E" w14:textId="0314E62E" w:rsidR="00A44DD3" w:rsidRDefault="00A44DD3" w:rsidP="001F7304">
            <w:pPr>
              <w:pStyle w:val="Default"/>
              <w:spacing w:line="252" w:lineRule="auto"/>
              <w:jc w:val="both"/>
              <w:rPr>
                <w:b/>
                <w:bCs/>
              </w:rPr>
            </w:pPr>
            <w:r>
              <w:rPr>
                <w:b/>
                <w:bCs/>
              </w:rPr>
              <w:t>4. 35,44</w:t>
            </w:r>
            <w:r w:rsidR="001C08E6">
              <w:rPr>
                <w:b/>
                <w:bCs/>
              </w:rPr>
              <w:t xml:space="preserve"> – 0 balų</w:t>
            </w:r>
          </w:p>
          <w:p w14:paraId="53CF127B" w14:textId="4A04D320" w:rsidR="001C08E6" w:rsidRDefault="001C08E6" w:rsidP="001F7304">
            <w:pPr>
              <w:pStyle w:val="Default"/>
              <w:spacing w:line="252" w:lineRule="auto"/>
              <w:jc w:val="both"/>
              <w:rPr>
                <w:b/>
                <w:bCs/>
              </w:rPr>
            </w:pPr>
          </w:p>
          <w:p w14:paraId="36244652" w14:textId="28AA8D82" w:rsidR="001C08E6" w:rsidRDefault="001C08E6" w:rsidP="001F7304">
            <w:pPr>
              <w:pStyle w:val="Default"/>
              <w:spacing w:line="252" w:lineRule="auto"/>
              <w:jc w:val="both"/>
              <w:rPr>
                <w:b/>
                <w:bCs/>
              </w:rPr>
            </w:pPr>
          </w:p>
          <w:p w14:paraId="32038646" w14:textId="4C43014C" w:rsidR="001C08E6" w:rsidRDefault="001C08E6" w:rsidP="001F7304">
            <w:pPr>
              <w:pStyle w:val="Default"/>
              <w:spacing w:line="252" w:lineRule="auto"/>
              <w:jc w:val="both"/>
              <w:rPr>
                <w:b/>
                <w:bCs/>
              </w:rPr>
            </w:pPr>
          </w:p>
          <w:p w14:paraId="4195A098" w14:textId="77777777" w:rsidR="001C08E6" w:rsidRPr="00572592" w:rsidRDefault="001C08E6" w:rsidP="001F7304">
            <w:pPr>
              <w:pStyle w:val="Default"/>
              <w:spacing w:line="252" w:lineRule="auto"/>
              <w:jc w:val="both"/>
              <w:rPr>
                <w:b/>
                <w:bCs/>
              </w:rPr>
            </w:pPr>
          </w:p>
          <w:p w14:paraId="2CDA8861" w14:textId="77777777" w:rsidR="00934F2E" w:rsidRPr="00572592" w:rsidRDefault="00934F2E" w:rsidP="001F7304">
            <w:pPr>
              <w:pStyle w:val="Default"/>
              <w:spacing w:line="252" w:lineRule="auto"/>
              <w:jc w:val="center"/>
              <w:rPr>
                <w:b/>
                <w:bCs/>
              </w:rPr>
            </w:pPr>
          </w:p>
          <w:p w14:paraId="14ACA334" w14:textId="77777777" w:rsidR="001C08E6" w:rsidRPr="000B3392" w:rsidRDefault="001C08E6" w:rsidP="001F7304">
            <w:pPr>
              <w:pStyle w:val="Default"/>
              <w:spacing w:line="252" w:lineRule="auto"/>
              <w:jc w:val="center"/>
            </w:pPr>
          </w:p>
          <w:p w14:paraId="5323E5B0" w14:textId="4FDECEB0" w:rsidR="009C747E" w:rsidRDefault="009C747E" w:rsidP="009C747E">
            <w:pPr>
              <w:pStyle w:val="Default"/>
              <w:spacing w:line="252" w:lineRule="auto"/>
              <w:rPr>
                <w:highlight w:val="green"/>
              </w:rPr>
            </w:pPr>
            <w:r w:rsidRPr="000B3392">
              <w:t xml:space="preserve">5. </w:t>
            </w:r>
            <w:r w:rsidR="001C6372" w:rsidRPr="000B3392">
              <w:t xml:space="preserve">10 </w:t>
            </w:r>
            <w:r w:rsidR="006D2055" w:rsidRPr="000B3392">
              <w:t>balų</w:t>
            </w:r>
          </w:p>
          <w:p w14:paraId="6A2C321A" w14:textId="77777777" w:rsidR="000B3392" w:rsidRDefault="000B3392" w:rsidP="001F7304">
            <w:pPr>
              <w:pStyle w:val="Default"/>
              <w:spacing w:line="252" w:lineRule="auto"/>
              <w:jc w:val="center"/>
              <w:rPr>
                <w:highlight w:val="green"/>
              </w:rPr>
            </w:pPr>
          </w:p>
          <w:p w14:paraId="3C8574C1" w14:textId="77777777" w:rsidR="000B3392" w:rsidRDefault="000B3392" w:rsidP="001F7304">
            <w:pPr>
              <w:pStyle w:val="Default"/>
              <w:spacing w:line="252" w:lineRule="auto"/>
              <w:jc w:val="center"/>
              <w:rPr>
                <w:highlight w:val="green"/>
              </w:rPr>
            </w:pPr>
          </w:p>
          <w:p w14:paraId="4492011B" w14:textId="77777777" w:rsidR="000B3392" w:rsidRDefault="000B3392" w:rsidP="001F7304">
            <w:pPr>
              <w:pStyle w:val="Default"/>
              <w:spacing w:line="252" w:lineRule="auto"/>
              <w:jc w:val="center"/>
              <w:rPr>
                <w:highlight w:val="green"/>
              </w:rPr>
            </w:pPr>
          </w:p>
          <w:p w14:paraId="56AEB5DF" w14:textId="49F89731" w:rsidR="00934F2E" w:rsidRPr="00572592" w:rsidRDefault="00934F2E" w:rsidP="001F7304">
            <w:pPr>
              <w:pStyle w:val="Default"/>
              <w:spacing w:line="252" w:lineRule="auto"/>
              <w:jc w:val="center"/>
              <w:rPr>
                <w:b/>
                <w:bCs/>
                <w:lang w:val="en-US"/>
              </w:rPr>
            </w:pPr>
            <w:r w:rsidRPr="006D646C">
              <w:t xml:space="preserve">Bendras: </w:t>
            </w:r>
            <w:r w:rsidRPr="006D646C">
              <w:rPr>
                <w:b/>
                <w:bCs/>
              </w:rPr>
              <w:t xml:space="preserve"> </w:t>
            </w:r>
            <w:r w:rsidR="000B3392" w:rsidRPr="006D646C">
              <w:rPr>
                <w:b/>
                <w:bCs/>
              </w:rPr>
              <w:t>4</w:t>
            </w:r>
            <w:r w:rsidRPr="006D646C">
              <w:rPr>
                <w:b/>
                <w:bCs/>
              </w:rPr>
              <w:t>0:</w:t>
            </w:r>
            <w:r w:rsidR="000B3392" w:rsidRPr="006D646C">
              <w:rPr>
                <w:b/>
                <w:bCs/>
              </w:rPr>
              <w:t>5</w:t>
            </w:r>
            <w:r w:rsidRPr="006D646C">
              <w:rPr>
                <w:b/>
                <w:bCs/>
              </w:rPr>
              <w:t xml:space="preserve"> = </w:t>
            </w:r>
            <w:r w:rsidR="006D646C" w:rsidRPr="006D646C">
              <w:rPr>
                <w:b/>
                <w:bCs/>
              </w:rPr>
              <w:t>8</w:t>
            </w:r>
            <w:r w:rsidRPr="006D646C">
              <w:rPr>
                <w:b/>
                <w:bCs/>
              </w:rPr>
              <w:t xml:space="preserve"> bal</w:t>
            </w:r>
            <w:r w:rsidR="006D646C" w:rsidRPr="006D646C">
              <w:rPr>
                <w:b/>
                <w:bCs/>
              </w:rPr>
              <w:t>ai</w:t>
            </w:r>
          </w:p>
        </w:tc>
      </w:tr>
      <w:tr w:rsidR="00934F2E" w:rsidRPr="00B20F8C" w14:paraId="0F356DD0" w14:textId="77777777" w:rsidTr="00385EDD">
        <w:tc>
          <w:tcPr>
            <w:tcW w:w="216" w:type="pct"/>
            <w:tcBorders>
              <w:top w:val="single" w:sz="4" w:space="0" w:color="auto"/>
              <w:left w:val="single" w:sz="4" w:space="0" w:color="auto"/>
              <w:bottom w:val="single" w:sz="4" w:space="0" w:color="auto"/>
              <w:right w:val="single" w:sz="4" w:space="0" w:color="auto"/>
            </w:tcBorders>
            <w:vAlign w:val="center"/>
          </w:tcPr>
          <w:p w14:paraId="7114B484" w14:textId="77777777" w:rsidR="00934F2E" w:rsidRPr="00B20F8C" w:rsidRDefault="00934F2E" w:rsidP="001F7304">
            <w:pPr>
              <w:jc w:val="center"/>
              <w:rPr>
                <w:highlight w:val="yellow"/>
              </w:rPr>
            </w:pPr>
          </w:p>
        </w:tc>
        <w:tc>
          <w:tcPr>
            <w:tcW w:w="2874" w:type="pct"/>
            <w:gridSpan w:val="2"/>
            <w:tcBorders>
              <w:top w:val="single" w:sz="4" w:space="0" w:color="auto"/>
              <w:left w:val="single" w:sz="4" w:space="0" w:color="auto"/>
              <w:bottom w:val="single" w:sz="4" w:space="0" w:color="auto"/>
              <w:right w:val="single" w:sz="4" w:space="0" w:color="auto"/>
            </w:tcBorders>
            <w:vAlign w:val="center"/>
          </w:tcPr>
          <w:p w14:paraId="425E299C" w14:textId="77777777" w:rsidR="00934F2E" w:rsidRPr="00FD3C26" w:rsidRDefault="00934F2E" w:rsidP="001F7304">
            <w:pPr>
              <w:pStyle w:val="Default"/>
              <w:spacing w:line="252" w:lineRule="auto"/>
              <w:rPr>
                <w:bCs/>
              </w:rPr>
            </w:pPr>
            <w:r w:rsidRPr="00FD3C26">
              <w:rPr>
                <w:bCs/>
              </w:rPr>
              <w:t>Rodiklio reikšmės apskaičiuojamos pagal formules:</w:t>
            </w:r>
          </w:p>
          <w:p w14:paraId="593A328D" w14:textId="6D76C182" w:rsidR="00C146AC" w:rsidRDefault="00934F2E" w:rsidP="00790AA7">
            <w:pPr>
              <w:pStyle w:val="Default"/>
              <w:numPr>
                <w:ilvl w:val="0"/>
                <w:numId w:val="4"/>
              </w:numPr>
              <w:tabs>
                <w:tab w:val="left" w:pos="588"/>
              </w:tabs>
              <w:spacing w:line="252" w:lineRule="auto"/>
              <w:ind w:left="21" w:firstLine="339"/>
              <w:jc w:val="both"/>
              <w:rPr>
                <w:bCs/>
                <w:lang w:eastAsia="lt-LT"/>
              </w:rPr>
            </w:pPr>
            <w:r w:rsidRPr="00FD3C26">
              <w:rPr>
                <w:bCs/>
                <w:lang w:eastAsia="lt-LT"/>
              </w:rPr>
              <w:t>„Ne mažiau kaip 9</w:t>
            </w:r>
            <w:r w:rsidR="000B351B" w:rsidRPr="00FD3C26">
              <w:rPr>
                <w:bCs/>
                <w:lang w:eastAsia="lt-LT"/>
              </w:rPr>
              <w:t>8</w:t>
            </w:r>
            <w:r w:rsidRPr="00FD3C26">
              <w:rPr>
                <w:bCs/>
                <w:lang w:eastAsia="lt-LT"/>
              </w:rPr>
              <w:t xml:space="preserve"> proc. visų epikrizių išrašoma el. būdu (e. dokumentas Nr. E003 „Stacionaro epikrizė“</w:t>
            </w:r>
            <w:r w:rsidR="008A72EB">
              <w:rPr>
                <w:bCs/>
                <w:lang w:eastAsia="lt-LT"/>
              </w:rPr>
              <w:t>) (toliau – E003) išrašoma el. būdu:</w:t>
            </w:r>
          </w:p>
          <w:p w14:paraId="7FEA8F49" w14:textId="5E48D36D" w:rsidR="00C146AC" w:rsidRDefault="00C146AC" w:rsidP="00C146AC">
            <w:pPr>
              <w:pStyle w:val="Default"/>
              <w:spacing w:line="252" w:lineRule="auto"/>
              <w:ind w:left="360"/>
              <w:jc w:val="center"/>
              <w:rPr>
                <w:bCs/>
                <w:lang w:val="en-US" w:eastAsia="lt-LT"/>
              </w:rPr>
            </w:pPr>
            <w:r>
              <w:rPr>
                <w:bCs/>
                <w:lang w:eastAsia="lt-LT"/>
              </w:rPr>
              <w:t>1767 x 100</w:t>
            </w:r>
            <w:r>
              <w:rPr>
                <w:bCs/>
                <w:lang w:val="en-US" w:eastAsia="lt-LT"/>
              </w:rPr>
              <w:t>%</w:t>
            </w:r>
            <w:r w:rsidR="00362D06">
              <w:rPr>
                <w:bCs/>
                <w:lang w:val="en-US" w:eastAsia="lt-LT"/>
              </w:rPr>
              <w:t>=98,55</w:t>
            </w:r>
          </w:p>
          <w:p w14:paraId="2AE3DDA2" w14:textId="140C6B90" w:rsidR="00257FF3" w:rsidRPr="00C146AC" w:rsidRDefault="003B5120" w:rsidP="00C146AC">
            <w:pPr>
              <w:pStyle w:val="Default"/>
              <w:spacing w:line="252" w:lineRule="auto"/>
              <w:ind w:left="360"/>
              <w:jc w:val="center"/>
              <w:rPr>
                <w:bCs/>
                <w:lang w:val="en-US" w:eastAsia="lt-LT"/>
              </w:rPr>
            </w:pPr>
            <w:r>
              <w:rPr>
                <w:bCs/>
                <w:lang w:val="en-US" w:eastAsia="lt-LT"/>
              </w:rPr>
              <w:t>1793</w:t>
            </w:r>
          </w:p>
          <w:p w14:paraId="0CDF8FDF" w14:textId="18201F3C" w:rsidR="00934F2E" w:rsidRDefault="00934F2E" w:rsidP="00934F2E">
            <w:pPr>
              <w:numPr>
                <w:ilvl w:val="0"/>
                <w:numId w:val="3"/>
              </w:numPr>
              <w:tabs>
                <w:tab w:val="left" w:pos="319"/>
              </w:tabs>
              <w:suppressAutoHyphens w:val="0"/>
              <w:ind w:left="35" w:firstLine="0"/>
              <w:jc w:val="both"/>
              <w:rPr>
                <w:bCs/>
                <w:lang w:eastAsia="lt-LT"/>
              </w:rPr>
            </w:pPr>
            <w:r w:rsidRPr="00DD2FE4">
              <w:rPr>
                <w:bCs/>
              </w:rPr>
              <w:t>„ASPĮ, išrašant e. receptus, vaistų sąveikų tikrinimo funkcionalum</w:t>
            </w:r>
            <w:r w:rsidR="003B5120" w:rsidRPr="00DD2FE4">
              <w:rPr>
                <w:bCs/>
              </w:rPr>
              <w:t>as</w:t>
            </w:r>
            <w:r w:rsidRPr="00DD2FE4">
              <w:rPr>
                <w:bCs/>
              </w:rPr>
              <w:t xml:space="preserve"> naudoja</w:t>
            </w:r>
            <w:r w:rsidR="003B5120" w:rsidRPr="00DD2FE4">
              <w:rPr>
                <w:bCs/>
              </w:rPr>
              <w:t>ma</w:t>
            </w:r>
            <w:r w:rsidR="00DA6370" w:rsidRPr="00DD2FE4">
              <w:rPr>
                <w:bCs/>
              </w:rPr>
              <w:t>s visa</w:t>
            </w:r>
            <w:r w:rsidRPr="00DD2FE4">
              <w:rPr>
                <w:bCs/>
              </w:rPr>
              <w:t xml:space="preserve"> apimtimi“: </w:t>
            </w:r>
            <w:r w:rsidR="00DA6370" w:rsidRPr="00DD2FE4">
              <w:rPr>
                <w:bCs/>
              </w:rPr>
              <w:t xml:space="preserve">2021 m. visi ASPĮ vaistai, išrašyti e. recepte, buvo patikrinti dėl galimų </w:t>
            </w:r>
            <w:r w:rsidRPr="00DD2FE4">
              <w:rPr>
                <w:bCs/>
              </w:rPr>
              <w:t>vaistų sąveikų.</w:t>
            </w:r>
            <w:r w:rsidR="00DD2FE4">
              <w:rPr>
                <w:bCs/>
              </w:rPr>
              <w:t xml:space="preserve"> </w:t>
            </w:r>
            <w:r w:rsidR="00DD2FE4">
              <w:rPr>
                <w:b/>
              </w:rPr>
              <w:t>Taip</w:t>
            </w:r>
          </w:p>
          <w:p w14:paraId="2D2D6363" w14:textId="0C7B3E8C" w:rsidR="00DD2FE4" w:rsidRPr="00DD2FE4" w:rsidRDefault="00DD2FE4" w:rsidP="00DD2FE4">
            <w:pPr>
              <w:tabs>
                <w:tab w:val="left" w:pos="319"/>
              </w:tabs>
              <w:suppressAutoHyphens w:val="0"/>
              <w:jc w:val="both"/>
              <w:rPr>
                <w:bCs/>
                <w:lang w:eastAsia="lt-LT"/>
              </w:rPr>
            </w:pPr>
          </w:p>
          <w:p w14:paraId="36D6C13D" w14:textId="605E37F2" w:rsidR="00934F2E" w:rsidRPr="00A05ED7" w:rsidRDefault="00934F2E" w:rsidP="002555ED">
            <w:pPr>
              <w:numPr>
                <w:ilvl w:val="0"/>
                <w:numId w:val="3"/>
              </w:numPr>
              <w:tabs>
                <w:tab w:val="num" w:pos="304"/>
              </w:tabs>
              <w:suppressAutoHyphens w:val="0"/>
              <w:ind w:left="20" w:firstLine="15"/>
              <w:rPr>
                <w:b/>
                <w:lang w:eastAsia="lt-LT"/>
              </w:rPr>
            </w:pPr>
            <w:r w:rsidRPr="00A05ED7">
              <w:rPr>
                <w:bCs/>
                <w:lang w:eastAsia="lt-LT"/>
              </w:rPr>
              <w:t>„ASPĮ yra Išankstinės pacientų registracijos informacinės sistemos (toliau – IPR IS) dalyvis“:</w:t>
            </w:r>
            <w:r w:rsidR="002555ED" w:rsidRPr="00A05ED7">
              <w:rPr>
                <w:bCs/>
                <w:lang w:eastAsia="lt-LT"/>
              </w:rPr>
              <w:t xml:space="preserve"> 2021 m. ASPĮ atliktų registracijų per IPR IS ambulatorinėms asmens sveikatos priežiūros paslaugoms skaičius yra didesnis</w:t>
            </w:r>
            <w:r w:rsidR="00A613B0" w:rsidRPr="00A05ED7">
              <w:rPr>
                <w:bCs/>
                <w:lang w:eastAsia="lt-LT"/>
              </w:rPr>
              <w:t xml:space="preserve"> už PSDF biudžeto lėšomis apmokėtų ambulatorinių asmens sveikatos priežiūros paslaugų skaičių</w:t>
            </w:r>
            <w:r w:rsidR="00A05ED7" w:rsidRPr="00A05ED7">
              <w:rPr>
                <w:bCs/>
                <w:lang w:eastAsia="lt-LT"/>
              </w:rPr>
              <w:t xml:space="preserve">. </w:t>
            </w:r>
            <w:r w:rsidR="00A05ED7" w:rsidRPr="00A05ED7">
              <w:rPr>
                <w:b/>
                <w:lang w:eastAsia="lt-LT"/>
              </w:rPr>
              <w:t>Registracijų skaičius 14024.</w:t>
            </w:r>
          </w:p>
          <w:p w14:paraId="0CF6BB55" w14:textId="77777777" w:rsidR="00A05ED7" w:rsidRDefault="00A05ED7" w:rsidP="00A05ED7">
            <w:pPr>
              <w:pStyle w:val="Sraopastraipa"/>
              <w:rPr>
                <w:bCs/>
                <w:highlight w:val="yellow"/>
                <w:lang w:eastAsia="lt-LT"/>
              </w:rPr>
            </w:pPr>
          </w:p>
          <w:p w14:paraId="393411AD" w14:textId="2C88589D" w:rsidR="00934F2E" w:rsidRPr="00115DB8" w:rsidRDefault="008F3AC0" w:rsidP="001F7304">
            <w:pPr>
              <w:rPr>
                <w:bCs/>
                <w:lang w:eastAsia="lt-LT"/>
              </w:rPr>
            </w:pPr>
            <w:r w:rsidRPr="00115DB8">
              <w:rPr>
                <w:bCs/>
                <w:lang w:eastAsia="lt-LT"/>
              </w:rPr>
              <w:t>4</w:t>
            </w:r>
            <w:r w:rsidR="005A25EA" w:rsidRPr="00115DB8">
              <w:rPr>
                <w:bCs/>
                <w:lang w:eastAsia="lt-LT"/>
              </w:rPr>
              <w:t>. „Ne mažiau kaip 98 proc. visų vakcinacijos įrašų</w:t>
            </w:r>
            <w:r w:rsidR="0046338C" w:rsidRPr="00115DB8">
              <w:rPr>
                <w:bCs/>
                <w:lang w:eastAsia="lt-LT"/>
              </w:rPr>
              <w:t xml:space="preserve"> (e. dokumentas Nr. E063 „Vakcinacijos įrašas“) (toliau – E063) išrašoma el. būdu“:</w:t>
            </w:r>
          </w:p>
          <w:p w14:paraId="05BC3C68" w14:textId="4A288B1E" w:rsidR="00EA3C40" w:rsidRPr="00115DB8" w:rsidRDefault="00B52CEB" w:rsidP="00B52CEB">
            <w:pPr>
              <w:jc w:val="center"/>
              <w:rPr>
                <w:bCs/>
                <w:lang w:eastAsia="lt-LT"/>
              </w:rPr>
            </w:pPr>
            <w:r w:rsidRPr="00115DB8">
              <w:rPr>
                <w:bCs/>
                <w:lang w:eastAsia="lt-LT"/>
              </w:rPr>
              <w:t xml:space="preserve">308 x </w:t>
            </w:r>
            <w:r w:rsidR="00EC0673" w:rsidRPr="00115DB8">
              <w:rPr>
                <w:bCs/>
                <w:lang w:eastAsia="lt-LT"/>
              </w:rPr>
              <w:t>100 proc.</w:t>
            </w:r>
          </w:p>
          <w:p w14:paraId="106DCB3A" w14:textId="6B290CD7" w:rsidR="00EC0673" w:rsidRPr="00115DB8" w:rsidRDefault="00EC0673" w:rsidP="00B52CEB">
            <w:pPr>
              <w:jc w:val="center"/>
              <w:rPr>
                <w:bCs/>
                <w:lang w:eastAsia="lt-LT"/>
              </w:rPr>
            </w:pPr>
            <w:r w:rsidRPr="00115DB8">
              <w:rPr>
                <w:bCs/>
                <w:lang w:eastAsia="lt-LT"/>
              </w:rPr>
              <w:t>2021 m. ASPĮ PSDF</w:t>
            </w:r>
            <w:r w:rsidR="009858AA" w:rsidRPr="00115DB8">
              <w:rPr>
                <w:bCs/>
                <w:lang w:eastAsia="lt-LT"/>
              </w:rPr>
              <w:t xml:space="preserve"> biudžeto lėšomis apmokėtų skiepų skaičius</w:t>
            </w:r>
          </w:p>
          <w:p w14:paraId="20DE93A3" w14:textId="15D28DB0" w:rsidR="009858AA" w:rsidRPr="00115DB8" w:rsidRDefault="009858AA" w:rsidP="00B52CEB">
            <w:pPr>
              <w:jc w:val="center"/>
              <w:rPr>
                <w:bCs/>
                <w:lang w:eastAsia="lt-LT"/>
              </w:rPr>
            </w:pPr>
          </w:p>
          <w:p w14:paraId="499258A0" w14:textId="3AF90DD8" w:rsidR="009858AA" w:rsidRPr="00115DB8" w:rsidRDefault="009858AA" w:rsidP="009858AA">
            <w:pPr>
              <w:rPr>
                <w:bCs/>
                <w:lang w:eastAsia="lt-LT"/>
              </w:rPr>
            </w:pPr>
            <w:r w:rsidRPr="00115DB8">
              <w:rPr>
                <w:bCs/>
                <w:lang w:eastAsia="lt-LT"/>
              </w:rPr>
              <w:t xml:space="preserve">5. „Ne mažiau </w:t>
            </w:r>
            <w:r w:rsidR="00FF60A6" w:rsidRPr="00115DB8">
              <w:rPr>
                <w:bCs/>
                <w:lang w:eastAsia="lt-LT"/>
              </w:rPr>
              <w:t>kaip 50 proc. visų atsakymų į siuntimus (e. dokumentas Nr. E027-a</w:t>
            </w:r>
            <w:r w:rsidR="00EB24CF" w:rsidRPr="00115DB8">
              <w:rPr>
                <w:bCs/>
                <w:lang w:eastAsia="lt-LT"/>
              </w:rPr>
              <w:t xml:space="preserve"> „Atsakymas į siuntimą konsultacijai, tyrimams, gydymui“) (toliau – E027</w:t>
            </w:r>
            <w:r w:rsidR="00A03BC5" w:rsidRPr="00115DB8">
              <w:rPr>
                <w:bCs/>
                <w:lang w:eastAsia="lt-LT"/>
              </w:rPr>
              <w:t>-a) išrašoma el. būdu“:</w:t>
            </w:r>
          </w:p>
          <w:p w14:paraId="7F94FC18" w14:textId="119822C0" w:rsidR="00A03BC5" w:rsidRPr="00115DB8" w:rsidRDefault="00A03BC5" w:rsidP="009858AA">
            <w:pPr>
              <w:rPr>
                <w:bCs/>
                <w:lang w:eastAsia="lt-LT"/>
              </w:rPr>
            </w:pPr>
          </w:p>
          <w:p w14:paraId="1479E74F" w14:textId="7FDF5719" w:rsidR="00A03BC5" w:rsidRPr="00115DB8" w:rsidRDefault="00A03BC5" w:rsidP="00A03BC5">
            <w:pPr>
              <w:jc w:val="center"/>
              <w:rPr>
                <w:bCs/>
                <w:lang w:val="en-US" w:eastAsia="lt-LT"/>
              </w:rPr>
            </w:pPr>
            <w:r w:rsidRPr="00115DB8">
              <w:rPr>
                <w:bCs/>
                <w:lang w:eastAsia="lt-LT"/>
              </w:rPr>
              <w:t>4355 x 100 proc.</w:t>
            </w:r>
            <w:r w:rsidR="00905BD2" w:rsidRPr="00115DB8">
              <w:rPr>
                <w:bCs/>
                <w:lang w:eastAsia="lt-LT"/>
              </w:rPr>
              <w:t xml:space="preserve"> </w:t>
            </w:r>
            <w:r w:rsidR="00905BD2" w:rsidRPr="00115DB8">
              <w:rPr>
                <w:bCs/>
                <w:lang w:val="en-US" w:eastAsia="lt-LT"/>
              </w:rPr>
              <w:t>=</w:t>
            </w:r>
            <w:r w:rsidR="00115DB8" w:rsidRPr="00115DB8">
              <w:rPr>
                <w:bCs/>
                <w:lang w:val="en-US" w:eastAsia="lt-LT"/>
              </w:rPr>
              <w:t>35,44 %</w:t>
            </w:r>
          </w:p>
          <w:p w14:paraId="361D6959" w14:textId="0544086D" w:rsidR="00115DB8" w:rsidRDefault="00115DB8" w:rsidP="00A03BC5">
            <w:pPr>
              <w:jc w:val="center"/>
              <w:rPr>
                <w:bCs/>
                <w:lang w:val="en-US" w:eastAsia="lt-LT"/>
              </w:rPr>
            </w:pPr>
            <w:r w:rsidRPr="00115DB8">
              <w:rPr>
                <w:bCs/>
                <w:lang w:val="en-US" w:eastAsia="lt-LT"/>
              </w:rPr>
              <w:t>12288</w:t>
            </w:r>
          </w:p>
          <w:p w14:paraId="1E03E1F1" w14:textId="7D098002" w:rsidR="00115DB8" w:rsidRDefault="00115DB8" w:rsidP="00A03BC5">
            <w:pPr>
              <w:jc w:val="center"/>
              <w:rPr>
                <w:bCs/>
                <w:lang w:val="en-US" w:eastAsia="lt-LT"/>
              </w:rPr>
            </w:pPr>
          </w:p>
          <w:p w14:paraId="1D96F317" w14:textId="05AF64EE" w:rsidR="00934F2E" w:rsidRPr="00B20F8C" w:rsidRDefault="00115DB8" w:rsidP="001D6344">
            <w:pPr>
              <w:rPr>
                <w:bCs/>
                <w:highlight w:val="yellow"/>
              </w:rPr>
            </w:pPr>
            <w:r>
              <w:rPr>
                <w:bCs/>
                <w:lang w:val="en-US" w:eastAsia="lt-LT"/>
              </w:rPr>
              <w:t xml:space="preserve">6. </w:t>
            </w:r>
            <w:r w:rsidR="00790AA7">
              <w:rPr>
                <w:bCs/>
                <w:lang w:val="en-US" w:eastAsia="lt-LT"/>
              </w:rPr>
              <w:t>„</w:t>
            </w:r>
            <w:r>
              <w:rPr>
                <w:bCs/>
                <w:lang w:val="en-US" w:eastAsia="lt-LT"/>
              </w:rPr>
              <w:t>Patvirtinta ASP</w:t>
            </w:r>
            <w:r w:rsidR="00DC303A">
              <w:rPr>
                <w:bCs/>
                <w:lang w:eastAsia="lt-LT"/>
              </w:rPr>
              <w:t xml:space="preserve">Į naudojamos informacinės sistemos infrastruktūros saugumo dokumentacija“: </w:t>
            </w:r>
            <w:r w:rsidR="00790AA7">
              <w:rPr>
                <w:bCs/>
                <w:lang w:eastAsia="lt-LT"/>
              </w:rPr>
              <w:t>p</w:t>
            </w:r>
            <w:r w:rsidR="00DC303A">
              <w:rPr>
                <w:bCs/>
                <w:lang w:eastAsia="lt-LT"/>
              </w:rPr>
              <w:t xml:space="preserve">arengti ir patvirtinti ar </w:t>
            </w:r>
            <w:r w:rsidR="009107F5">
              <w:rPr>
                <w:bCs/>
                <w:lang w:eastAsia="lt-LT"/>
              </w:rPr>
              <w:t>2021 m. atnaujinti sveikatos priežiūros įstaigos tvarkomos informacinės s</w:t>
            </w:r>
            <w:r w:rsidR="00BB7986">
              <w:rPr>
                <w:bCs/>
                <w:lang w:eastAsia="lt-LT"/>
              </w:rPr>
              <w:t xml:space="preserve">istemos Duomenų saugos nuostatai, Veiklos tęstinumo valdymo planas, Saugaus elektroninės </w:t>
            </w:r>
            <w:r w:rsidR="00C07FBA">
              <w:rPr>
                <w:bCs/>
                <w:lang w:eastAsia="lt-LT"/>
              </w:rPr>
              <w:t>informacijos tvarkymo taisyklės ir Naudotojų administravimo taisyklės. 2021 m. lapkričio 8 d. viešosios įstaigos</w:t>
            </w:r>
            <w:r w:rsidR="0081005B">
              <w:rPr>
                <w:bCs/>
                <w:lang w:eastAsia="lt-LT"/>
              </w:rPr>
              <w:t xml:space="preserve"> Alytaus </w:t>
            </w:r>
            <w:r w:rsidR="005F6DE2">
              <w:rPr>
                <w:bCs/>
                <w:lang w:eastAsia="lt-LT"/>
              </w:rPr>
              <w:t>apskrities S.</w:t>
            </w:r>
            <w:r w:rsidR="00790AA7">
              <w:rPr>
                <w:bCs/>
                <w:lang w:eastAsia="lt-LT"/>
              </w:rPr>
              <w:t xml:space="preserve"> </w:t>
            </w:r>
            <w:r w:rsidR="005F6DE2">
              <w:rPr>
                <w:bCs/>
                <w:lang w:eastAsia="lt-LT"/>
              </w:rPr>
              <w:t>Kudirkos ligoninės</w:t>
            </w:r>
            <w:r w:rsidR="002F5DA5">
              <w:rPr>
                <w:bCs/>
                <w:lang w:eastAsia="lt-LT"/>
              </w:rPr>
              <w:t xml:space="preserve"> direktoriaus įsakymas Nr. V-689 „Dėl VšĮ Alytaus apskrities S.</w:t>
            </w:r>
            <w:r w:rsidR="00790AA7">
              <w:rPr>
                <w:bCs/>
                <w:lang w:eastAsia="lt-LT"/>
              </w:rPr>
              <w:t> </w:t>
            </w:r>
            <w:r w:rsidR="002F5DA5">
              <w:rPr>
                <w:bCs/>
                <w:lang w:eastAsia="lt-LT"/>
              </w:rPr>
              <w:t>Kudirkos ligoninės</w:t>
            </w:r>
            <w:r w:rsidR="006D3C03">
              <w:rPr>
                <w:bCs/>
                <w:lang w:eastAsia="lt-LT"/>
              </w:rPr>
              <w:t xml:space="preserve"> direktoriaus </w:t>
            </w:r>
            <w:r w:rsidR="00290AF1">
              <w:rPr>
                <w:bCs/>
                <w:lang w:eastAsia="lt-LT"/>
              </w:rPr>
              <w:t xml:space="preserve">2012 m. rugsėjo </w:t>
            </w:r>
            <w:r w:rsidR="00A83132">
              <w:rPr>
                <w:bCs/>
                <w:lang w:eastAsia="lt-LT"/>
              </w:rPr>
              <w:t xml:space="preserve">11 d. įsakymo Nr. V-419 „Dėl Alytaus regiono asmens sveikatos priežiūros įstaigų informacinės sistemos nuostatų ir Alytaus regiono asmens sveikatos priežiūros įstaigų </w:t>
            </w:r>
            <w:r w:rsidR="007F1173">
              <w:rPr>
                <w:bCs/>
                <w:lang w:eastAsia="lt-LT"/>
              </w:rPr>
              <w:t>informacinės sistemos duomenų saugos nuostatų patvirtinimo</w:t>
            </w:r>
            <w:r w:rsidR="0043254D">
              <w:rPr>
                <w:bCs/>
                <w:lang w:eastAsia="lt-LT"/>
              </w:rPr>
              <w:t>“ pakeitimo</w:t>
            </w:r>
            <w:r w:rsidR="00FF159D">
              <w:rPr>
                <w:bCs/>
                <w:lang w:eastAsia="lt-LT"/>
              </w:rPr>
              <w:t>“ ir 2021 m. lapkričio 9 d. viešosios įstaigos Alytaus apskrities S.</w:t>
            </w:r>
            <w:r w:rsidR="00790AA7">
              <w:rPr>
                <w:bCs/>
                <w:lang w:eastAsia="lt-LT"/>
              </w:rPr>
              <w:t xml:space="preserve"> </w:t>
            </w:r>
            <w:r w:rsidR="00FF159D">
              <w:rPr>
                <w:bCs/>
                <w:lang w:eastAsia="lt-LT"/>
              </w:rPr>
              <w:t xml:space="preserve">Kudirkos ligoninės </w:t>
            </w:r>
            <w:r w:rsidR="00753F6A">
              <w:rPr>
                <w:bCs/>
                <w:lang w:eastAsia="lt-LT"/>
              </w:rPr>
              <w:t>d</w:t>
            </w:r>
            <w:r w:rsidR="00FF159D">
              <w:rPr>
                <w:bCs/>
                <w:lang w:eastAsia="lt-LT"/>
              </w:rPr>
              <w:t>irektoriaus įsakymas Nr. V-696 „Dėl VšĮ Alytau</w:t>
            </w:r>
            <w:r w:rsidR="006A3117">
              <w:rPr>
                <w:bCs/>
                <w:lang w:eastAsia="lt-LT"/>
              </w:rPr>
              <w:t xml:space="preserve">s </w:t>
            </w:r>
            <w:r w:rsidR="007116E8">
              <w:rPr>
                <w:bCs/>
                <w:lang w:eastAsia="lt-LT"/>
              </w:rPr>
              <w:t xml:space="preserve">apskrities </w:t>
            </w:r>
            <w:r w:rsidR="000259AF">
              <w:rPr>
                <w:bCs/>
                <w:lang w:eastAsia="lt-LT"/>
              </w:rPr>
              <w:t>S.</w:t>
            </w:r>
            <w:r w:rsidR="00237C25">
              <w:rPr>
                <w:bCs/>
                <w:lang w:eastAsia="lt-LT"/>
              </w:rPr>
              <w:t> </w:t>
            </w:r>
            <w:r w:rsidR="000259AF">
              <w:rPr>
                <w:bCs/>
                <w:lang w:eastAsia="lt-LT"/>
              </w:rPr>
              <w:t>Kudirkos</w:t>
            </w:r>
            <w:r w:rsidR="00AD6D06">
              <w:rPr>
                <w:bCs/>
                <w:lang w:eastAsia="lt-LT"/>
              </w:rPr>
              <w:t xml:space="preserve"> ligoninės direktoriaus 2015-03-12 įsakymo </w:t>
            </w:r>
            <w:r w:rsidR="002C48B4">
              <w:rPr>
                <w:bCs/>
                <w:lang w:eastAsia="lt-LT"/>
              </w:rPr>
              <w:t>Nr. V-90 „Dėl Alytaus regiono asmens sveikatos priežiūros įstaigų informacin</w:t>
            </w:r>
            <w:r w:rsidR="001E534C">
              <w:rPr>
                <w:bCs/>
                <w:lang w:eastAsia="lt-LT"/>
              </w:rPr>
              <w:t>ės sistemos informacijos tvarkymo taisyklių, Alytaus regio</w:t>
            </w:r>
            <w:r w:rsidR="00D211C3">
              <w:rPr>
                <w:bCs/>
                <w:lang w:eastAsia="lt-LT"/>
              </w:rPr>
              <w:t>n</w:t>
            </w:r>
            <w:r w:rsidR="001E534C">
              <w:rPr>
                <w:bCs/>
                <w:lang w:eastAsia="lt-LT"/>
              </w:rPr>
              <w:t>o asmens sveikatos priežiūros įstaigų inf</w:t>
            </w:r>
            <w:r w:rsidR="00D211C3">
              <w:rPr>
                <w:bCs/>
                <w:lang w:eastAsia="lt-LT"/>
              </w:rPr>
              <w:t xml:space="preserve">ormacinės </w:t>
            </w:r>
            <w:r w:rsidR="00366923">
              <w:rPr>
                <w:bCs/>
                <w:lang w:eastAsia="lt-LT"/>
              </w:rPr>
              <w:t>s</w:t>
            </w:r>
            <w:r w:rsidR="00C11182">
              <w:rPr>
                <w:bCs/>
                <w:lang w:eastAsia="lt-LT"/>
              </w:rPr>
              <w:t xml:space="preserve">istemos veiklos </w:t>
            </w:r>
            <w:r w:rsidR="007D1EC2">
              <w:rPr>
                <w:bCs/>
                <w:lang w:eastAsia="lt-LT"/>
              </w:rPr>
              <w:t>t</w:t>
            </w:r>
            <w:r w:rsidR="00366923">
              <w:rPr>
                <w:bCs/>
                <w:lang w:eastAsia="lt-LT"/>
              </w:rPr>
              <w:t>ę</w:t>
            </w:r>
            <w:r w:rsidR="007D1EC2">
              <w:rPr>
                <w:bCs/>
                <w:lang w:eastAsia="lt-LT"/>
              </w:rPr>
              <w:t xml:space="preserve">stinumo valdymo plano ir Alytaus regiono asmens sveikatos </w:t>
            </w:r>
            <w:r w:rsidR="00EF304B">
              <w:rPr>
                <w:bCs/>
                <w:lang w:eastAsia="lt-LT"/>
              </w:rPr>
              <w:t xml:space="preserve">priežiūros įstaigų informacinės </w:t>
            </w:r>
            <w:r w:rsidR="00652175">
              <w:rPr>
                <w:bCs/>
                <w:lang w:eastAsia="lt-LT"/>
              </w:rPr>
              <w:t xml:space="preserve">sistemos naudotojų </w:t>
            </w:r>
            <w:r w:rsidR="001D6344">
              <w:rPr>
                <w:bCs/>
                <w:lang w:eastAsia="lt-LT"/>
              </w:rPr>
              <w:t>administravimo taisyklių patvirtinimo“ pakeitimo“.</w:t>
            </w:r>
          </w:p>
        </w:tc>
        <w:tc>
          <w:tcPr>
            <w:tcW w:w="1910" w:type="pct"/>
            <w:tcBorders>
              <w:top w:val="single" w:sz="4" w:space="0" w:color="auto"/>
              <w:left w:val="single" w:sz="4" w:space="0" w:color="auto"/>
              <w:bottom w:val="single" w:sz="4" w:space="0" w:color="auto"/>
              <w:right w:val="single" w:sz="4" w:space="0" w:color="auto"/>
            </w:tcBorders>
            <w:vAlign w:val="center"/>
          </w:tcPr>
          <w:p w14:paraId="2CDF57BB" w14:textId="77777777" w:rsidR="00934F2E" w:rsidRPr="00B20F8C" w:rsidRDefault="00934F2E" w:rsidP="001F7304">
            <w:pPr>
              <w:pStyle w:val="Default"/>
              <w:spacing w:line="252" w:lineRule="auto"/>
              <w:ind w:left="360"/>
              <w:jc w:val="both"/>
              <w:rPr>
                <w:highlight w:val="yellow"/>
              </w:rPr>
            </w:pPr>
          </w:p>
        </w:tc>
      </w:tr>
      <w:tr w:rsidR="00934F2E" w:rsidRPr="00B20F8C" w14:paraId="3B9B65C4" w14:textId="77777777" w:rsidTr="00385EDD">
        <w:tc>
          <w:tcPr>
            <w:tcW w:w="216" w:type="pct"/>
            <w:tcBorders>
              <w:top w:val="single" w:sz="4" w:space="0" w:color="auto"/>
              <w:left w:val="single" w:sz="4" w:space="0" w:color="auto"/>
              <w:bottom w:val="single" w:sz="4" w:space="0" w:color="auto"/>
              <w:right w:val="single" w:sz="4" w:space="0" w:color="auto"/>
            </w:tcBorders>
            <w:vAlign w:val="center"/>
            <w:hideMark/>
          </w:tcPr>
          <w:p w14:paraId="0FC285FA" w14:textId="77777777" w:rsidR="00934F2E" w:rsidRPr="009C20CF" w:rsidRDefault="00934F2E" w:rsidP="001F7304">
            <w:pPr>
              <w:jc w:val="center"/>
            </w:pPr>
            <w:r w:rsidRPr="009C20CF">
              <w:t>6.</w:t>
            </w:r>
          </w:p>
        </w:tc>
        <w:tc>
          <w:tcPr>
            <w:tcW w:w="1506" w:type="pct"/>
            <w:tcBorders>
              <w:top w:val="single" w:sz="4" w:space="0" w:color="auto"/>
              <w:left w:val="single" w:sz="4" w:space="0" w:color="auto"/>
              <w:bottom w:val="single" w:sz="4" w:space="0" w:color="auto"/>
              <w:right w:val="single" w:sz="4" w:space="0" w:color="auto"/>
            </w:tcBorders>
            <w:vAlign w:val="center"/>
            <w:hideMark/>
          </w:tcPr>
          <w:p w14:paraId="349A9140" w14:textId="77777777" w:rsidR="00934F2E" w:rsidRPr="009C20CF" w:rsidRDefault="00934F2E" w:rsidP="001F7304">
            <w:pPr>
              <w:jc w:val="both"/>
              <w:rPr>
                <w:bCs/>
              </w:rPr>
            </w:pPr>
            <w:r w:rsidRPr="009C20CF">
              <w:rPr>
                <w:bCs/>
              </w:rPr>
              <w:t>Įstaigoje suteiktų asmens sveikatos priežiūros paslaugų skaičius per ketvirtį ir per metus pagal sveikatos apsaugos ministro nustatytas paslaugų grupes</w:t>
            </w:r>
          </w:p>
        </w:tc>
        <w:tc>
          <w:tcPr>
            <w:tcW w:w="1368" w:type="pct"/>
            <w:tcBorders>
              <w:top w:val="single" w:sz="4" w:space="0" w:color="auto"/>
              <w:left w:val="single" w:sz="4" w:space="0" w:color="auto"/>
              <w:bottom w:val="single" w:sz="4" w:space="0" w:color="auto"/>
              <w:right w:val="single" w:sz="4" w:space="0" w:color="auto"/>
            </w:tcBorders>
            <w:vAlign w:val="center"/>
            <w:hideMark/>
          </w:tcPr>
          <w:p w14:paraId="28C31E64" w14:textId="77777777" w:rsidR="00934F2E" w:rsidRPr="00B20F8C" w:rsidRDefault="00934F2E" w:rsidP="001F7304">
            <w:pPr>
              <w:jc w:val="center"/>
              <w:rPr>
                <w:bCs/>
                <w:highlight w:val="yellow"/>
              </w:rPr>
            </w:pPr>
            <w:r w:rsidRPr="009C20CF">
              <w:rPr>
                <w:bCs/>
              </w:rPr>
              <w:t>Nenustatoma</w:t>
            </w:r>
          </w:p>
        </w:tc>
        <w:tc>
          <w:tcPr>
            <w:tcW w:w="1910" w:type="pct"/>
            <w:tcBorders>
              <w:top w:val="single" w:sz="4" w:space="0" w:color="auto"/>
              <w:left w:val="single" w:sz="4" w:space="0" w:color="auto"/>
              <w:bottom w:val="single" w:sz="4" w:space="0" w:color="auto"/>
              <w:right w:val="single" w:sz="4" w:space="0" w:color="auto"/>
            </w:tcBorders>
            <w:vAlign w:val="center"/>
            <w:hideMark/>
          </w:tcPr>
          <w:p w14:paraId="472A44BA" w14:textId="55815960" w:rsidR="00934F2E" w:rsidRPr="00F229C1" w:rsidRDefault="00F229C1" w:rsidP="00F229C1">
            <w:pPr>
              <w:jc w:val="center"/>
              <w:rPr>
                <w:bCs/>
                <w:szCs w:val="20"/>
              </w:rPr>
            </w:pPr>
            <w:r w:rsidRPr="00F229C1">
              <w:rPr>
                <w:bCs/>
                <w:szCs w:val="20"/>
              </w:rPr>
              <w:t>Nenustatoma</w:t>
            </w:r>
          </w:p>
        </w:tc>
      </w:tr>
      <w:tr w:rsidR="00934F2E" w:rsidRPr="00B20F8C" w14:paraId="5E38B2C1" w14:textId="77777777" w:rsidTr="00385EDD">
        <w:tc>
          <w:tcPr>
            <w:tcW w:w="216" w:type="pct"/>
            <w:tcBorders>
              <w:top w:val="single" w:sz="4" w:space="0" w:color="auto"/>
              <w:left w:val="single" w:sz="4" w:space="0" w:color="auto"/>
              <w:bottom w:val="single" w:sz="4" w:space="0" w:color="auto"/>
              <w:right w:val="single" w:sz="4" w:space="0" w:color="auto"/>
            </w:tcBorders>
            <w:vAlign w:val="center"/>
            <w:hideMark/>
          </w:tcPr>
          <w:p w14:paraId="539BF402" w14:textId="77777777" w:rsidR="00934F2E" w:rsidRPr="00F82F82" w:rsidRDefault="00934F2E" w:rsidP="001F7304">
            <w:pPr>
              <w:jc w:val="center"/>
              <w:rPr>
                <w:lang w:eastAsia="en-US"/>
              </w:rPr>
            </w:pPr>
            <w:r w:rsidRPr="00F82F82">
              <w:t>7.</w:t>
            </w:r>
          </w:p>
        </w:tc>
        <w:tc>
          <w:tcPr>
            <w:tcW w:w="1506" w:type="pct"/>
            <w:tcBorders>
              <w:top w:val="single" w:sz="4" w:space="0" w:color="auto"/>
              <w:left w:val="single" w:sz="4" w:space="0" w:color="auto"/>
              <w:bottom w:val="single" w:sz="4" w:space="0" w:color="auto"/>
              <w:right w:val="single" w:sz="4" w:space="0" w:color="auto"/>
            </w:tcBorders>
            <w:hideMark/>
          </w:tcPr>
          <w:p w14:paraId="20ECC878" w14:textId="77777777" w:rsidR="00934F2E" w:rsidRPr="00F82F82" w:rsidRDefault="00934F2E" w:rsidP="001F7304">
            <w:pPr>
              <w:jc w:val="both"/>
              <w:rPr>
                <w:bCs/>
              </w:rPr>
            </w:pPr>
            <w:r w:rsidRPr="00F82F82">
              <w:rPr>
                <w:bCs/>
              </w:rPr>
              <w:t>Vidutinis laikas nuo paciento kreipimosi į įstaigą dėl asmens sveikatos priežiūros paslaugos suteikimo momento iki paskirto paslaugos gavimo laiko pagal sveikatos apsaugos ministro nustatytas paslaugų grupes</w:t>
            </w:r>
          </w:p>
        </w:tc>
        <w:tc>
          <w:tcPr>
            <w:tcW w:w="1368" w:type="pct"/>
            <w:tcBorders>
              <w:top w:val="single" w:sz="4" w:space="0" w:color="auto"/>
              <w:left w:val="single" w:sz="4" w:space="0" w:color="auto"/>
              <w:bottom w:val="single" w:sz="4" w:space="0" w:color="auto"/>
              <w:right w:val="single" w:sz="4" w:space="0" w:color="auto"/>
            </w:tcBorders>
            <w:vAlign w:val="center"/>
            <w:hideMark/>
          </w:tcPr>
          <w:p w14:paraId="36D371F8" w14:textId="77777777" w:rsidR="00934F2E" w:rsidRPr="00F82F82" w:rsidRDefault="00934F2E" w:rsidP="001F7304">
            <w:pPr>
              <w:jc w:val="center"/>
              <w:rPr>
                <w:bCs/>
              </w:rPr>
            </w:pPr>
            <w:r w:rsidRPr="00F82F82">
              <w:rPr>
                <w:bCs/>
              </w:rPr>
              <w:t>Nenustatoma</w:t>
            </w:r>
          </w:p>
        </w:tc>
        <w:tc>
          <w:tcPr>
            <w:tcW w:w="1910" w:type="pct"/>
            <w:tcBorders>
              <w:top w:val="single" w:sz="4" w:space="0" w:color="auto"/>
              <w:left w:val="single" w:sz="4" w:space="0" w:color="auto"/>
              <w:bottom w:val="single" w:sz="4" w:space="0" w:color="auto"/>
              <w:right w:val="single" w:sz="4" w:space="0" w:color="auto"/>
            </w:tcBorders>
            <w:vAlign w:val="center"/>
            <w:hideMark/>
          </w:tcPr>
          <w:p w14:paraId="68C810C8" w14:textId="527FAC69" w:rsidR="00934F2E" w:rsidRPr="00F229C1" w:rsidRDefault="00F229C1" w:rsidP="001F7304">
            <w:pPr>
              <w:jc w:val="center"/>
              <w:rPr>
                <w:bCs/>
              </w:rPr>
            </w:pPr>
            <w:r w:rsidRPr="00F229C1">
              <w:rPr>
                <w:bCs/>
                <w:szCs w:val="20"/>
              </w:rPr>
              <w:t>Nenustatoma</w:t>
            </w:r>
          </w:p>
        </w:tc>
      </w:tr>
      <w:tr w:rsidR="00934F2E" w:rsidRPr="00B20F8C" w14:paraId="57F3F83D" w14:textId="77777777" w:rsidTr="00385EDD">
        <w:tc>
          <w:tcPr>
            <w:tcW w:w="216" w:type="pct"/>
            <w:tcBorders>
              <w:top w:val="single" w:sz="4" w:space="0" w:color="auto"/>
              <w:left w:val="single" w:sz="4" w:space="0" w:color="auto"/>
              <w:bottom w:val="single" w:sz="4" w:space="0" w:color="auto"/>
              <w:right w:val="single" w:sz="4" w:space="0" w:color="auto"/>
            </w:tcBorders>
            <w:vAlign w:val="center"/>
            <w:hideMark/>
          </w:tcPr>
          <w:p w14:paraId="402E77BF" w14:textId="77777777" w:rsidR="00934F2E" w:rsidRPr="00F82F82" w:rsidRDefault="00934F2E" w:rsidP="001F7304">
            <w:pPr>
              <w:jc w:val="center"/>
            </w:pPr>
            <w:r w:rsidRPr="00F82F82">
              <w:lastRenderedPageBreak/>
              <w:t>8.</w:t>
            </w:r>
          </w:p>
        </w:tc>
        <w:tc>
          <w:tcPr>
            <w:tcW w:w="1506" w:type="pct"/>
            <w:tcBorders>
              <w:top w:val="single" w:sz="4" w:space="0" w:color="auto"/>
              <w:left w:val="single" w:sz="4" w:space="0" w:color="auto"/>
              <w:bottom w:val="single" w:sz="4" w:space="0" w:color="auto"/>
              <w:right w:val="single" w:sz="4" w:space="0" w:color="auto"/>
            </w:tcBorders>
            <w:hideMark/>
          </w:tcPr>
          <w:p w14:paraId="51B4A7DD" w14:textId="77777777" w:rsidR="00934F2E" w:rsidRPr="00F82F82" w:rsidRDefault="00934F2E" w:rsidP="001F7304">
            <w:pPr>
              <w:jc w:val="both"/>
              <w:rPr>
                <w:bCs/>
              </w:rPr>
            </w:pPr>
            <w:r w:rsidRPr="00F82F82">
              <w:rPr>
                <w:bCs/>
              </w:rPr>
              <w:t>Įstaigoje dirbančių darbuotojų ir etatų skaičius ir įstaigoje suteiktų asmens sveikatos priežiūros paslaugų skaičius per metus</w:t>
            </w:r>
          </w:p>
        </w:tc>
        <w:tc>
          <w:tcPr>
            <w:tcW w:w="1368" w:type="pct"/>
            <w:tcBorders>
              <w:top w:val="single" w:sz="4" w:space="0" w:color="auto"/>
              <w:left w:val="single" w:sz="4" w:space="0" w:color="auto"/>
              <w:bottom w:val="single" w:sz="4" w:space="0" w:color="auto"/>
              <w:right w:val="single" w:sz="4" w:space="0" w:color="auto"/>
            </w:tcBorders>
            <w:vAlign w:val="center"/>
            <w:hideMark/>
          </w:tcPr>
          <w:p w14:paraId="1A989C15" w14:textId="77777777" w:rsidR="00934F2E" w:rsidRPr="00F82F82" w:rsidRDefault="00934F2E" w:rsidP="001F7304">
            <w:pPr>
              <w:jc w:val="center"/>
            </w:pPr>
            <w:r w:rsidRPr="00F82F82">
              <w:t>Nenustatoma</w:t>
            </w:r>
          </w:p>
        </w:tc>
        <w:tc>
          <w:tcPr>
            <w:tcW w:w="1910" w:type="pct"/>
            <w:tcBorders>
              <w:top w:val="single" w:sz="4" w:space="0" w:color="auto"/>
              <w:left w:val="single" w:sz="4" w:space="0" w:color="auto"/>
              <w:bottom w:val="single" w:sz="4" w:space="0" w:color="auto"/>
              <w:right w:val="single" w:sz="4" w:space="0" w:color="auto"/>
            </w:tcBorders>
            <w:vAlign w:val="center"/>
            <w:hideMark/>
          </w:tcPr>
          <w:p w14:paraId="3F205F47" w14:textId="19CBA088" w:rsidR="00934F2E" w:rsidRPr="00F229C1" w:rsidRDefault="00F229C1" w:rsidP="00F82F82">
            <w:pPr>
              <w:jc w:val="center"/>
            </w:pPr>
            <w:r w:rsidRPr="00F229C1">
              <w:rPr>
                <w:bCs/>
                <w:szCs w:val="20"/>
              </w:rPr>
              <w:t>Nenustatoma</w:t>
            </w:r>
          </w:p>
        </w:tc>
      </w:tr>
      <w:tr w:rsidR="00934F2E" w:rsidRPr="00B20F8C" w14:paraId="5E163D75" w14:textId="77777777" w:rsidTr="00385EDD">
        <w:trPr>
          <w:trHeight w:val="278"/>
        </w:trPr>
        <w:tc>
          <w:tcPr>
            <w:tcW w:w="216" w:type="pct"/>
            <w:vMerge w:val="restart"/>
            <w:tcBorders>
              <w:top w:val="single" w:sz="4" w:space="0" w:color="auto"/>
              <w:left w:val="single" w:sz="4" w:space="0" w:color="auto"/>
              <w:bottom w:val="single" w:sz="4" w:space="0" w:color="auto"/>
              <w:right w:val="single" w:sz="4" w:space="0" w:color="auto"/>
            </w:tcBorders>
            <w:vAlign w:val="center"/>
            <w:hideMark/>
          </w:tcPr>
          <w:p w14:paraId="45872702" w14:textId="77777777" w:rsidR="00934F2E" w:rsidRPr="00D435D0" w:rsidRDefault="00934F2E" w:rsidP="001F7304">
            <w:pPr>
              <w:jc w:val="center"/>
            </w:pPr>
            <w:r w:rsidRPr="00D435D0">
              <w:t>9.</w:t>
            </w:r>
          </w:p>
        </w:tc>
        <w:tc>
          <w:tcPr>
            <w:tcW w:w="1506" w:type="pct"/>
            <w:vMerge w:val="restart"/>
            <w:tcBorders>
              <w:top w:val="single" w:sz="4" w:space="0" w:color="auto"/>
              <w:left w:val="single" w:sz="4" w:space="0" w:color="auto"/>
              <w:bottom w:val="single" w:sz="4" w:space="0" w:color="auto"/>
              <w:right w:val="single" w:sz="4" w:space="0" w:color="auto"/>
            </w:tcBorders>
            <w:vAlign w:val="center"/>
            <w:hideMark/>
          </w:tcPr>
          <w:p w14:paraId="6CF05250" w14:textId="77777777" w:rsidR="00934F2E" w:rsidRPr="00D435D0" w:rsidRDefault="00934F2E" w:rsidP="001F7304">
            <w:pPr>
              <w:jc w:val="both"/>
              <w:rPr>
                <w:bCs/>
              </w:rPr>
            </w:pPr>
            <w:r w:rsidRPr="00D435D0">
              <w:rPr>
                <w:bCs/>
              </w:rPr>
              <w:t>Vidutinė hospitalizuotų pacientų gydymo trukmė įstaigoje pagal sveikatos apsaugos ministro nustatytas paslaugų grupes (taikoma tik antrinio ir tretinio lygio asmens sveikatos priežiūros paslaugas teikiančioms įstaigoms)</w:t>
            </w:r>
          </w:p>
        </w:tc>
        <w:tc>
          <w:tcPr>
            <w:tcW w:w="1368" w:type="pct"/>
            <w:tcBorders>
              <w:top w:val="single" w:sz="4" w:space="0" w:color="auto"/>
              <w:left w:val="single" w:sz="4" w:space="0" w:color="auto"/>
              <w:bottom w:val="single" w:sz="4" w:space="0" w:color="auto"/>
              <w:right w:val="single" w:sz="4" w:space="0" w:color="auto"/>
            </w:tcBorders>
            <w:vAlign w:val="center"/>
            <w:hideMark/>
          </w:tcPr>
          <w:p w14:paraId="5A92B80E" w14:textId="77777777" w:rsidR="00934F2E" w:rsidRPr="00D435D0" w:rsidRDefault="00934F2E" w:rsidP="001F7304">
            <w:r w:rsidRPr="00D435D0">
              <w:t>Vidutinė chirurgijos paslaugų grupės gydymo trukmė – ne ilgiau kaip 6,8 dienos</w:t>
            </w:r>
          </w:p>
        </w:tc>
        <w:tc>
          <w:tcPr>
            <w:tcW w:w="1910" w:type="pct"/>
            <w:tcBorders>
              <w:top w:val="single" w:sz="4" w:space="0" w:color="auto"/>
              <w:left w:val="single" w:sz="4" w:space="0" w:color="auto"/>
              <w:bottom w:val="single" w:sz="4" w:space="0" w:color="auto"/>
              <w:right w:val="single" w:sz="4" w:space="0" w:color="auto"/>
            </w:tcBorders>
            <w:vAlign w:val="center"/>
            <w:hideMark/>
          </w:tcPr>
          <w:p w14:paraId="49ABC7A1" w14:textId="5A22AC7E" w:rsidR="00934F2E" w:rsidRPr="00D435D0" w:rsidRDefault="00934F2E" w:rsidP="001F7304">
            <w:pPr>
              <w:jc w:val="center"/>
            </w:pPr>
            <w:r w:rsidRPr="00D435D0">
              <w:t>4,</w:t>
            </w:r>
            <w:r w:rsidR="00D435D0" w:rsidRPr="00D435D0">
              <w:t>2</w:t>
            </w:r>
            <w:r w:rsidRPr="00D435D0">
              <w:rPr>
                <w:b/>
                <w:bCs/>
              </w:rPr>
              <w:t xml:space="preserve"> – 10 balų</w:t>
            </w:r>
          </w:p>
        </w:tc>
      </w:tr>
      <w:tr w:rsidR="00934F2E" w:rsidRPr="00B20F8C" w14:paraId="140A6299" w14:textId="77777777" w:rsidTr="00385EDD">
        <w:trPr>
          <w:trHeight w:val="735"/>
        </w:trPr>
        <w:tc>
          <w:tcPr>
            <w:tcW w:w="216" w:type="pct"/>
            <w:vMerge/>
            <w:tcBorders>
              <w:top w:val="single" w:sz="4" w:space="0" w:color="auto"/>
              <w:left w:val="single" w:sz="4" w:space="0" w:color="auto"/>
              <w:bottom w:val="single" w:sz="4" w:space="0" w:color="auto"/>
              <w:right w:val="single" w:sz="4" w:space="0" w:color="auto"/>
            </w:tcBorders>
            <w:vAlign w:val="center"/>
            <w:hideMark/>
          </w:tcPr>
          <w:p w14:paraId="1640A6C5" w14:textId="77777777" w:rsidR="00934F2E" w:rsidRPr="00B20F8C" w:rsidRDefault="00934F2E" w:rsidP="001F7304">
            <w:pPr>
              <w:rPr>
                <w:highlight w:val="yellow"/>
                <w:lang w:eastAsia="en-US"/>
              </w:rPr>
            </w:pPr>
          </w:p>
        </w:tc>
        <w:tc>
          <w:tcPr>
            <w:tcW w:w="1506" w:type="pct"/>
            <w:vMerge/>
            <w:tcBorders>
              <w:top w:val="single" w:sz="4" w:space="0" w:color="auto"/>
              <w:left w:val="single" w:sz="4" w:space="0" w:color="auto"/>
              <w:bottom w:val="single" w:sz="4" w:space="0" w:color="auto"/>
              <w:right w:val="single" w:sz="4" w:space="0" w:color="auto"/>
            </w:tcBorders>
            <w:vAlign w:val="center"/>
            <w:hideMark/>
          </w:tcPr>
          <w:p w14:paraId="494A914F" w14:textId="77777777" w:rsidR="00934F2E" w:rsidRPr="00B20F8C" w:rsidRDefault="00934F2E" w:rsidP="001F7304">
            <w:pPr>
              <w:rPr>
                <w:b/>
                <w:highlight w:val="yellow"/>
                <w:lang w:eastAsia="en-US"/>
              </w:rPr>
            </w:pPr>
          </w:p>
        </w:tc>
        <w:tc>
          <w:tcPr>
            <w:tcW w:w="1368" w:type="pct"/>
            <w:tcBorders>
              <w:top w:val="single" w:sz="4" w:space="0" w:color="auto"/>
              <w:left w:val="single" w:sz="4" w:space="0" w:color="auto"/>
              <w:bottom w:val="single" w:sz="4" w:space="0" w:color="auto"/>
              <w:right w:val="single" w:sz="4" w:space="0" w:color="auto"/>
            </w:tcBorders>
            <w:vAlign w:val="center"/>
            <w:hideMark/>
          </w:tcPr>
          <w:p w14:paraId="4CB550F3" w14:textId="77777777" w:rsidR="00934F2E" w:rsidRPr="00595E99" w:rsidRDefault="00934F2E" w:rsidP="001F7304">
            <w:r w:rsidRPr="00595E99">
              <w:t>Vidutinė terapijos paslaugų grupės gydymo trukmė – ne ilgiau kaip 6,4 dienos</w:t>
            </w:r>
          </w:p>
        </w:tc>
        <w:tc>
          <w:tcPr>
            <w:tcW w:w="1910" w:type="pct"/>
            <w:tcBorders>
              <w:top w:val="single" w:sz="4" w:space="0" w:color="auto"/>
              <w:left w:val="single" w:sz="4" w:space="0" w:color="auto"/>
              <w:bottom w:val="single" w:sz="4" w:space="0" w:color="auto"/>
              <w:right w:val="single" w:sz="4" w:space="0" w:color="auto"/>
            </w:tcBorders>
            <w:vAlign w:val="center"/>
            <w:hideMark/>
          </w:tcPr>
          <w:p w14:paraId="62EF5E88" w14:textId="364BD16E" w:rsidR="00934F2E" w:rsidRPr="00595E99" w:rsidRDefault="00934F2E" w:rsidP="001F7304">
            <w:pPr>
              <w:jc w:val="center"/>
            </w:pPr>
            <w:r w:rsidRPr="00595E99">
              <w:t>8,</w:t>
            </w:r>
            <w:r w:rsidR="00595E99" w:rsidRPr="00595E99">
              <w:t>7</w:t>
            </w:r>
            <w:r w:rsidRPr="00595E99">
              <w:t xml:space="preserve"> – 0 balų</w:t>
            </w:r>
          </w:p>
        </w:tc>
      </w:tr>
      <w:tr w:rsidR="00934F2E" w:rsidRPr="00B20F8C" w14:paraId="27AB5E8A" w14:textId="77777777" w:rsidTr="00385EDD">
        <w:trPr>
          <w:trHeight w:val="735"/>
        </w:trPr>
        <w:tc>
          <w:tcPr>
            <w:tcW w:w="216" w:type="pct"/>
            <w:vMerge/>
            <w:tcBorders>
              <w:top w:val="single" w:sz="4" w:space="0" w:color="auto"/>
              <w:left w:val="single" w:sz="4" w:space="0" w:color="auto"/>
              <w:bottom w:val="single" w:sz="4" w:space="0" w:color="auto"/>
              <w:right w:val="single" w:sz="4" w:space="0" w:color="auto"/>
            </w:tcBorders>
            <w:vAlign w:val="center"/>
            <w:hideMark/>
          </w:tcPr>
          <w:p w14:paraId="6D753D3A" w14:textId="77777777" w:rsidR="00934F2E" w:rsidRPr="00B20F8C" w:rsidRDefault="00934F2E" w:rsidP="001F7304">
            <w:pPr>
              <w:rPr>
                <w:highlight w:val="yellow"/>
                <w:lang w:eastAsia="en-US"/>
              </w:rPr>
            </w:pPr>
          </w:p>
        </w:tc>
        <w:tc>
          <w:tcPr>
            <w:tcW w:w="1506" w:type="pct"/>
            <w:vMerge/>
            <w:tcBorders>
              <w:top w:val="single" w:sz="4" w:space="0" w:color="auto"/>
              <w:left w:val="single" w:sz="4" w:space="0" w:color="auto"/>
              <w:bottom w:val="single" w:sz="4" w:space="0" w:color="auto"/>
              <w:right w:val="single" w:sz="4" w:space="0" w:color="auto"/>
            </w:tcBorders>
            <w:vAlign w:val="center"/>
            <w:hideMark/>
          </w:tcPr>
          <w:p w14:paraId="45BADC5F" w14:textId="77777777" w:rsidR="00934F2E" w:rsidRPr="00B20F8C" w:rsidRDefault="00934F2E" w:rsidP="001F7304">
            <w:pPr>
              <w:rPr>
                <w:b/>
                <w:highlight w:val="yellow"/>
                <w:lang w:eastAsia="en-US"/>
              </w:rPr>
            </w:pPr>
          </w:p>
        </w:tc>
        <w:tc>
          <w:tcPr>
            <w:tcW w:w="1368" w:type="pct"/>
            <w:tcBorders>
              <w:top w:val="single" w:sz="4" w:space="0" w:color="auto"/>
              <w:left w:val="single" w:sz="4" w:space="0" w:color="auto"/>
              <w:bottom w:val="single" w:sz="4" w:space="0" w:color="auto"/>
              <w:right w:val="single" w:sz="4" w:space="0" w:color="auto"/>
            </w:tcBorders>
            <w:vAlign w:val="center"/>
            <w:hideMark/>
          </w:tcPr>
          <w:p w14:paraId="2CA4FD8F" w14:textId="77777777" w:rsidR="00934F2E" w:rsidRPr="002971FB" w:rsidRDefault="00934F2E" w:rsidP="001F7304">
            <w:r w:rsidRPr="002971FB">
              <w:t>Vidutinė psichiatrijos paslaugų grupės gydymo trukmė – ne ilgiau kaip 18,8 dienos</w:t>
            </w:r>
          </w:p>
        </w:tc>
        <w:tc>
          <w:tcPr>
            <w:tcW w:w="1910" w:type="pct"/>
            <w:tcBorders>
              <w:top w:val="single" w:sz="4" w:space="0" w:color="auto"/>
              <w:left w:val="single" w:sz="4" w:space="0" w:color="auto"/>
              <w:bottom w:val="single" w:sz="4" w:space="0" w:color="auto"/>
              <w:right w:val="single" w:sz="4" w:space="0" w:color="auto"/>
            </w:tcBorders>
            <w:vAlign w:val="center"/>
            <w:hideMark/>
          </w:tcPr>
          <w:p w14:paraId="50A010A5" w14:textId="77777777" w:rsidR="00934F2E" w:rsidRPr="002971FB" w:rsidRDefault="00934F2E" w:rsidP="001F7304">
            <w:pPr>
              <w:jc w:val="center"/>
            </w:pPr>
            <w:r w:rsidRPr="002971FB">
              <w:t>-</w:t>
            </w:r>
          </w:p>
        </w:tc>
      </w:tr>
      <w:tr w:rsidR="00934F2E" w:rsidRPr="00B20F8C" w14:paraId="78FDB9E5" w14:textId="77777777" w:rsidTr="00385EDD">
        <w:trPr>
          <w:trHeight w:val="735"/>
        </w:trPr>
        <w:tc>
          <w:tcPr>
            <w:tcW w:w="216" w:type="pct"/>
            <w:tcBorders>
              <w:top w:val="single" w:sz="4" w:space="0" w:color="auto"/>
              <w:left w:val="single" w:sz="4" w:space="0" w:color="auto"/>
              <w:bottom w:val="single" w:sz="4" w:space="0" w:color="auto"/>
              <w:right w:val="single" w:sz="4" w:space="0" w:color="auto"/>
            </w:tcBorders>
            <w:vAlign w:val="center"/>
          </w:tcPr>
          <w:p w14:paraId="74568A61" w14:textId="77777777" w:rsidR="00934F2E" w:rsidRPr="00B20F8C" w:rsidRDefault="00934F2E" w:rsidP="001F7304">
            <w:pPr>
              <w:rPr>
                <w:highlight w:val="yellow"/>
              </w:rPr>
            </w:pPr>
          </w:p>
        </w:tc>
        <w:tc>
          <w:tcPr>
            <w:tcW w:w="4784" w:type="pct"/>
            <w:gridSpan w:val="3"/>
            <w:tcBorders>
              <w:top w:val="single" w:sz="4" w:space="0" w:color="auto"/>
              <w:left w:val="single" w:sz="4" w:space="0" w:color="auto"/>
              <w:bottom w:val="single" w:sz="4" w:space="0" w:color="auto"/>
              <w:right w:val="single" w:sz="4" w:space="0" w:color="auto"/>
            </w:tcBorders>
            <w:vAlign w:val="center"/>
          </w:tcPr>
          <w:p w14:paraId="3707988F" w14:textId="77777777" w:rsidR="00934F2E" w:rsidRPr="002971FB" w:rsidRDefault="00934F2E" w:rsidP="001F7304">
            <w:pPr>
              <w:jc w:val="both"/>
              <w:rPr>
                <w:b/>
              </w:rPr>
            </w:pPr>
            <w:r w:rsidRPr="002971FB">
              <w:rPr>
                <w:b/>
              </w:rPr>
              <w:t xml:space="preserve">Rodiklio reikšmė apskaičiuojama pagal tris paslaugų grupes </w:t>
            </w:r>
            <w:r w:rsidRPr="002971FB">
              <w:t>–</w:t>
            </w:r>
            <w:r w:rsidRPr="002971FB">
              <w:rPr>
                <w:b/>
              </w:rPr>
              <w:t xml:space="preserve"> chirurgijos, terapijos ir psichiatrijos:</w:t>
            </w:r>
          </w:p>
          <w:p w14:paraId="39748063" w14:textId="77777777" w:rsidR="00934F2E" w:rsidRPr="002971FB" w:rsidRDefault="00934F2E" w:rsidP="001F7304">
            <w:pPr>
              <w:rPr>
                <w:szCs w:val="20"/>
              </w:rPr>
            </w:pPr>
          </w:p>
          <w:p w14:paraId="456E3905" w14:textId="77777777" w:rsidR="00934F2E" w:rsidRPr="002971FB" w:rsidRDefault="00934F2E" w:rsidP="001F7304">
            <w:pPr>
              <w:jc w:val="both"/>
            </w:pPr>
            <w:r w:rsidRPr="002971FB">
              <w:t xml:space="preserve">1. Rodikliui apskaičiuoti naudojami duomenys, kurie nurodyti formoje Nr. 066/a-LK „Stacionare gydomo asmens statistinė kortelė“, patvirtintoje </w:t>
            </w:r>
          </w:p>
          <w:p w14:paraId="308E539A" w14:textId="54756CAC" w:rsidR="00934F2E" w:rsidRPr="002971FB" w:rsidRDefault="00934F2E" w:rsidP="001F7304">
            <w:pPr>
              <w:jc w:val="both"/>
            </w:pPr>
            <w:r w:rsidRPr="002971FB">
              <w:t>Lietuvos Respublikos sveikatos apsaugos ministro 1998 m. lapkričio 26 d. įsakymu Nr. 687 „Dėl medicininės apskaitos dokumentų formų tvirtinimo“ (toliau – Kortelė). Duomenų šaltinis – Privalomojo sveikatos draudimo informacinė sistema SVEIDRA (toliau</w:t>
            </w:r>
            <w:r w:rsidR="00237C25">
              <w:t xml:space="preserve">  –</w:t>
            </w:r>
            <w:r w:rsidRPr="002971FB">
              <w:t xml:space="preserve"> IS SVEIDRA).</w:t>
            </w:r>
          </w:p>
          <w:p w14:paraId="5F2A0C2A" w14:textId="77777777" w:rsidR="00934F2E" w:rsidRPr="002971FB" w:rsidRDefault="00934F2E" w:rsidP="001F7304">
            <w:pPr>
              <w:jc w:val="both"/>
            </w:pPr>
            <w:r w:rsidRPr="002971FB">
              <w:t>2. Skaičiuojami Kortelėse nurodyti aktyviojo gydymo etapai (toliau – etapai), kurių pabaigos datos įeina į ataskaitinį laikotarpį (2019 m.), išskyrus etapus, kuriuose nurodytas dienos chirurgijos požymis (jei Kortelė buvo patikslinta, skaičiuojami patikslintos Kortelės duomenys).</w:t>
            </w:r>
          </w:p>
          <w:p w14:paraId="6B21A390" w14:textId="77777777" w:rsidR="00934F2E" w:rsidRPr="002971FB" w:rsidRDefault="00934F2E" w:rsidP="001F7304">
            <w:pPr>
              <w:jc w:val="both"/>
            </w:pPr>
            <w:r w:rsidRPr="002971FB">
              <w:t>3. Rodiklio reikšmė skaičiuojama etapų lovadienių skaičių dalijant iš kiekvienos paslaugų grupės etapų skaičiaus:</w:t>
            </w:r>
          </w:p>
          <w:p w14:paraId="048CB245" w14:textId="77777777" w:rsidR="00934F2E" w:rsidRPr="002971FB" w:rsidRDefault="00934F2E" w:rsidP="001F7304">
            <w:pPr>
              <w:jc w:val="both"/>
            </w:pPr>
            <w:r w:rsidRPr="002971FB">
              <w:t>3.1. chirurgijos paslaugų grupės vidutinei hospitalizuotų pacientų gydymo trukmei apskaičiuoti naudojami etapai, priskiriami chirurginio pobūdžio giminingų diagnozių grupėms (toliau – DRG), išskyrus psichiatrijos paslaugų grupės etapus;</w:t>
            </w:r>
          </w:p>
          <w:p w14:paraId="249FA45C" w14:textId="77777777" w:rsidR="00934F2E" w:rsidRPr="002971FB" w:rsidRDefault="00934F2E" w:rsidP="001F7304">
            <w:pPr>
              <w:jc w:val="both"/>
            </w:pPr>
            <w:r w:rsidRPr="002971FB">
              <w:t>3.2. terapijos paslaugų grupės vidutinei hospitalizuotų pacientų gydymo trukmei apskaičiuoti naudojami etapai, priskiriami terapinio ar kito pobūdžio DRG, išskyrus chirurgijos ir psichiatrijos paslaugų grupės etapus;</w:t>
            </w:r>
          </w:p>
          <w:p w14:paraId="1B71261B" w14:textId="77777777" w:rsidR="00934F2E" w:rsidRPr="002971FB" w:rsidRDefault="00934F2E" w:rsidP="001F7304">
            <w:pPr>
              <w:jc w:val="both"/>
            </w:pPr>
            <w:r w:rsidRPr="002971FB">
              <w:t>3.3. psichiatrijos paslaugų grupės vidutinei hospitalizuotų pacientų gydymo trukmei apskaičiuoti naudojami etapai, jei nurodyta, kad pacientas buvo gydytas skyriuje, kuris IS SVEIDRA priskirtas „Psichiatrijos“ standartiniam padaliniui.</w:t>
            </w:r>
          </w:p>
          <w:p w14:paraId="5ECF94A0" w14:textId="77777777" w:rsidR="00934F2E" w:rsidRPr="002971FB" w:rsidRDefault="00934F2E" w:rsidP="001F7304"/>
          <w:p w14:paraId="0F84E97A" w14:textId="37D6E1B8" w:rsidR="00934F2E" w:rsidRPr="00237C25" w:rsidRDefault="00934F2E" w:rsidP="00237C25">
            <w:pPr>
              <w:jc w:val="both"/>
            </w:pPr>
            <w:r w:rsidRPr="002971FB">
              <w:rPr>
                <w:b/>
              </w:rPr>
              <w:t xml:space="preserve">Duomenų teikėjas: </w:t>
            </w:r>
            <w:r w:rsidRPr="002971FB">
              <w:t>VLK.</w:t>
            </w:r>
          </w:p>
        </w:tc>
      </w:tr>
      <w:tr w:rsidR="00934F2E" w:rsidRPr="00B20F8C" w14:paraId="7A057FB9" w14:textId="77777777" w:rsidTr="00385EDD">
        <w:tc>
          <w:tcPr>
            <w:tcW w:w="216" w:type="pct"/>
            <w:tcBorders>
              <w:top w:val="single" w:sz="4" w:space="0" w:color="auto"/>
              <w:left w:val="single" w:sz="4" w:space="0" w:color="auto"/>
              <w:bottom w:val="single" w:sz="4" w:space="0" w:color="auto"/>
              <w:right w:val="single" w:sz="4" w:space="0" w:color="auto"/>
            </w:tcBorders>
            <w:vAlign w:val="center"/>
            <w:hideMark/>
          </w:tcPr>
          <w:p w14:paraId="38D17875" w14:textId="77777777" w:rsidR="00934F2E" w:rsidRPr="009F2873" w:rsidRDefault="00934F2E" w:rsidP="001F7304">
            <w:pPr>
              <w:jc w:val="center"/>
            </w:pPr>
            <w:r w:rsidRPr="009F2873">
              <w:lastRenderedPageBreak/>
              <w:t>10.</w:t>
            </w:r>
          </w:p>
        </w:tc>
        <w:tc>
          <w:tcPr>
            <w:tcW w:w="1506" w:type="pct"/>
            <w:tcBorders>
              <w:top w:val="single" w:sz="4" w:space="0" w:color="auto"/>
              <w:left w:val="single" w:sz="4" w:space="0" w:color="auto"/>
              <w:bottom w:val="single" w:sz="4" w:space="0" w:color="auto"/>
              <w:right w:val="single" w:sz="4" w:space="0" w:color="auto"/>
            </w:tcBorders>
            <w:vAlign w:val="center"/>
            <w:hideMark/>
          </w:tcPr>
          <w:p w14:paraId="5706FA7E" w14:textId="77777777" w:rsidR="00934F2E" w:rsidRPr="009F2873" w:rsidRDefault="00934F2E" w:rsidP="001F7304">
            <w:pPr>
              <w:rPr>
                <w:bCs/>
              </w:rPr>
            </w:pPr>
            <w:r w:rsidRPr="009F2873">
              <w:rPr>
                <w:bCs/>
              </w:rPr>
              <w:t>Lovos užimtumo rodiklis įstaigoje pagal sveikatos apsaugos ministro nustatytas paslaugų grupes (taikoma tik antrinio ir tretinio lygio asmens sveikatos priežiūros paslaugas teikiančioms įstaigoms)</w:t>
            </w:r>
          </w:p>
        </w:tc>
        <w:tc>
          <w:tcPr>
            <w:tcW w:w="1368" w:type="pct"/>
            <w:tcBorders>
              <w:top w:val="single" w:sz="4" w:space="0" w:color="auto"/>
              <w:left w:val="single" w:sz="4" w:space="0" w:color="auto"/>
              <w:bottom w:val="single" w:sz="4" w:space="0" w:color="auto"/>
              <w:right w:val="single" w:sz="4" w:space="0" w:color="auto"/>
            </w:tcBorders>
            <w:vAlign w:val="center"/>
            <w:hideMark/>
          </w:tcPr>
          <w:p w14:paraId="41C49362" w14:textId="77777777" w:rsidR="00934F2E" w:rsidRPr="009F2873" w:rsidRDefault="00934F2E" w:rsidP="001F7304">
            <w:pPr>
              <w:jc w:val="center"/>
            </w:pPr>
            <w:r w:rsidRPr="009F2873">
              <w:t>ASPĮ aktyvaus gydymo lovų užimtumas – ne mažiau kaip 70 %</w:t>
            </w:r>
          </w:p>
        </w:tc>
        <w:tc>
          <w:tcPr>
            <w:tcW w:w="1910" w:type="pct"/>
            <w:tcBorders>
              <w:top w:val="single" w:sz="4" w:space="0" w:color="auto"/>
              <w:left w:val="single" w:sz="4" w:space="0" w:color="auto"/>
              <w:bottom w:val="single" w:sz="4" w:space="0" w:color="auto"/>
              <w:right w:val="single" w:sz="4" w:space="0" w:color="auto"/>
            </w:tcBorders>
            <w:vAlign w:val="center"/>
            <w:hideMark/>
          </w:tcPr>
          <w:p w14:paraId="2D56E7C0" w14:textId="12104DDB" w:rsidR="00934F2E" w:rsidRPr="00B20F8C" w:rsidRDefault="00175400" w:rsidP="001F7304">
            <w:pPr>
              <w:jc w:val="center"/>
              <w:rPr>
                <w:highlight w:val="yellow"/>
              </w:rPr>
            </w:pPr>
            <w:r>
              <w:t>2021 m. nevertinama</w:t>
            </w:r>
          </w:p>
        </w:tc>
      </w:tr>
      <w:tr w:rsidR="00934F2E" w:rsidRPr="00B20F8C" w14:paraId="61D302DE" w14:textId="77777777" w:rsidTr="00385EDD">
        <w:tc>
          <w:tcPr>
            <w:tcW w:w="216" w:type="pct"/>
            <w:tcBorders>
              <w:top w:val="single" w:sz="4" w:space="0" w:color="auto"/>
              <w:left w:val="single" w:sz="4" w:space="0" w:color="auto"/>
              <w:bottom w:val="single" w:sz="4" w:space="0" w:color="auto"/>
              <w:right w:val="single" w:sz="4" w:space="0" w:color="auto"/>
            </w:tcBorders>
            <w:vAlign w:val="center"/>
          </w:tcPr>
          <w:p w14:paraId="4001C748" w14:textId="77777777" w:rsidR="00934F2E" w:rsidRPr="00B20F8C" w:rsidRDefault="00934F2E" w:rsidP="001F7304">
            <w:pPr>
              <w:jc w:val="center"/>
              <w:rPr>
                <w:szCs w:val="20"/>
                <w:highlight w:val="yellow"/>
              </w:rPr>
            </w:pPr>
          </w:p>
        </w:tc>
        <w:tc>
          <w:tcPr>
            <w:tcW w:w="2874" w:type="pct"/>
            <w:gridSpan w:val="2"/>
            <w:tcBorders>
              <w:top w:val="single" w:sz="4" w:space="0" w:color="auto"/>
              <w:left w:val="single" w:sz="4" w:space="0" w:color="auto"/>
              <w:bottom w:val="single" w:sz="4" w:space="0" w:color="auto"/>
              <w:right w:val="single" w:sz="4" w:space="0" w:color="auto"/>
            </w:tcBorders>
            <w:vAlign w:val="center"/>
          </w:tcPr>
          <w:p w14:paraId="1F46DE5D" w14:textId="77777777" w:rsidR="00934F2E" w:rsidRPr="00FC6C78" w:rsidRDefault="00934F2E" w:rsidP="001F7304">
            <w:pPr>
              <w:rPr>
                <w:b/>
              </w:rPr>
            </w:pPr>
            <w:r w:rsidRPr="00FC6C78">
              <w:rPr>
                <w:b/>
              </w:rPr>
              <w:t>Rodiklio reikšmė apskaičiuojama pagal formulę:</w:t>
            </w:r>
          </w:p>
          <w:tbl>
            <w:tblPr>
              <w:tblStyle w:val="Lentelstinklelis"/>
              <w:tblW w:w="0" w:type="auto"/>
              <w:tblInd w:w="0" w:type="dxa"/>
              <w:tblLook w:val="04A0" w:firstRow="1" w:lastRow="0" w:firstColumn="1" w:lastColumn="0" w:noHBand="0" w:noVBand="1"/>
            </w:tblPr>
            <w:tblGrid>
              <w:gridCol w:w="3058"/>
              <w:gridCol w:w="3058"/>
            </w:tblGrid>
            <w:tr w:rsidR="00934F2E" w:rsidRPr="00FC6C78" w14:paraId="714691A4" w14:textId="77777777" w:rsidTr="001F7304">
              <w:tc>
                <w:tcPr>
                  <w:tcW w:w="3058" w:type="dxa"/>
                  <w:tcBorders>
                    <w:top w:val="nil"/>
                    <w:left w:val="nil"/>
                    <w:bottom w:val="single" w:sz="4" w:space="0" w:color="auto"/>
                    <w:right w:val="nil"/>
                  </w:tcBorders>
                </w:tcPr>
                <w:p w14:paraId="2565B1AB" w14:textId="77777777" w:rsidR="00934F2E" w:rsidRPr="00FC6C78" w:rsidRDefault="00934F2E" w:rsidP="001F7304">
                  <w:pPr>
                    <w:jc w:val="center"/>
                  </w:pPr>
                </w:p>
                <w:p w14:paraId="7CCD5B04" w14:textId="2A3CE807" w:rsidR="00543979" w:rsidRPr="00FC6C78" w:rsidRDefault="00543979" w:rsidP="001F7304">
                  <w:pPr>
                    <w:jc w:val="center"/>
                  </w:pPr>
                  <w:r w:rsidRPr="00FC6C78">
                    <w:t>Metinis lovadienių skaičius (19968) x 100/365    88,24</w:t>
                  </w:r>
                </w:p>
              </w:tc>
              <w:tc>
                <w:tcPr>
                  <w:tcW w:w="3058" w:type="dxa"/>
                  <w:vMerge w:val="restart"/>
                  <w:tcBorders>
                    <w:top w:val="nil"/>
                    <w:left w:val="nil"/>
                    <w:bottom w:val="nil"/>
                    <w:right w:val="nil"/>
                  </w:tcBorders>
                  <w:vAlign w:val="center"/>
                </w:tcPr>
                <w:p w14:paraId="6D29A25C" w14:textId="77777777" w:rsidR="00934F2E" w:rsidRPr="00FC6C78" w:rsidRDefault="00934F2E" w:rsidP="001F7304"/>
              </w:tc>
            </w:tr>
            <w:tr w:rsidR="00934F2E" w:rsidRPr="00FC6C78" w14:paraId="700186D2" w14:textId="77777777" w:rsidTr="001F7304">
              <w:tc>
                <w:tcPr>
                  <w:tcW w:w="3058" w:type="dxa"/>
                  <w:tcBorders>
                    <w:top w:val="single" w:sz="4" w:space="0" w:color="auto"/>
                    <w:left w:val="nil"/>
                    <w:bottom w:val="nil"/>
                    <w:right w:val="nil"/>
                  </w:tcBorders>
                </w:tcPr>
                <w:p w14:paraId="3B4E21E9" w14:textId="77777777" w:rsidR="00934F2E" w:rsidRPr="00FC6C78" w:rsidRDefault="00934F2E" w:rsidP="001F7304">
                  <w:pPr>
                    <w:jc w:val="center"/>
                  </w:pPr>
                </w:p>
              </w:tc>
              <w:tc>
                <w:tcPr>
                  <w:tcW w:w="0" w:type="auto"/>
                  <w:vMerge/>
                  <w:tcBorders>
                    <w:top w:val="nil"/>
                    <w:left w:val="nil"/>
                    <w:bottom w:val="nil"/>
                    <w:right w:val="nil"/>
                  </w:tcBorders>
                  <w:vAlign w:val="center"/>
                  <w:hideMark/>
                </w:tcPr>
                <w:p w14:paraId="3F77BFB0" w14:textId="77777777" w:rsidR="00934F2E" w:rsidRPr="00FC6C78" w:rsidRDefault="00934F2E" w:rsidP="001F7304">
                  <w:pPr>
                    <w:rPr>
                      <w:lang w:eastAsia="en-US"/>
                    </w:rPr>
                  </w:pPr>
                </w:p>
              </w:tc>
            </w:tr>
          </w:tbl>
          <w:p w14:paraId="059E15DC" w14:textId="453FDE81" w:rsidR="00934F2E" w:rsidRPr="00FC6C78" w:rsidRDefault="00934F2E" w:rsidP="001F7304">
            <w:pPr>
              <w:rPr>
                <w:bCs/>
              </w:rPr>
            </w:pPr>
            <w:r w:rsidRPr="00FC6C78">
              <w:rPr>
                <w:bCs/>
              </w:rPr>
              <w:t xml:space="preserve">Aktyvaus gydymo lovos – tai stacionaro lovos, išskyrus lovas, kurios naudojamos tik slaugos, </w:t>
            </w:r>
            <w:r w:rsidR="00F5327D" w:rsidRPr="00FC6C78">
              <w:rPr>
                <w:bCs/>
              </w:rPr>
              <w:t xml:space="preserve">medicininės </w:t>
            </w:r>
            <w:r w:rsidRPr="00FC6C78">
              <w:rPr>
                <w:bCs/>
              </w:rPr>
              <w:t>reabilitacijos, tuberkuliozės ir psichiatrijos paslaugoms teikti.</w:t>
            </w:r>
          </w:p>
          <w:p w14:paraId="1CB95E3C" w14:textId="77777777" w:rsidR="00934F2E" w:rsidRPr="00FC6C78" w:rsidRDefault="00934F2E" w:rsidP="001F7304">
            <w:pPr>
              <w:rPr>
                <w:bCs/>
              </w:rPr>
            </w:pPr>
          </w:p>
          <w:p w14:paraId="0E60D7F3" w14:textId="7EB345D4" w:rsidR="00934F2E" w:rsidRPr="00FC6C78" w:rsidRDefault="00934F2E" w:rsidP="001F7304">
            <w:pPr>
              <w:jc w:val="both"/>
              <w:rPr>
                <w:bCs/>
              </w:rPr>
            </w:pPr>
            <w:r w:rsidRPr="00FC6C78">
              <w:rPr>
                <w:b/>
              </w:rPr>
              <w:t xml:space="preserve">Pastaba: </w:t>
            </w:r>
            <w:r w:rsidRPr="00FC6C78">
              <w:rPr>
                <w:bCs/>
              </w:rPr>
              <w:t>rodiklio 202</w:t>
            </w:r>
            <w:r w:rsidR="007A5B6E" w:rsidRPr="00FC6C78">
              <w:rPr>
                <w:bCs/>
              </w:rPr>
              <w:t>1</w:t>
            </w:r>
            <w:r w:rsidRPr="00FC6C78">
              <w:rPr>
                <w:bCs/>
              </w:rPr>
              <w:t xml:space="preserve"> m. siektinos reikšmės įvykdymas </w:t>
            </w:r>
            <w:r w:rsidR="007A5B6E" w:rsidRPr="00FC6C78">
              <w:rPr>
                <w:bCs/>
              </w:rPr>
              <w:t>nebus</w:t>
            </w:r>
            <w:r w:rsidRPr="00FC6C78">
              <w:rPr>
                <w:bCs/>
              </w:rPr>
              <w:t xml:space="preserve"> vertinamas.</w:t>
            </w:r>
          </w:p>
          <w:p w14:paraId="3E8ADE03" w14:textId="77777777" w:rsidR="00FC6C78" w:rsidRPr="00FC6C78" w:rsidRDefault="00FC6C78" w:rsidP="001F7304">
            <w:pPr>
              <w:jc w:val="both"/>
              <w:rPr>
                <w:b/>
              </w:rPr>
            </w:pPr>
          </w:p>
          <w:p w14:paraId="7A7FF9D9" w14:textId="499E2483" w:rsidR="00934F2E" w:rsidRPr="00237C25" w:rsidRDefault="00934F2E" w:rsidP="001F7304">
            <w:pPr>
              <w:rPr>
                <w:b/>
              </w:rPr>
            </w:pPr>
            <w:r w:rsidRPr="00FC6C78">
              <w:rPr>
                <w:b/>
              </w:rPr>
              <w:t xml:space="preserve">Duomenų teikėjas: </w:t>
            </w:r>
            <w:r w:rsidRPr="00FC6C78">
              <w:t>Higienos institutas.</w:t>
            </w:r>
          </w:p>
        </w:tc>
        <w:tc>
          <w:tcPr>
            <w:tcW w:w="1910" w:type="pct"/>
            <w:tcBorders>
              <w:top w:val="single" w:sz="4" w:space="0" w:color="auto"/>
              <w:left w:val="single" w:sz="4" w:space="0" w:color="auto"/>
              <w:bottom w:val="single" w:sz="4" w:space="0" w:color="auto"/>
              <w:right w:val="single" w:sz="4" w:space="0" w:color="auto"/>
            </w:tcBorders>
            <w:vAlign w:val="center"/>
            <w:hideMark/>
          </w:tcPr>
          <w:tbl>
            <w:tblPr>
              <w:tblStyle w:val="Lentelstinklelis"/>
              <w:tblW w:w="0" w:type="auto"/>
              <w:tblInd w:w="0" w:type="dxa"/>
              <w:tblLook w:val="04A0" w:firstRow="1" w:lastRow="0" w:firstColumn="1" w:lastColumn="0" w:noHBand="0" w:noVBand="1"/>
            </w:tblPr>
            <w:tblGrid>
              <w:gridCol w:w="3058"/>
            </w:tblGrid>
            <w:tr w:rsidR="00934F2E" w:rsidRPr="00FC6C78" w14:paraId="2B68CB3E" w14:textId="77777777" w:rsidTr="001F7304">
              <w:tc>
                <w:tcPr>
                  <w:tcW w:w="3058" w:type="dxa"/>
                  <w:tcBorders>
                    <w:top w:val="nil"/>
                    <w:left w:val="nil"/>
                    <w:bottom w:val="single" w:sz="4" w:space="0" w:color="auto"/>
                    <w:right w:val="nil"/>
                  </w:tcBorders>
                  <w:hideMark/>
                </w:tcPr>
                <w:p w14:paraId="1AA0F1CB" w14:textId="6587F113" w:rsidR="00934F2E" w:rsidRPr="00FC6C78" w:rsidRDefault="00934F2E" w:rsidP="001F7304">
                  <w:pPr>
                    <w:jc w:val="center"/>
                    <w:rPr>
                      <w:b/>
                      <w:bCs/>
                    </w:rPr>
                  </w:pPr>
                  <w:r w:rsidRPr="00FC6C78">
                    <w:t>Lovadienių skaičius (</w:t>
                  </w:r>
                  <w:r w:rsidR="00D65FAE" w:rsidRPr="00FC6C78">
                    <w:rPr>
                      <w:b/>
                      <w:bCs/>
                    </w:rPr>
                    <w:t>19968</w:t>
                  </w:r>
                  <w:r w:rsidRPr="00FC6C78">
                    <w:rPr>
                      <w:b/>
                      <w:bCs/>
                    </w:rPr>
                    <w:t>)</w:t>
                  </w:r>
                </w:p>
              </w:tc>
            </w:tr>
            <w:tr w:rsidR="00934F2E" w:rsidRPr="00FC6C78" w14:paraId="2390195D" w14:textId="77777777" w:rsidTr="001F7304">
              <w:tc>
                <w:tcPr>
                  <w:tcW w:w="3058" w:type="dxa"/>
                  <w:tcBorders>
                    <w:top w:val="single" w:sz="4" w:space="0" w:color="auto"/>
                    <w:left w:val="nil"/>
                    <w:bottom w:val="nil"/>
                    <w:right w:val="nil"/>
                  </w:tcBorders>
                  <w:hideMark/>
                </w:tcPr>
                <w:p w14:paraId="6E49E2D6" w14:textId="77777777" w:rsidR="00934F2E" w:rsidRPr="00FC6C78" w:rsidRDefault="00934F2E" w:rsidP="001F7304">
                  <w:pPr>
                    <w:jc w:val="center"/>
                    <w:rPr>
                      <w:b/>
                      <w:bCs/>
                    </w:rPr>
                  </w:pPr>
                  <w:r w:rsidRPr="00FC6C78">
                    <w:t>Vidutinis metinis stacionaro lovų skaičius (</w:t>
                  </w:r>
                  <w:r w:rsidRPr="00FC6C78">
                    <w:rPr>
                      <w:b/>
                      <w:bCs/>
                    </w:rPr>
                    <w:t>62)</w:t>
                  </w:r>
                </w:p>
              </w:tc>
            </w:tr>
          </w:tbl>
          <w:p w14:paraId="6A29D4BB" w14:textId="77777777" w:rsidR="00934F2E" w:rsidRPr="00FC6C78" w:rsidRDefault="00934F2E" w:rsidP="001F7304">
            <w:pPr>
              <w:jc w:val="center"/>
              <w:rPr>
                <w:b/>
                <w:bCs/>
              </w:rPr>
            </w:pPr>
          </w:p>
        </w:tc>
      </w:tr>
      <w:tr w:rsidR="00934F2E" w:rsidRPr="00E96F35" w14:paraId="4138B17C" w14:textId="77777777" w:rsidTr="00385EDD">
        <w:trPr>
          <w:trHeight w:val="1874"/>
        </w:trPr>
        <w:tc>
          <w:tcPr>
            <w:tcW w:w="216" w:type="pct"/>
            <w:vMerge w:val="restart"/>
            <w:tcBorders>
              <w:top w:val="single" w:sz="4" w:space="0" w:color="auto"/>
              <w:left w:val="single" w:sz="4" w:space="0" w:color="auto"/>
              <w:bottom w:val="nil"/>
              <w:right w:val="single" w:sz="4" w:space="0" w:color="auto"/>
            </w:tcBorders>
            <w:vAlign w:val="center"/>
            <w:hideMark/>
          </w:tcPr>
          <w:p w14:paraId="7721DEEE" w14:textId="77777777" w:rsidR="00934F2E" w:rsidRPr="00E96F35" w:rsidRDefault="00934F2E" w:rsidP="001F7304">
            <w:pPr>
              <w:jc w:val="center"/>
            </w:pPr>
            <w:r w:rsidRPr="00E96F35">
              <w:t>11.</w:t>
            </w:r>
          </w:p>
        </w:tc>
        <w:tc>
          <w:tcPr>
            <w:tcW w:w="1506" w:type="pct"/>
            <w:vMerge w:val="restart"/>
            <w:tcBorders>
              <w:top w:val="single" w:sz="4" w:space="0" w:color="auto"/>
              <w:left w:val="single" w:sz="4" w:space="0" w:color="auto"/>
              <w:bottom w:val="single" w:sz="4" w:space="0" w:color="auto"/>
              <w:right w:val="single" w:sz="4" w:space="0" w:color="auto"/>
            </w:tcBorders>
            <w:hideMark/>
          </w:tcPr>
          <w:p w14:paraId="697239F5" w14:textId="77777777" w:rsidR="00934F2E" w:rsidRPr="00E96F35" w:rsidRDefault="00934F2E" w:rsidP="001F7304">
            <w:pPr>
              <w:jc w:val="both"/>
              <w:rPr>
                <w:bCs/>
              </w:rPr>
            </w:pPr>
            <w:r w:rsidRPr="00E96F35">
              <w:rPr>
                <w:bCs/>
              </w:rPr>
              <w:t>Įstaigoje iš Privalomojo sveikatos draudimo fondo biudžeto lėšų apmokėtų brangiųjų tyrimų ir procedūrų, kurių stebėsena atliekama, skaičius, medicinos priemonių, kuriomis atlikti brangieji tyrimai ir procedūros, panaudojimo efektyvumas (taikoma tik antrinio ir tretinio lygio asmens sveikatos priežiūros paslaugas teikiančioms įstaigoms)</w:t>
            </w:r>
          </w:p>
        </w:tc>
        <w:tc>
          <w:tcPr>
            <w:tcW w:w="1368" w:type="pct"/>
            <w:tcBorders>
              <w:top w:val="single" w:sz="4" w:space="0" w:color="auto"/>
              <w:left w:val="single" w:sz="4" w:space="0" w:color="auto"/>
              <w:bottom w:val="single" w:sz="4" w:space="0" w:color="auto"/>
              <w:right w:val="single" w:sz="4" w:space="0" w:color="auto"/>
            </w:tcBorders>
            <w:vAlign w:val="center"/>
            <w:hideMark/>
          </w:tcPr>
          <w:p w14:paraId="5E26629D" w14:textId="77777777" w:rsidR="00934F2E" w:rsidRPr="00E96F35" w:rsidRDefault="00934F2E" w:rsidP="001F7304">
            <w:pPr>
              <w:jc w:val="center"/>
            </w:pPr>
            <w:r w:rsidRPr="00E96F35">
              <w:t>Kompiuterinės tomografijos aparatų apkrova – ne mažiau kaip 15 kompiuterinės tomografijos tyrimų per vieną darbo dieną vienu kompiuterinės tomografijos aparatu</w:t>
            </w:r>
          </w:p>
        </w:tc>
        <w:tc>
          <w:tcPr>
            <w:tcW w:w="1910" w:type="pct"/>
            <w:tcBorders>
              <w:top w:val="single" w:sz="4" w:space="0" w:color="auto"/>
              <w:left w:val="single" w:sz="4" w:space="0" w:color="auto"/>
              <w:bottom w:val="single" w:sz="4" w:space="0" w:color="auto"/>
              <w:right w:val="single" w:sz="4" w:space="0" w:color="auto"/>
            </w:tcBorders>
            <w:vAlign w:val="center"/>
            <w:hideMark/>
          </w:tcPr>
          <w:p w14:paraId="01A20F7C" w14:textId="77777777" w:rsidR="00934F2E" w:rsidRPr="00E96F35" w:rsidRDefault="00934F2E" w:rsidP="001F7304">
            <w:pPr>
              <w:jc w:val="center"/>
            </w:pPr>
            <w:r w:rsidRPr="00E96F35">
              <w:t>Paslauga neteikiama</w:t>
            </w:r>
          </w:p>
        </w:tc>
      </w:tr>
      <w:tr w:rsidR="00934F2E" w:rsidRPr="00E96F35" w14:paraId="76C0E19E" w14:textId="77777777" w:rsidTr="00385EDD">
        <w:trPr>
          <w:trHeight w:val="1959"/>
        </w:trPr>
        <w:tc>
          <w:tcPr>
            <w:tcW w:w="216" w:type="pct"/>
            <w:vMerge/>
            <w:tcBorders>
              <w:top w:val="single" w:sz="4" w:space="0" w:color="auto"/>
              <w:left w:val="single" w:sz="4" w:space="0" w:color="auto"/>
              <w:bottom w:val="nil"/>
              <w:right w:val="single" w:sz="4" w:space="0" w:color="auto"/>
            </w:tcBorders>
            <w:vAlign w:val="center"/>
            <w:hideMark/>
          </w:tcPr>
          <w:p w14:paraId="36FDA6AF" w14:textId="77777777" w:rsidR="00934F2E" w:rsidRPr="00E96F35" w:rsidRDefault="00934F2E" w:rsidP="001F7304">
            <w:pPr>
              <w:rPr>
                <w:lang w:eastAsia="en-US"/>
              </w:rPr>
            </w:pPr>
          </w:p>
        </w:tc>
        <w:tc>
          <w:tcPr>
            <w:tcW w:w="1506" w:type="pct"/>
            <w:vMerge/>
            <w:tcBorders>
              <w:top w:val="single" w:sz="4" w:space="0" w:color="auto"/>
              <w:left w:val="single" w:sz="4" w:space="0" w:color="auto"/>
              <w:bottom w:val="single" w:sz="4" w:space="0" w:color="auto"/>
              <w:right w:val="single" w:sz="4" w:space="0" w:color="auto"/>
            </w:tcBorders>
            <w:vAlign w:val="center"/>
            <w:hideMark/>
          </w:tcPr>
          <w:p w14:paraId="3BF05533" w14:textId="77777777" w:rsidR="00934F2E" w:rsidRPr="00E96F35" w:rsidRDefault="00934F2E" w:rsidP="001F7304">
            <w:pPr>
              <w:rPr>
                <w:bCs/>
                <w:lang w:eastAsia="en-US"/>
              </w:rPr>
            </w:pPr>
          </w:p>
        </w:tc>
        <w:tc>
          <w:tcPr>
            <w:tcW w:w="1368" w:type="pct"/>
            <w:tcBorders>
              <w:top w:val="single" w:sz="4" w:space="0" w:color="auto"/>
              <w:left w:val="single" w:sz="4" w:space="0" w:color="auto"/>
              <w:bottom w:val="single" w:sz="4" w:space="0" w:color="auto"/>
              <w:right w:val="single" w:sz="4" w:space="0" w:color="auto"/>
            </w:tcBorders>
            <w:vAlign w:val="center"/>
            <w:hideMark/>
          </w:tcPr>
          <w:p w14:paraId="0E016643" w14:textId="77777777" w:rsidR="00934F2E" w:rsidRPr="00E96F35" w:rsidRDefault="00934F2E" w:rsidP="001F7304">
            <w:pPr>
              <w:jc w:val="center"/>
            </w:pPr>
            <w:r w:rsidRPr="00E96F35">
              <w:t>Magnetinio rezonanso tomografijos aparatų apkrova – ne mažiau kaip 10 magnetinio rezonanso tomografijos tyrimų per vieną darbo dieną vienu magnetinio rezonanso tomografijos aparatu</w:t>
            </w:r>
          </w:p>
        </w:tc>
        <w:tc>
          <w:tcPr>
            <w:tcW w:w="1910" w:type="pct"/>
            <w:tcBorders>
              <w:top w:val="single" w:sz="4" w:space="0" w:color="auto"/>
              <w:left w:val="single" w:sz="4" w:space="0" w:color="auto"/>
              <w:bottom w:val="single" w:sz="4" w:space="0" w:color="auto"/>
              <w:right w:val="single" w:sz="4" w:space="0" w:color="auto"/>
            </w:tcBorders>
            <w:vAlign w:val="center"/>
            <w:hideMark/>
          </w:tcPr>
          <w:p w14:paraId="66BCDEEC" w14:textId="77777777" w:rsidR="00934F2E" w:rsidRPr="00E96F35" w:rsidRDefault="00934F2E" w:rsidP="001F7304">
            <w:pPr>
              <w:jc w:val="center"/>
            </w:pPr>
            <w:r w:rsidRPr="00E96F35">
              <w:t>Paslauga neteikiama</w:t>
            </w:r>
          </w:p>
        </w:tc>
      </w:tr>
      <w:tr w:rsidR="00934F2E" w:rsidRPr="00E96F35" w14:paraId="2CC7EF20" w14:textId="77777777" w:rsidTr="00385EDD">
        <w:trPr>
          <w:trHeight w:val="1959"/>
        </w:trPr>
        <w:tc>
          <w:tcPr>
            <w:tcW w:w="216" w:type="pct"/>
            <w:vMerge/>
            <w:tcBorders>
              <w:top w:val="single" w:sz="4" w:space="0" w:color="auto"/>
              <w:left w:val="single" w:sz="4" w:space="0" w:color="auto"/>
              <w:bottom w:val="nil"/>
              <w:right w:val="single" w:sz="4" w:space="0" w:color="auto"/>
            </w:tcBorders>
            <w:vAlign w:val="center"/>
            <w:hideMark/>
          </w:tcPr>
          <w:p w14:paraId="609C5B17" w14:textId="77777777" w:rsidR="00934F2E" w:rsidRPr="00E96F35" w:rsidRDefault="00934F2E" w:rsidP="001F7304">
            <w:pPr>
              <w:rPr>
                <w:lang w:eastAsia="en-US"/>
              </w:rPr>
            </w:pPr>
          </w:p>
        </w:tc>
        <w:tc>
          <w:tcPr>
            <w:tcW w:w="4784" w:type="pct"/>
            <w:gridSpan w:val="3"/>
            <w:tcBorders>
              <w:top w:val="single" w:sz="4" w:space="0" w:color="auto"/>
              <w:left w:val="single" w:sz="4" w:space="0" w:color="auto"/>
              <w:bottom w:val="single" w:sz="4" w:space="0" w:color="auto"/>
              <w:right w:val="single" w:sz="4" w:space="0" w:color="auto"/>
            </w:tcBorders>
            <w:vAlign w:val="center"/>
            <w:hideMark/>
          </w:tcPr>
          <w:p w14:paraId="695F6263" w14:textId="77777777" w:rsidR="00934F2E" w:rsidRPr="00E96F35" w:rsidRDefault="00934F2E" w:rsidP="001F7304">
            <w:pPr>
              <w:rPr>
                <w:b/>
              </w:rPr>
            </w:pPr>
            <w:r w:rsidRPr="00E96F35">
              <w:rPr>
                <w:b/>
              </w:rPr>
              <w:t>Rodiklio reikšmės apskaičiuojamos pagal formules:</w:t>
            </w:r>
          </w:p>
          <w:p w14:paraId="0B4E526D" w14:textId="77777777" w:rsidR="00934F2E" w:rsidRPr="00E96F35" w:rsidRDefault="00934F2E" w:rsidP="001F7304">
            <w:pPr>
              <w:rPr>
                <w:bCs/>
                <w:szCs w:val="20"/>
              </w:rPr>
            </w:pPr>
            <w:r w:rsidRPr="00E96F35">
              <w:rPr>
                <w:b/>
              </w:rPr>
              <w:t>1. Kompiuterinės tomografijos aparatų apkrova</w:t>
            </w:r>
            <w:r w:rsidRPr="00E96F35">
              <w:rPr>
                <w:bCs/>
              </w:rPr>
              <w:t>:</w:t>
            </w:r>
          </w:p>
          <w:p w14:paraId="56BCC6A2" w14:textId="77777777" w:rsidR="00934F2E" w:rsidRPr="00E96F35" w:rsidRDefault="00934F2E" w:rsidP="001F7304">
            <w:pPr>
              <w:rPr>
                <w:bCs/>
              </w:rPr>
            </w:pPr>
            <w:r w:rsidRPr="00E96F35">
              <w:t>Kompiuterinės tomografijos aparatų apkrova = iš PSDF biudžeto lėšų apmokėtų kompiuterinės tomografijos tyrimų skaičius per metus / darbo dienų</w:t>
            </w:r>
            <w:r w:rsidRPr="00E96F35">
              <w:rPr>
                <w:vertAlign w:val="superscript"/>
              </w:rPr>
              <w:t>1</w:t>
            </w:r>
            <w:r w:rsidRPr="00E96F35">
              <w:t xml:space="preserve"> skaičius per metus / naudojamų kompiuterinės tomografijos aparatų skaičius</w:t>
            </w:r>
          </w:p>
          <w:p w14:paraId="231D270B" w14:textId="77777777" w:rsidR="00934F2E" w:rsidRPr="00E96F35" w:rsidRDefault="00934F2E" w:rsidP="001F7304">
            <w:pPr>
              <w:rPr>
                <w:b/>
              </w:rPr>
            </w:pPr>
            <w:r w:rsidRPr="00E96F35">
              <w:rPr>
                <w:b/>
              </w:rPr>
              <w:t>2. Magnetinio rezonanso tomografijos aparatų apkrova:</w:t>
            </w:r>
          </w:p>
          <w:p w14:paraId="306FA3F1" w14:textId="77777777" w:rsidR="00934F2E" w:rsidRPr="00E96F35" w:rsidRDefault="00934F2E" w:rsidP="001F7304">
            <w:pPr>
              <w:rPr>
                <w:szCs w:val="20"/>
              </w:rPr>
            </w:pPr>
            <w:r w:rsidRPr="00E96F35">
              <w:t>Magnetinio rezonanso tomografijos aparatų apkrova = iš PSDF biudžeto lėšų apmokėtų magnetinio rezonanso tomografijos tyrimų skaičius per metus / darbo dienų</w:t>
            </w:r>
            <w:r w:rsidRPr="00E96F35">
              <w:rPr>
                <w:vertAlign w:val="superscript"/>
              </w:rPr>
              <w:t>1</w:t>
            </w:r>
            <w:r w:rsidRPr="00E96F35">
              <w:t xml:space="preserve"> skaičius per metus / naudojamų magnetinio rezonanso tomografijos aparatų skaičius</w:t>
            </w:r>
          </w:p>
          <w:p w14:paraId="45F13150" w14:textId="77777777" w:rsidR="00934F2E" w:rsidRPr="00E96F35" w:rsidRDefault="00934F2E" w:rsidP="001F7304">
            <w:r w:rsidRPr="00E96F35">
              <w:rPr>
                <w:vertAlign w:val="superscript"/>
              </w:rPr>
              <w:t>1</w:t>
            </w:r>
            <w:r w:rsidRPr="00E96F35">
              <w:t xml:space="preserve"> Darbo dienos yra nuo pirmadienio iki penktadienio.</w:t>
            </w:r>
          </w:p>
          <w:p w14:paraId="50FD9EF5" w14:textId="77777777" w:rsidR="00934F2E" w:rsidRPr="00E96F35" w:rsidRDefault="00934F2E" w:rsidP="001F7304">
            <w:pPr>
              <w:jc w:val="both"/>
            </w:pPr>
            <w:r w:rsidRPr="00E96F35">
              <w:rPr>
                <w:b/>
              </w:rPr>
              <w:t>Duomenų teikėjas:</w:t>
            </w:r>
            <w:r w:rsidRPr="00E96F35">
              <w:t xml:space="preserve"> Valstybinė akreditavimo sveikatos priežiūros veiklai tarnyba prie Sveikatos apsaugos ministerijos.</w:t>
            </w:r>
          </w:p>
        </w:tc>
      </w:tr>
      <w:tr w:rsidR="00934F2E" w:rsidRPr="00E96F35" w14:paraId="2F4188EF" w14:textId="77777777" w:rsidTr="00385EDD">
        <w:tc>
          <w:tcPr>
            <w:tcW w:w="216" w:type="pct"/>
            <w:tcBorders>
              <w:top w:val="single" w:sz="4" w:space="0" w:color="auto"/>
              <w:left w:val="single" w:sz="4" w:space="0" w:color="auto"/>
              <w:bottom w:val="single" w:sz="4" w:space="0" w:color="auto"/>
              <w:right w:val="single" w:sz="4" w:space="0" w:color="auto"/>
            </w:tcBorders>
            <w:vAlign w:val="center"/>
            <w:hideMark/>
          </w:tcPr>
          <w:p w14:paraId="0D2D7B77" w14:textId="77777777" w:rsidR="00934F2E" w:rsidRPr="00E96F35" w:rsidRDefault="00934F2E" w:rsidP="001F7304">
            <w:pPr>
              <w:jc w:val="center"/>
            </w:pPr>
            <w:r w:rsidRPr="00E96F35">
              <w:rPr>
                <w:b/>
              </w:rPr>
              <w:t>III</w:t>
            </w:r>
          </w:p>
        </w:tc>
        <w:tc>
          <w:tcPr>
            <w:tcW w:w="4784" w:type="pct"/>
            <w:gridSpan w:val="3"/>
            <w:tcBorders>
              <w:top w:val="single" w:sz="4" w:space="0" w:color="auto"/>
              <w:left w:val="single" w:sz="4" w:space="0" w:color="auto"/>
              <w:bottom w:val="single" w:sz="4" w:space="0" w:color="auto"/>
              <w:right w:val="single" w:sz="4" w:space="0" w:color="auto"/>
            </w:tcBorders>
            <w:hideMark/>
          </w:tcPr>
          <w:p w14:paraId="24E639BB" w14:textId="77777777" w:rsidR="00934F2E" w:rsidRPr="00E96F35" w:rsidRDefault="00934F2E" w:rsidP="001F7304">
            <w:pPr>
              <w:jc w:val="center"/>
              <w:rPr>
                <w:b/>
                <w:bCs/>
              </w:rPr>
            </w:pPr>
            <w:r w:rsidRPr="00E96F35">
              <w:rPr>
                <w:b/>
              </w:rPr>
              <w:t>Papildomi veiklos rezultatų vertinimo rodikliai:</w:t>
            </w:r>
          </w:p>
        </w:tc>
      </w:tr>
      <w:tr w:rsidR="00934F2E" w:rsidRPr="00E96F35" w14:paraId="7DF2B442" w14:textId="77777777" w:rsidTr="00385EDD">
        <w:tc>
          <w:tcPr>
            <w:tcW w:w="216" w:type="pct"/>
            <w:tcBorders>
              <w:top w:val="single" w:sz="4" w:space="0" w:color="auto"/>
              <w:left w:val="single" w:sz="4" w:space="0" w:color="auto"/>
              <w:bottom w:val="single" w:sz="4" w:space="0" w:color="auto"/>
              <w:right w:val="single" w:sz="4" w:space="0" w:color="auto"/>
            </w:tcBorders>
            <w:vAlign w:val="center"/>
            <w:hideMark/>
          </w:tcPr>
          <w:p w14:paraId="002F160A" w14:textId="77777777" w:rsidR="00934F2E" w:rsidRPr="00E96F35" w:rsidRDefault="00934F2E" w:rsidP="001F7304">
            <w:pPr>
              <w:jc w:val="center"/>
            </w:pPr>
            <w:r w:rsidRPr="00E96F35">
              <w:t>1.</w:t>
            </w:r>
          </w:p>
        </w:tc>
        <w:tc>
          <w:tcPr>
            <w:tcW w:w="1506" w:type="pct"/>
            <w:tcBorders>
              <w:top w:val="single" w:sz="4" w:space="0" w:color="auto"/>
              <w:left w:val="single" w:sz="4" w:space="0" w:color="auto"/>
              <w:bottom w:val="single" w:sz="4" w:space="0" w:color="auto"/>
              <w:right w:val="single" w:sz="4" w:space="0" w:color="auto"/>
            </w:tcBorders>
            <w:hideMark/>
          </w:tcPr>
          <w:p w14:paraId="296D2F9D" w14:textId="3CBF4BDD" w:rsidR="00934F2E" w:rsidRPr="00E96F35" w:rsidRDefault="00971A71" w:rsidP="001F7304">
            <w:pPr>
              <w:jc w:val="both"/>
              <w:rPr>
                <w:b/>
              </w:rPr>
            </w:pPr>
            <w:r w:rsidRPr="00E96F35">
              <w:rPr>
                <w:b/>
              </w:rPr>
              <w:t>Kritinis</w:t>
            </w:r>
            <w:r w:rsidR="00934F2E" w:rsidRPr="00E96F35">
              <w:rPr>
                <w:b/>
              </w:rPr>
              <w:t xml:space="preserve"> likvidumo rodiklis</w:t>
            </w:r>
          </w:p>
        </w:tc>
        <w:tc>
          <w:tcPr>
            <w:tcW w:w="1368" w:type="pct"/>
            <w:tcBorders>
              <w:top w:val="single" w:sz="4" w:space="0" w:color="auto"/>
              <w:left w:val="single" w:sz="4" w:space="0" w:color="auto"/>
              <w:bottom w:val="single" w:sz="4" w:space="0" w:color="auto"/>
              <w:right w:val="single" w:sz="4" w:space="0" w:color="auto"/>
            </w:tcBorders>
            <w:vAlign w:val="center"/>
            <w:hideMark/>
          </w:tcPr>
          <w:p w14:paraId="5CC8536E" w14:textId="34EE9249" w:rsidR="00934F2E" w:rsidRPr="00E96F35" w:rsidRDefault="00971A71" w:rsidP="001F7304">
            <w:pPr>
              <w:jc w:val="center"/>
            </w:pPr>
            <w:r w:rsidRPr="00E96F35">
              <w:t>Ne mažiau kaip 0,8</w:t>
            </w:r>
          </w:p>
        </w:tc>
        <w:tc>
          <w:tcPr>
            <w:tcW w:w="1910" w:type="pct"/>
            <w:tcBorders>
              <w:top w:val="single" w:sz="4" w:space="0" w:color="auto"/>
              <w:left w:val="single" w:sz="4" w:space="0" w:color="auto"/>
              <w:bottom w:val="single" w:sz="4" w:space="0" w:color="auto"/>
              <w:right w:val="single" w:sz="4" w:space="0" w:color="auto"/>
            </w:tcBorders>
            <w:vAlign w:val="center"/>
            <w:hideMark/>
          </w:tcPr>
          <w:p w14:paraId="0C35906F" w14:textId="70BD5EC9" w:rsidR="00934F2E" w:rsidRPr="00E96F35" w:rsidRDefault="00934F2E" w:rsidP="001F7304">
            <w:pPr>
              <w:jc w:val="center"/>
            </w:pPr>
            <w:r w:rsidRPr="00E96F35">
              <w:rPr>
                <w:b/>
                <w:bCs/>
              </w:rPr>
              <w:t>0,</w:t>
            </w:r>
            <w:r w:rsidR="00E96F35" w:rsidRPr="00E96F35">
              <w:rPr>
                <w:b/>
                <w:bCs/>
              </w:rPr>
              <w:t>74</w:t>
            </w:r>
            <w:r w:rsidRPr="00E96F35">
              <w:rPr>
                <w:b/>
                <w:bCs/>
              </w:rPr>
              <w:t xml:space="preserve"> – </w:t>
            </w:r>
            <w:r w:rsidR="00E96F35" w:rsidRPr="00E96F35">
              <w:rPr>
                <w:b/>
                <w:bCs/>
              </w:rPr>
              <w:t>0</w:t>
            </w:r>
            <w:r w:rsidRPr="00E96F35">
              <w:rPr>
                <w:b/>
                <w:bCs/>
              </w:rPr>
              <w:t xml:space="preserve"> balų</w:t>
            </w:r>
          </w:p>
        </w:tc>
      </w:tr>
      <w:tr w:rsidR="00934F2E" w:rsidRPr="00E96F35" w14:paraId="76D1ACF5" w14:textId="77777777" w:rsidTr="00385EDD">
        <w:tc>
          <w:tcPr>
            <w:tcW w:w="216" w:type="pct"/>
            <w:tcBorders>
              <w:top w:val="single" w:sz="4" w:space="0" w:color="auto"/>
              <w:left w:val="single" w:sz="4" w:space="0" w:color="auto"/>
              <w:bottom w:val="single" w:sz="4" w:space="0" w:color="auto"/>
              <w:right w:val="single" w:sz="4" w:space="0" w:color="auto"/>
            </w:tcBorders>
            <w:vAlign w:val="center"/>
            <w:hideMark/>
          </w:tcPr>
          <w:p w14:paraId="0B9833E0" w14:textId="77777777" w:rsidR="00934F2E" w:rsidRPr="00E96F35" w:rsidRDefault="00934F2E" w:rsidP="001F7304">
            <w:pPr>
              <w:jc w:val="center"/>
            </w:pPr>
            <w:r w:rsidRPr="00E96F35">
              <w:t>2.</w:t>
            </w:r>
          </w:p>
        </w:tc>
        <w:tc>
          <w:tcPr>
            <w:tcW w:w="1506" w:type="pct"/>
            <w:tcBorders>
              <w:top w:val="single" w:sz="4" w:space="0" w:color="auto"/>
              <w:left w:val="single" w:sz="4" w:space="0" w:color="auto"/>
              <w:bottom w:val="single" w:sz="4" w:space="0" w:color="auto"/>
              <w:right w:val="single" w:sz="4" w:space="0" w:color="auto"/>
            </w:tcBorders>
            <w:vAlign w:val="center"/>
            <w:hideMark/>
          </w:tcPr>
          <w:p w14:paraId="690AD404" w14:textId="77777777" w:rsidR="00934F2E" w:rsidRPr="00E96F35" w:rsidRDefault="00934F2E" w:rsidP="001F7304">
            <w:pPr>
              <w:jc w:val="both"/>
              <w:rPr>
                <w:b/>
                <w:color w:val="FFFF00"/>
              </w:rPr>
            </w:pPr>
            <w:r w:rsidRPr="00E96F35">
              <w:rPr>
                <w:b/>
              </w:rPr>
              <w:t>Konsoliduotų viešųjų pirkimų skaičius</w:t>
            </w:r>
          </w:p>
        </w:tc>
        <w:tc>
          <w:tcPr>
            <w:tcW w:w="1368" w:type="pct"/>
            <w:tcBorders>
              <w:top w:val="single" w:sz="4" w:space="0" w:color="auto"/>
              <w:left w:val="single" w:sz="4" w:space="0" w:color="auto"/>
              <w:bottom w:val="single" w:sz="4" w:space="0" w:color="auto"/>
              <w:right w:val="single" w:sz="4" w:space="0" w:color="auto"/>
            </w:tcBorders>
            <w:vAlign w:val="center"/>
            <w:hideMark/>
          </w:tcPr>
          <w:p w14:paraId="5F748DC5" w14:textId="77777777" w:rsidR="00934F2E" w:rsidRPr="00E96F35" w:rsidRDefault="00934F2E" w:rsidP="001F7304">
            <w:pPr>
              <w:jc w:val="center"/>
            </w:pPr>
            <w:r w:rsidRPr="00E96F35">
              <w:rPr>
                <w:color w:val="000000"/>
                <w:lang w:eastAsia="en-GB"/>
              </w:rPr>
              <w:t>Ne mažiau kaip 1</w:t>
            </w:r>
          </w:p>
        </w:tc>
        <w:tc>
          <w:tcPr>
            <w:tcW w:w="1910" w:type="pct"/>
            <w:tcBorders>
              <w:top w:val="single" w:sz="4" w:space="0" w:color="auto"/>
              <w:left w:val="single" w:sz="4" w:space="0" w:color="auto"/>
              <w:bottom w:val="single" w:sz="4" w:space="0" w:color="auto"/>
              <w:right w:val="single" w:sz="4" w:space="0" w:color="auto"/>
            </w:tcBorders>
            <w:vAlign w:val="center"/>
            <w:hideMark/>
          </w:tcPr>
          <w:p w14:paraId="156FA320" w14:textId="77777777" w:rsidR="00934F2E" w:rsidRPr="00E96F35" w:rsidRDefault="00934F2E" w:rsidP="001F7304">
            <w:pPr>
              <w:jc w:val="center"/>
            </w:pPr>
            <w:r w:rsidRPr="00E96F35">
              <w:rPr>
                <w:b/>
                <w:bCs/>
              </w:rPr>
              <w:t>0 – 0 balų</w:t>
            </w:r>
          </w:p>
        </w:tc>
      </w:tr>
      <w:tr w:rsidR="00934F2E" w:rsidRPr="00BC1D82" w14:paraId="3E2CC07D" w14:textId="77777777" w:rsidTr="00385EDD">
        <w:tc>
          <w:tcPr>
            <w:tcW w:w="216" w:type="pct"/>
            <w:tcBorders>
              <w:top w:val="single" w:sz="4" w:space="0" w:color="auto"/>
              <w:left w:val="single" w:sz="4" w:space="0" w:color="auto"/>
              <w:bottom w:val="single" w:sz="4" w:space="0" w:color="auto"/>
              <w:right w:val="single" w:sz="4" w:space="0" w:color="auto"/>
            </w:tcBorders>
            <w:vAlign w:val="center"/>
            <w:hideMark/>
          </w:tcPr>
          <w:p w14:paraId="64E524E5" w14:textId="77777777" w:rsidR="00934F2E" w:rsidRPr="00BC1D82" w:rsidRDefault="00934F2E" w:rsidP="001F7304"/>
        </w:tc>
        <w:tc>
          <w:tcPr>
            <w:tcW w:w="1506" w:type="pct"/>
            <w:tcBorders>
              <w:top w:val="single" w:sz="4" w:space="0" w:color="auto"/>
              <w:left w:val="single" w:sz="4" w:space="0" w:color="auto"/>
              <w:bottom w:val="single" w:sz="4" w:space="0" w:color="auto"/>
              <w:right w:val="single" w:sz="4" w:space="0" w:color="auto"/>
            </w:tcBorders>
            <w:vAlign w:val="center"/>
          </w:tcPr>
          <w:p w14:paraId="45C542A1" w14:textId="77777777" w:rsidR="00934F2E" w:rsidRPr="00BC1D82" w:rsidRDefault="00934F2E" w:rsidP="001F7304">
            <w:pPr>
              <w:jc w:val="both"/>
              <w:rPr>
                <w:lang w:eastAsia="en-US"/>
              </w:rPr>
            </w:pPr>
          </w:p>
        </w:tc>
        <w:tc>
          <w:tcPr>
            <w:tcW w:w="1368" w:type="pct"/>
            <w:tcBorders>
              <w:top w:val="single" w:sz="4" w:space="0" w:color="auto"/>
              <w:left w:val="single" w:sz="4" w:space="0" w:color="auto"/>
              <w:bottom w:val="single" w:sz="4" w:space="0" w:color="auto"/>
              <w:right w:val="single" w:sz="4" w:space="0" w:color="auto"/>
            </w:tcBorders>
          </w:tcPr>
          <w:p w14:paraId="3B99E15F" w14:textId="02802608" w:rsidR="00934F2E" w:rsidRPr="00BC1D82" w:rsidRDefault="00237C25" w:rsidP="00F229C1">
            <w:pPr>
              <w:jc w:val="right"/>
              <w:rPr>
                <w:b/>
              </w:rPr>
            </w:pPr>
            <w:r>
              <w:rPr>
                <w:b/>
              </w:rPr>
              <w:t xml:space="preserve">IŠ </w:t>
            </w:r>
            <w:r w:rsidR="00F229C1" w:rsidRPr="00BC1D82">
              <w:rPr>
                <w:b/>
              </w:rPr>
              <w:t>VISO:</w:t>
            </w:r>
          </w:p>
        </w:tc>
        <w:tc>
          <w:tcPr>
            <w:tcW w:w="1910" w:type="pct"/>
            <w:tcBorders>
              <w:top w:val="single" w:sz="4" w:space="0" w:color="auto"/>
              <w:left w:val="single" w:sz="4" w:space="0" w:color="auto"/>
              <w:bottom w:val="single" w:sz="4" w:space="0" w:color="auto"/>
              <w:right w:val="single" w:sz="4" w:space="0" w:color="auto"/>
            </w:tcBorders>
          </w:tcPr>
          <w:p w14:paraId="1967CCE9" w14:textId="3CF04913" w:rsidR="00934F2E" w:rsidRPr="00BC1D82" w:rsidRDefault="008A6155" w:rsidP="008A6155">
            <w:pPr>
              <w:jc w:val="center"/>
              <w:rPr>
                <w:b/>
              </w:rPr>
            </w:pPr>
            <w:r w:rsidRPr="00BC1D82">
              <w:rPr>
                <w:b/>
              </w:rPr>
              <w:t>63</w:t>
            </w:r>
          </w:p>
        </w:tc>
      </w:tr>
    </w:tbl>
    <w:p w14:paraId="6D778A5F" w14:textId="77777777" w:rsidR="00056A3C" w:rsidRDefault="00056A3C"/>
    <w:sectPr w:rsidR="00056A3C" w:rsidSect="008A6810">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8E0D3" w14:textId="77777777" w:rsidR="00037DB9" w:rsidRDefault="00037DB9" w:rsidP="00037DB9">
      <w:r>
        <w:separator/>
      </w:r>
    </w:p>
  </w:endnote>
  <w:endnote w:type="continuationSeparator" w:id="0">
    <w:p w14:paraId="6E37CB0E" w14:textId="77777777" w:rsidR="00037DB9" w:rsidRDefault="00037DB9" w:rsidP="00037DB9">
      <w:r>
        <w:continuationSeparator/>
      </w:r>
    </w:p>
  </w:endnote>
  <w:endnote w:type="continuationNotice" w:id="1">
    <w:p w14:paraId="2507DB72" w14:textId="77777777" w:rsidR="00745B0B" w:rsidRDefault="00745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61421" w14:textId="77777777" w:rsidR="00037DB9" w:rsidRDefault="00037DB9" w:rsidP="00037DB9">
      <w:r>
        <w:separator/>
      </w:r>
    </w:p>
  </w:footnote>
  <w:footnote w:type="continuationSeparator" w:id="0">
    <w:p w14:paraId="7FD50FE4" w14:textId="77777777" w:rsidR="00037DB9" w:rsidRDefault="00037DB9" w:rsidP="00037DB9">
      <w:r>
        <w:continuationSeparator/>
      </w:r>
    </w:p>
  </w:footnote>
  <w:footnote w:type="continuationNotice" w:id="1">
    <w:p w14:paraId="4DBB4DF7" w14:textId="77777777" w:rsidR="00745B0B" w:rsidRDefault="00745B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509931"/>
      <w:docPartObj>
        <w:docPartGallery w:val="Page Numbers (Top of Page)"/>
        <w:docPartUnique/>
      </w:docPartObj>
    </w:sdtPr>
    <w:sdtEndPr/>
    <w:sdtContent>
      <w:p w14:paraId="4112D1DA" w14:textId="77CDB788" w:rsidR="00037DB9" w:rsidRDefault="00037DB9">
        <w:pPr>
          <w:pStyle w:val="Antrats"/>
          <w:jc w:val="center"/>
        </w:pPr>
        <w:r>
          <w:fldChar w:fldCharType="begin"/>
        </w:r>
        <w:r>
          <w:instrText>PAGE   \* MERGEFORMAT</w:instrText>
        </w:r>
        <w:r>
          <w:fldChar w:fldCharType="separate"/>
        </w:r>
        <w:r>
          <w:t>2</w:t>
        </w:r>
        <w:r>
          <w:fldChar w:fldCharType="end"/>
        </w:r>
      </w:p>
    </w:sdtContent>
  </w:sdt>
  <w:p w14:paraId="0E2D79E5" w14:textId="77777777" w:rsidR="00037DB9" w:rsidRDefault="00037DB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A7894"/>
    <w:multiLevelType w:val="hybridMultilevel"/>
    <w:tmpl w:val="0BF647E6"/>
    <w:lvl w:ilvl="0" w:tplc="28B2851C">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89E5798"/>
    <w:multiLevelType w:val="multilevel"/>
    <w:tmpl w:val="09A8EF5E"/>
    <w:lvl w:ilvl="0">
      <w:start w:val="2"/>
      <w:numFmt w:val="decimal"/>
      <w:lvlText w:val="%1."/>
      <w:lvlJc w:val="left"/>
      <w:pPr>
        <w:tabs>
          <w:tab w:val="num" w:pos="2628"/>
        </w:tabs>
        <w:ind w:left="2628" w:hanging="360"/>
      </w:pPr>
      <w:rPr>
        <w:b/>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DDE47BA"/>
    <w:multiLevelType w:val="hybridMultilevel"/>
    <w:tmpl w:val="D4A68C14"/>
    <w:lvl w:ilvl="0" w:tplc="DE82BE08">
      <w:start w:val="202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3840876"/>
    <w:multiLevelType w:val="hybridMultilevel"/>
    <w:tmpl w:val="57361286"/>
    <w:lvl w:ilvl="0" w:tplc="350ED93C">
      <w:start w:val="1"/>
      <w:numFmt w:val="decimal"/>
      <w:lvlText w:val="%1."/>
      <w:lvlJc w:val="left"/>
      <w:pPr>
        <w:ind w:left="371" w:hanging="360"/>
      </w:pPr>
      <w:rPr>
        <w:rFonts w:hint="default"/>
      </w:rPr>
    </w:lvl>
    <w:lvl w:ilvl="1" w:tplc="04270019" w:tentative="1">
      <w:start w:val="1"/>
      <w:numFmt w:val="lowerLetter"/>
      <w:lvlText w:val="%2."/>
      <w:lvlJc w:val="left"/>
      <w:pPr>
        <w:ind w:left="1091" w:hanging="360"/>
      </w:pPr>
    </w:lvl>
    <w:lvl w:ilvl="2" w:tplc="0427001B" w:tentative="1">
      <w:start w:val="1"/>
      <w:numFmt w:val="lowerRoman"/>
      <w:lvlText w:val="%3."/>
      <w:lvlJc w:val="right"/>
      <w:pPr>
        <w:ind w:left="1811" w:hanging="180"/>
      </w:pPr>
    </w:lvl>
    <w:lvl w:ilvl="3" w:tplc="0427000F" w:tentative="1">
      <w:start w:val="1"/>
      <w:numFmt w:val="decimal"/>
      <w:lvlText w:val="%4."/>
      <w:lvlJc w:val="left"/>
      <w:pPr>
        <w:ind w:left="2531" w:hanging="360"/>
      </w:pPr>
    </w:lvl>
    <w:lvl w:ilvl="4" w:tplc="04270019" w:tentative="1">
      <w:start w:val="1"/>
      <w:numFmt w:val="lowerLetter"/>
      <w:lvlText w:val="%5."/>
      <w:lvlJc w:val="left"/>
      <w:pPr>
        <w:ind w:left="3251" w:hanging="360"/>
      </w:pPr>
    </w:lvl>
    <w:lvl w:ilvl="5" w:tplc="0427001B" w:tentative="1">
      <w:start w:val="1"/>
      <w:numFmt w:val="lowerRoman"/>
      <w:lvlText w:val="%6."/>
      <w:lvlJc w:val="right"/>
      <w:pPr>
        <w:ind w:left="3971" w:hanging="180"/>
      </w:pPr>
    </w:lvl>
    <w:lvl w:ilvl="6" w:tplc="0427000F" w:tentative="1">
      <w:start w:val="1"/>
      <w:numFmt w:val="decimal"/>
      <w:lvlText w:val="%7."/>
      <w:lvlJc w:val="left"/>
      <w:pPr>
        <w:ind w:left="4691" w:hanging="360"/>
      </w:pPr>
    </w:lvl>
    <w:lvl w:ilvl="7" w:tplc="04270019" w:tentative="1">
      <w:start w:val="1"/>
      <w:numFmt w:val="lowerLetter"/>
      <w:lvlText w:val="%8."/>
      <w:lvlJc w:val="left"/>
      <w:pPr>
        <w:ind w:left="5411" w:hanging="360"/>
      </w:pPr>
    </w:lvl>
    <w:lvl w:ilvl="8" w:tplc="0427001B" w:tentative="1">
      <w:start w:val="1"/>
      <w:numFmt w:val="lowerRoman"/>
      <w:lvlText w:val="%9."/>
      <w:lvlJc w:val="right"/>
      <w:pPr>
        <w:ind w:left="6131" w:hanging="180"/>
      </w:pPr>
    </w:lvl>
  </w:abstractNum>
  <w:num w:numId="1" w16cid:durableId="1367607301">
    <w:abstractNumId w:val="3"/>
  </w:num>
  <w:num w:numId="2" w16cid:durableId="553124416">
    <w:abstractNumId w:val="2"/>
  </w:num>
  <w:num w:numId="3" w16cid:durableId="79691792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6438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C1A"/>
    <w:rsid w:val="00001B53"/>
    <w:rsid w:val="000259AF"/>
    <w:rsid w:val="00037DB9"/>
    <w:rsid w:val="00056A3C"/>
    <w:rsid w:val="00073BB5"/>
    <w:rsid w:val="00086505"/>
    <w:rsid w:val="000B3392"/>
    <w:rsid w:val="000B351B"/>
    <w:rsid w:val="000F7C62"/>
    <w:rsid w:val="00106C1A"/>
    <w:rsid w:val="001106A7"/>
    <w:rsid w:val="0011246A"/>
    <w:rsid w:val="00115DB8"/>
    <w:rsid w:val="001162BD"/>
    <w:rsid w:val="00133D0D"/>
    <w:rsid w:val="00143BF0"/>
    <w:rsid w:val="00165908"/>
    <w:rsid w:val="00175400"/>
    <w:rsid w:val="001C08E6"/>
    <w:rsid w:val="001C6372"/>
    <w:rsid w:val="001D5F50"/>
    <w:rsid w:val="001D6344"/>
    <w:rsid w:val="001E534C"/>
    <w:rsid w:val="0022557E"/>
    <w:rsid w:val="00237C25"/>
    <w:rsid w:val="00246D47"/>
    <w:rsid w:val="002555ED"/>
    <w:rsid w:val="00257FF3"/>
    <w:rsid w:val="00290AF1"/>
    <w:rsid w:val="002971FB"/>
    <w:rsid w:val="002C48B4"/>
    <w:rsid w:val="002F4D7D"/>
    <w:rsid w:val="002F5DA5"/>
    <w:rsid w:val="00362D06"/>
    <w:rsid w:val="00366923"/>
    <w:rsid w:val="003754F8"/>
    <w:rsid w:val="00385EDD"/>
    <w:rsid w:val="003B5120"/>
    <w:rsid w:val="003F4376"/>
    <w:rsid w:val="00411DFE"/>
    <w:rsid w:val="0043254D"/>
    <w:rsid w:val="00442599"/>
    <w:rsid w:val="0046338C"/>
    <w:rsid w:val="004A186D"/>
    <w:rsid w:val="004E7205"/>
    <w:rsid w:val="004F7E27"/>
    <w:rsid w:val="00543979"/>
    <w:rsid w:val="00562DFC"/>
    <w:rsid w:val="00572592"/>
    <w:rsid w:val="00595E99"/>
    <w:rsid w:val="005A25EA"/>
    <w:rsid w:val="005A2D5E"/>
    <w:rsid w:val="005E16AE"/>
    <w:rsid w:val="005F6DE2"/>
    <w:rsid w:val="006302C2"/>
    <w:rsid w:val="00652175"/>
    <w:rsid w:val="0068396C"/>
    <w:rsid w:val="006A3117"/>
    <w:rsid w:val="006B6559"/>
    <w:rsid w:val="006D2055"/>
    <w:rsid w:val="006D3C03"/>
    <w:rsid w:val="006D646C"/>
    <w:rsid w:val="007116E8"/>
    <w:rsid w:val="00745B0B"/>
    <w:rsid w:val="00753F6A"/>
    <w:rsid w:val="00790AA7"/>
    <w:rsid w:val="007A5B6E"/>
    <w:rsid w:val="007D1EC2"/>
    <w:rsid w:val="007F1173"/>
    <w:rsid w:val="0081005B"/>
    <w:rsid w:val="008118E8"/>
    <w:rsid w:val="00833F6C"/>
    <w:rsid w:val="00855C33"/>
    <w:rsid w:val="00881351"/>
    <w:rsid w:val="008A6155"/>
    <w:rsid w:val="008A72EB"/>
    <w:rsid w:val="008F1050"/>
    <w:rsid w:val="008F3AC0"/>
    <w:rsid w:val="00903B11"/>
    <w:rsid w:val="00905BD2"/>
    <w:rsid w:val="009107F5"/>
    <w:rsid w:val="00934F2E"/>
    <w:rsid w:val="00971A71"/>
    <w:rsid w:val="009858AA"/>
    <w:rsid w:val="009B7C34"/>
    <w:rsid w:val="009C20CF"/>
    <w:rsid w:val="009C747E"/>
    <w:rsid w:val="009F2873"/>
    <w:rsid w:val="00A03BC5"/>
    <w:rsid w:val="00A05ED7"/>
    <w:rsid w:val="00A44DD3"/>
    <w:rsid w:val="00A613B0"/>
    <w:rsid w:val="00A70E7B"/>
    <w:rsid w:val="00A83132"/>
    <w:rsid w:val="00AA2407"/>
    <w:rsid w:val="00AA69DA"/>
    <w:rsid w:val="00AC1955"/>
    <w:rsid w:val="00AD6D06"/>
    <w:rsid w:val="00B20F8C"/>
    <w:rsid w:val="00B3508F"/>
    <w:rsid w:val="00B35CF1"/>
    <w:rsid w:val="00B52CEB"/>
    <w:rsid w:val="00B72EC6"/>
    <w:rsid w:val="00BB2F14"/>
    <w:rsid w:val="00BB7986"/>
    <w:rsid w:val="00BC1D82"/>
    <w:rsid w:val="00BC2B23"/>
    <w:rsid w:val="00BE0A93"/>
    <w:rsid w:val="00C07FBA"/>
    <w:rsid w:val="00C11182"/>
    <w:rsid w:val="00C146AC"/>
    <w:rsid w:val="00C930F8"/>
    <w:rsid w:val="00CA16DB"/>
    <w:rsid w:val="00CC204A"/>
    <w:rsid w:val="00D211C3"/>
    <w:rsid w:val="00D435D0"/>
    <w:rsid w:val="00D65FAE"/>
    <w:rsid w:val="00D9795E"/>
    <w:rsid w:val="00DA6370"/>
    <w:rsid w:val="00DC303A"/>
    <w:rsid w:val="00DD2FE4"/>
    <w:rsid w:val="00DF51B1"/>
    <w:rsid w:val="00E83B95"/>
    <w:rsid w:val="00E96F35"/>
    <w:rsid w:val="00EA3C40"/>
    <w:rsid w:val="00EA564C"/>
    <w:rsid w:val="00EB24CF"/>
    <w:rsid w:val="00EC0673"/>
    <w:rsid w:val="00ED4FEB"/>
    <w:rsid w:val="00EF304B"/>
    <w:rsid w:val="00F229C1"/>
    <w:rsid w:val="00F455C2"/>
    <w:rsid w:val="00F51406"/>
    <w:rsid w:val="00F5327D"/>
    <w:rsid w:val="00F82F82"/>
    <w:rsid w:val="00FB698A"/>
    <w:rsid w:val="00FC6C78"/>
    <w:rsid w:val="00FD3C26"/>
    <w:rsid w:val="00FF0B02"/>
    <w:rsid w:val="00FF159D"/>
    <w:rsid w:val="00FF60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ABBB"/>
  <w15:chartTrackingRefBased/>
  <w15:docId w15:val="{DBE3E183-BF3F-4C4E-B39D-3A71D342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06C1A"/>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06C1A"/>
    <w:pPr>
      <w:tabs>
        <w:tab w:val="center" w:pos="4819"/>
        <w:tab w:val="right" w:pos="9638"/>
      </w:tabs>
      <w:suppressAutoHyphens w:val="0"/>
    </w:pPr>
    <w:rPr>
      <w:rFonts w:ascii="TimesLT" w:hAnsi="TimesLT"/>
      <w:szCs w:val="20"/>
      <w:lang w:eastAsia="lt-LT"/>
    </w:rPr>
  </w:style>
  <w:style w:type="character" w:customStyle="1" w:styleId="AntratsDiagrama">
    <w:name w:val="Antraštės Diagrama"/>
    <w:basedOn w:val="Numatytasispastraiposriftas"/>
    <w:link w:val="Antrats"/>
    <w:uiPriority w:val="99"/>
    <w:rsid w:val="00106C1A"/>
    <w:rPr>
      <w:rFonts w:ascii="TimesLT" w:eastAsia="Times New Roman" w:hAnsi="TimesLT" w:cs="Times New Roman"/>
      <w:sz w:val="24"/>
      <w:szCs w:val="20"/>
      <w:lang w:eastAsia="lt-LT"/>
    </w:rPr>
  </w:style>
  <w:style w:type="paragraph" w:styleId="Betarp">
    <w:name w:val="No Spacing"/>
    <w:uiPriority w:val="1"/>
    <w:qFormat/>
    <w:rsid w:val="00106C1A"/>
    <w:pPr>
      <w:spacing w:after="0" w:line="240" w:lineRule="auto"/>
    </w:pPr>
    <w:rPr>
      <w:rFonts w:ascii="Calibri" w:eastAsia="Calibri" w:hAnsi="Calibri" w:cs="Times New Roman"/>
    </w:rPr>
  </w:style>
  <w:style w:type="paragraph" w:styleId="Sraopastraipa">
    <w:name w:val="List Paragraph"/>
    <w:basedOn w:val="prastasis"/>
    <w:uiPriority w:val="34"/>
    <w:qFormat/>
    <w:rsid w:val="00106C1A"/>
    <w:pPr>
      <w:ind w:left="720"/>
      <w:contextualSpacing/>
    </w:pPr>
  </w:style>
  <w:style w:type="paragraph" w:customStyle="1" w:styleId="Default">
    <w:name w:val="Default"/>
    <w:basedOn w:val="prastasis"/>
    <w:rsid w:val="00934F2E"/>
    <w:pPr>
      <w:suppressAutoHyphens w:val="0"/>
      <w:autoSpaceDE w:val="0"/>
      <w:autoSpaceDN w:val="0"/>
    </w:pPr>
    <w:rPr>
      <w:rFonts w:eastAsia="Calibri"/>
      <w:color w:val="000000"/>
      <w:lang w:eastAsia="en-US"/>
    </w:rPr>
  </w:style>
  <w:style w:type="table" w:styleId="Lentelstinklelis">
    <w:name w:val="Table Grid"/>
    <w:basedOn w:val="prastojilentel"/>
    <w:rsid w:val="00934F2E"/>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037DB9"/>
    <w:pPr>
      <w:tabs>
        <w:tab w:val="center" w:pos="4819"/>
        <w:tab w:val="right" w:pos="9638"/>
      </w:tabs>
    </w:pPr>
  </w:style>
  <w:style w:type="character" w:customStyle="1" w:styleId="PoratDiagrama">
    <w:name w:val="Poraštė Diagrama"/>
    <w:basedOn w:val="Numatytasispastraiposriftas"/>
    <w:link w:val="Porat"/>
    <w:uiPriority w:val="99"/>
    <w:rsid w:val="00037DB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13792</Words>
  <Characters>7862</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Šukienė</dc:creator>
  <cp:keywords/>
  <dc:description/>
  <cp:lastModifiedBy>Laima Jauniškienė</cp:lastModifiedBy>
  <cp:revision>2</cp:revision>
  <dcterms:created xsi:type="dcterms:W3CDTF">2022-05-18T08:58:00Z</dcterms:created>
  <dcterms:modified xsi:type="dcterms:W3CDTF">2022-05-18T08:58:00Z</dcterms:modified>
</cp:coreProperties>
</file>