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1B8BC" w14:textId="3C66DDD5" w:rsidR="00E73BB4" w:rsidRPr="00935D57" w:rsidRDefault="00E73BB4" w:rsidP="00E73BB4">
      <w:pPr>
        <w:jc w:val="right"/>
        <w:rPr>
          <w:b/>
          <w:bCs/>
        </w:rPr>
      </w:pPr>
      <w:r w:rsidRPr="00935D57">
        <w:rPr>
          <w:b/>
          <w:bCs/>
        </w:rPr>
        <w:t>Projektas</w:t>
      </w:r>
    </w:p>
    <w:p w14:paraId="15A98F58" w14:textId="77777777" w:rsidR="00F82759" w:rsidRPr="00935D57" w:rsidRDefault="00F82759" w:rsidP="00E73BB4">
      <w:pPr>
        <w:jc w:val="right"/>
      </w:pPr>
    </w:p>
    <w:p w14:paraId="68290446" w14:textId="77777777" w:rsidR="00E73BB4" w:rsidRDefault="00E73BB4" w:rsidP="00E73BB4">
      <w:pPr>
        <w:jc w:val="center"/>
      </w:pPr>
    </w:p>
    <w:p w14:paraId="0895D490" w14:textId="77777777" w:rsidR="00E73BB4" w:rsidRDefault="00E73BB4" w:rsidP="00E73BB4">
      <w:pPr>
        <w:jc w:val="center"/>
        <w:rPr>
          <w:b/>
        </w:rPr>
      </w:pPr>
      <w:r>
        <w:rPr>
          <w:b/>
        </w:rPr>
        <w:t>LAZDIJŲ RAJONO SAVIVALDYBĖS TARYBA</w:t>
      </w:r>
    </w:p>
    <w:p w14:paraId="770857B3" w14:textId="77777777" w:rsidR="00E73BB4" w:rsidRDefault="00E73BB4" w:rsidP="00E73BB4">
      <w:pPr>
        <w:rPr>
          <w:b/>
        </w:rPr>
      </w:pPr>
    </w:p>
    <w:p w14:paraId="1619617F" w14:textId="77777777" w:rsidR="00E73BB4" w:rsidRDefault="00E73BB4" w:rsidP="00E73BB4">
      <w:pPr>
        <w:jc w:val="center"/>
        <w:rPr>
          <w:b/>
        </w:rPr>
      </w:pPr>
      <w:r>
        <w:rPr>
          <w:b/>
        </w:rPr>
        <w:t>SPRENDIMAS</w:t>
      </w:r>
    </w:p>
    <w:p w14:paraId="66BDF52A" w14:textId="69C88C85" w:rsidR="00E73BB4" w:rsidRDefault="00E73BB4" w:rsidP="00E73BB4">
      <w:pPr>
        <w:jc w:val="center"/>
        <w:rPr>
          <w:b/>
        </w:rPr>
      </w:pPr>
      <w:r>
        <w:rPr>
          <w:b/>
        </w:rPr>
        <w:t>DĖL VIEŠOSIOS ĮSTAIGOS „LAZ</w:t>
      </w:r>
      <w:r w:rsidR="00B0182F">
        <w:rPr>
          <w:b/>
        </w:rPr>
        <w:t>DIJŲ SAVIVALDYBĖS PIRMINĖS SVEIKATOS PRIEŽIŪROS CENTRAS</w:t>
      </w:r>
      <w:r>
        <w:rPr>
          <w:b/>
        </w:rPr>
        <w:t>“ DIREKTORIAUS MĖNESIN</w:t>
      </w:r>
      <w:r w:rsidR="003C17CC">
        <w:rPr>
          <w:b/>
        </w:rPr>
        <w:t>IO DARBO UŽMOKESČIO</w:t>
      </w:r>
      <w:r>
        <w:rPr>
          <w:b/>
        </w:rPr>
        <w:t xml:space="preserve">  KINTAMOSIOS DALIES DYDŽIO NUSTATYMO</w:t>
      </w:r>
    </w:p>
    <w:p w14:paraId="207336A9" w14:textId="77777777" w:rsidR="00E73BB4" w:rsidRDefault="00E73BB4" w:rsidP="00E73BB4">
      <w:pPr>
        <w:jc w:val="center"/>
        <w:rPr>
          <w:b/>
        </w:rPr>
      </w:pPr>
    </w:p>
    <w:p w14:paraId="7F04A22B" w14:textId="56100FA9" w:rsidR="00E73BB4" w:rsidRDefault="00E73BB4" w:rsidP="00E73BB4">
      <w:pPr>
        <w:jc w:val="center"/>
        <w:rPr>
          <w:noProof/>
        </w:rPr>
      </w:pPr>
      <w:r>
        <w:rPr>
          <w:noProof/>
        </w:rPr>
        <w:t>20</w:t>
      </w:r>
      <w:r w:rsidR="00B0182F">
        <w:rPr>
          <w:noProof/>
        </w:rPr>
        <w:t>21</w:t>
      </w:r>
      <w:r>
        <w:rPr>
          <w:noProof/>
        </w:rPr>
        <w:t xml:space="preserve"> m.</w:t>
      </w:r>
      <w:r w:rsidR="00B0182F">
        <w:rPr>
          <w:noProof/>
        </w:rPr>
        <w:t xml:space="preserve"> </w:t>
      </w:r>
      <w:r w:rsidR="00FD0EDE">
        <w:rPr>
          <w:noProof/>
        </w:rPr>
        <w:t>gegužės</w:t>
      </w:r>
      <w:r w:rsidR="00BA2E0D">
        <w:rPr>
          <w:noProof/>
        </w:rPr>
        <w:t xml:space="preserve"> 20 </w:t>
      </w:r>
      <w:r>
        <w:rPr>
          <w:noProof/>
        </w:rPr>
        <w:t xml:space="preserve">d. Nr. </w:t>
      </w:r>
      <w:r w:rsidR="00BA2E0D">
        <w:rPr>
          <w:noProof/>
        </w:rPr>
        <w:t>34-804</w:t>
      </w:r>
    </w:p>
    <w:p w14:paraId="6FCE5556" w14:textId="12B2A3D5" w:rsidR="00E73BB4" w:rsidRDefault="00E73BB4" w:rsidP="00E73BB4">
      <w:pPr>
        <w:jc w:val="center"/>
        <w:rPr>
          <w:noProof/>
        </w:rPr>
      </w:pPr>
      <w:r>
        <w:rPr>
          <w:noProof/>
        </w:rPr>
        <w:t>Lazdijai</w:t>
      </w:r>
    </w:p>
    <w:p w14:paraId="6A43E117" w14:textId="77777777" w:rsidR="00FD0EDE" w:rsidRDefault="00FD0EDE" w:rsidP="00E73BB4">
      <w:pPr>
        <w:jc w:val="center"/>
        <w:rPr>
          <w:noProof/>
        </w:rPr>
      </w:pPr>
    </w:p>
    <w:p w14:paraId="2382E88C" w14:textId="55B7B3E4" w:rsidR="000B346B" w:rsidRPr="00CC45EA" w:rsidRDefault="00380347" w:rsidP="000B346B">
      <w:pPr>
        <w:suppressAutoHyphens w:val="0"/>
        <w:spacing w:line="360" w:lineRule="auto"/>
        <w:ind w:firstLine="709"/>
        <w:jc w:val="both"/>
        <w:rPr>
          <w:rFonts w:asciiTheme="majorBidi" w:hAnsiTheme="majorBidi" w:cstheme="majorBidi"/>
          <w:color w:val="000000" w:themeColor="text1"/>
        </w:rPr>
      </w:pPr>
      <w:r w:rsidRPr="00CC45EA">
        <w:rPr>
          <w:rFonts w:asciiTheme="majorBidi" w:hAnsiTheme="majorBidi" w:cstheme="majorBidi"/>
          <w:color w:val="000000" w:themeColor="text1"/>
          <w:lang w:eastAsia="en-US"/>
        </w:rPr>
        <w:t>Vadovaudamasi Lietuvos Respublikos vietos savivaldos įstatymo 16 straipsnio 4 dalimi, Lietuvos Respublikos sveikatos priežiūros įstaigų įstatymo 15</w:t>
      </w:r>
      <w:r w:rsidRPr="00CC45EA">
        <w:rPr>
          <w:rFonts w:asciiTheme="majorBidi" w:hAnsiTheme="majorBidi" w:cstheme="majorBidi"/>
          <w:color w:val="000000" w:themeColor="text1"/>
          <w:vertAlign w:val="superscript"/>
          <w:lang w:eastAsia="en-US"/>
        </w:rPr>
        <w:t>1</w:t>
      </w:r>
      <w:r w:rsidRPr="00CC45EA">
        <w:rPr>
          <w:rFonts w:asciiTheme="majorBidi" w:hAnsiTheme="majorBidi" w:cstheme="majorBidi"/>
          <w:color w:val="000000" w:themeColor="text1"/>
          <w:lang w:eastAsia="en-US"/>
        </w:rPr>
        <w:t xml:space="preserve"> straipsni</w:t>
      </w:r>
      <w:r w:rsidR="00217FC5">
        <w:rPr>
          <w:rFonts w:asciiTheme="majorBidi" w:hAnsiTheme="majorBidi" w:cstheme="majorBidi"/>
          <w:color w:val="000000" w:themeColor="text1"/>
          <w:lang w:eastAsia="en-US"/>
        </w:rPr>
        <w:t>o 1, 10 ir 11 punktais</w:t>
      </w:r>
      <w:r w:rsidRPr="00CC45EA">
        <w:rPr>
          <w:rFonts w:asciiTheme="majorBidi" w:hAnsiTheme="majorBidi" w:cstheme="majorBidi"/>
          <w:color w:val="000000" w:themeColor="text1"/>
          <w:lang w:eastAsia="en-US"/>
        </w:rPr>
        <w:t>, Lietuvos nacionalinės sveikatos sistemos viešųjų įstaigų vadovų ir jų pavaduotojų mėnesinio darbo užmokesčio kintamosios dalies dydžio nustatymo tvarkos aprašo, patvirtinto Lietuvos Respublikos sveikatos apsaugos ministro 2019 m. kovo 25 d. įsakymu Nr. V-361 „Dėl Lietuvos nacionalinės sveikatos sistemos viešųjų įstaigų vadovų ir jų pavaduotojų mėnesinio darbo užmokesčio kintamosios dalies dydžio nustatymo tvarkos aprašo patvirtinimo“, 4 ir 6 punktais, atsižvelgdama į Lietuvos nacionalinės sveikatos sistemos viešųjų ir biudžetinių įstaigų, teikiančių asmens sveikatos priežiūros paslaugas, veiklos rezultatų vertinimo rodiklių 2020 metų siektinas reikšmes, patvirtintas Lietuvos Respublikos sveikatos apsaugos ministro 2020 m. rugpjūčio 18 d. įsakymu Nr. V-1865 „Dėl Lietuvos nacionalinės sveikatos sistemos viešųjų ir biudžetinių įstaigų, teikiančių asmens sveikatos priežiūros paslaugas, veiklos rezultatų vertinimo rodiklių 2020 metų siektinų reikšmių patvirtinimo“,</w:t>
      </w:r>
      <w:r w:rsidR="00E73BB4" w:rsidRPr="00CC45EA">
        <w:rPr>
          <w:rFonts w:asciiTheme="majorBidi" w:hAnsiTheme="majorBidi" w:cstheme="majorBidi"/>
          <w:color w:val="000000" w:themeColor="text1"/>
        </w:rPr>
        <w:t xml:space="preserve"> </w:t>
      </w:r>
      <w:r w:rsidR="00E73BB4" w:rsidRPr="00CC45EA">
        <w:rPr>
          <w:rFonts w:asciiTheme="majorBidi" w:hAnsiTheme="majorBidi" w:cstheme="majorBidi"/>
          <w:bCs/>
          <w:color w:val="000000" w:themeColor="text1"/>
        </w:rPr>
        <w:t>Lazdijų rajono savivaldybės</w:t>
      </w:r>
      <w:r w:rsidR="00E73BB4" w:rsidRPr="00CC45EA">
        <w:rPr>
          <w:rFonts w:asciiTheme="majorBidi" w:hAnsiTheme="majorBidi" w:cstheme="majorBidi"/>
          <w:color w:val="000000" w:themeColor="text1"/>
        </w:rPr>
        <w:t xml:space="preserve"> taryba  n u s p r e n d ž i a:</w:t>
      </w:r>
    </w:p>
    <w:p w14:paraId="20E4982F" w14:textId="4786C802" w:rsidR="000B346B" w:rsidRPr="000B346B" w:rsidRDefault="00E73BB4" w:rsidP="000B346B">
      <w:pPr>
        <w:suppressAutoHyphens w:val="0"/>
        <w:spacing w:line="360" w:lineRule="auto"/>
        <w:ind w:firstLine="709"/>
        <w:jc w:val="both"/>
        <w:rPr>
          <w:rFonts w:asciiTheme="majorBidi" w:hAnsiTheme="majorBidi" w:cstheme="majorBidi"/>
          <w:color w:val="000000"/>
          <w:lang w:eastAsia="en-US"/>
        </w:rPr>
      </w:pPr>
      <w:r w:rsidRPr="005632A8">
        <w:rPr>
          <w:rFonts w:asciiTheme="majorBidi" w:hAnsiTheme="majorBidi" w:cstheme="majorBidi"/>
        </w:rPr>
        <w:t xml:space="preserve">1. Nustatyti </w:t>
      </w:r>
      <w:r w:rsidR="00217FC5">
        <w:t xml:space="preserve">iki 2022 m. balandžio 30 d. </w:t>
      </w:r>
      <w:r w:rsidRPr="005632A8">
        <w:rPr>
          <w:rFonts w:asciiTheme="majorBidi" w:hAnsiTheme="majorBidi" w:cstheme="majorBidi"/>
        </w:rPr>
        <w:t>viešosios įstaigos „</w:t>
      </w:r>
      <w:r w:rsidR="00D04163">
        <w:rPr>
          <w:rFonts w:asciiTheme="majorBidi" w:hAnsiTheme="majorBidi" w:cstheme="majorBidi"/>
        </w:rPr>
        <w:t>Lazdijų savivaldybės pirminės sveikatos priežiūros centras</w:t>
      </w:r>
      <w:r w:rsidRPr="005632A8">
        <w:rPr>
          <w:rFonts w:asciiTheme="majorBidi" w:hAnsiTheme="majorBidi" w:cstheme="majorBidi"/>
        </w:rPr>
        <w:t>“ direktor</w:t>
      </w:r>
      <w:r w:rsidR="00D04163">
        <w:rPr>
          <w:rFonts w:asciiTheme="majorBidi" w:hAnsiTheme="majorBidi" w:cstheme="majorBidi"/>
        </w:rPr>
        <w:t>ei</w:t>
      </w:r>
      <w:r w:rsidRPr="005632A8">
        <w:rPr>
          <w:rFonts w:asciiTheme="majorBidi" w:hAnsiTheme="majorBidi" w:cstheme="majorBidi"/>
        </w:rPr>
        <w:t xml:space="preserve"> </w:t>
      </w:r>
      <w:r w:rsidR="00D04163">
        <w:rPr>
          <w:rFonts w:asciiTheme="majorBidi" w:hAnsiTheme="majorBidi" w:cstheme="majorBidi"/>
        </w:rPr>
        <w:t xml:space="preserve">Aušrai Dainauskienei </w:t>
      </w:r>
      <w:r w:rsidR="00CA3FDE">
        <w:rPr>
          <w:rFonts w:asciiTheme="majorBidi" w:hAnsiTheme="majorBidi" w:cstheme="majorBidi"/>
        </w:rPr>
        <w:t>15</w:t>
      </w:r>
      <w:r w:rsidRPr="005632A8">
        <w:rPr>
          <w:rFonts w:asciiTheme="majorBidi" w:hAnsiTheme="majorBidi" w:cstheme="majorBidi"/>
        </w:rPr>
        <w:t xml:space="preserve"> procentų</w:t>
      </w:r>
      <w:r>
        <w:t xml:space="preserve"> </w:t>
      </w:r>
      <w:r w:rsidR="00217FC5" w:rsidRPr="00217FC5">
        <w:t xml:space="preserve">mėnesinio darbo užmokesčio </w:t>
      </w:r>
      <w:r>
        <w:t>kintamosios dalies dydį.</w:t>
      </w:r>
    </w:p>
    <w:p w14:paraId="0E99018A" w14:textId="77777777" w:rsidR="000B346B" w:rsidRDefault="00E73BB4" w:rsidP="000B346B">
      <w:pPr>
        <w:pStyle w:val="Sraopastraipa"/>
        <w:spacing w:line="360" w:lineRule="auto"/>
        <w:ind w:left="0" w:firstLine="709"/>
        <w:jc w:val="both"/>
      </w:pPr>
      <w:r>
        <w:t>2. Nurodyti, kad:</w:t>
      </w:r>
    </w:p>
    <w:p w14:paraId="76BA4B66" w14:textId="6ED8D022" w:rsidR="00E73BB4" w:rsidRDefault="00E73BB4" w:rsidP="000B346B">
      <w:pPr>
        <w:pStyle w:val="Sraopastraipa"/>
        <w:spacing w:line="360" w:lineRule="auto"/>
        <w:ind w:left="0" w:firstLine="709"/>
        <w:jc w:val="both"/>
      </w:pPr>
      <w:r>
        <w:t>2.1. šio sprendimo 1 punkt</w:t>
      </w:r>
      <w:r w:rsidR="003648CE">
        <w:t>e</w:t>
      </w:r>
      <w:r w:rsidR="00217FC5">
        <w:t xml:space="preserve"> nurodytas </w:t>
      </w:r>
      <w:r w:rsidR="00217FC5" w:rsidRPr="00217FC5">
        <w:t>mėnesinio darbo užmokesčio kintamosios dalies dyd</w:t>
      </w:r>
      <w:r w:rsidR="00217FC5">
        <w:t xml:space="preserve">is taikomas </w:t>
      </w:r>
      <w:r>
        <w:t>nuo 20</w:t>
      </w:r>
      <w:r w:rsidR="00D04163">
        <w:t>21</w:t>
      </w:r>
      <w:r>
        <w:t xml:space="preserve"> m. gegužės 1 d.;</w:t>
      </w:r>
    </w:p>
    <w:p w14:paraId="63EB90A6" w14:textId="0CFBDDFC" w:rsidR="00E73BB4" w:rsidRDefault="00E73BB4" w:rsidP="00E73BB4">
      <w:pPr>
        <w:spacing w:line="360" w:lineRule="auto"/>
        <w:jc w:val="both"/>
      </w:pPr>
      <w:r>
        <w:t xml:space="preserve">         </w:t>
      </w:r>
      <w:r w:rsidR="00217FC5">
        <w:t xml:space="preserve">   </w:t>
      </w:r>
      <w:r>
        <w:t xml:space="preserve">2.2. </w:t>
      </w:r>
      <w:r>
        <w:rPr>
          <w:color w:val="000000"/>
        </w:rPr>
        <w:t>šis sprendimas gali būti skundžiamas Lietuvos Respublikos administracinių bylų teisenos įstatymo nustatyta tvarka ir terminais.</w:t>
      </w:r>
    </w:p>
    <w:p w14:paraId="5F6A7651" w14:textId="77777777" w:rsidR="00E73BB4" w:rsidRDefault="00E73BB4" w:rsidP="00E73BB4">
      <w:pPr>
        <w:rPr>
          <w:sz w:val="26"/>
          <w:szCs w:val="26"/>
        </w:rPr>
      </w:pPr>
    </w:p>
    <w:p w14:paraId="1249F57E" w14:textId="773070EF" w:rsidR="00E73BB4" w:rsidRDefault="00E73BB4" w:rsidP="00E73BB4">
      <w:pPr>
        <w:tabs>
          <w:tab w:val="right" w:pos="9638"/>
        </w:tabs>
      </w:pPr>
      <w:r>
        <w:t>Savivaldybės mer</w:t>
      </w:r>
      <w:r w:rsidR="006238D4">
        <w:t>ė</w:t>
      </w:r>
      <w:r w:rsidR="00206082">
        <w:t xml:space="preserve">                                                                                                         </w:t>
      </w:r>
      <w:proofErr w:type="spellStart"/>
      <w:r w:rsidR="00206082">
        <w:t>Ausma</w:t>
      </w:r>
      <w:proofErr w:type="spellEnd"/>
      <w:r w:rsidR="00206082">
        <w:t xml:space="preserve"> Miškinienė</w:t>
      </w:r>
    </w:p>
    <w:p w14:paraId="403F205D" w14:textId="77777777" w:rsidR="00E73BB4" w:rsidRDefault="00E73BB4" w:rsidP="00E73BB4">
      <w:pPr>
        <w:rPr>
          <w:sz w:val="28"/>
          <w:szCs w:val="28"/>
        </w:rPr>
      </w:pPr>
    </w:p>
    <w:p w14:paraId="57E367F2" w14:textId="35394961" w:rsidR="00E73BB4" w:rsidRDefault="00E73BB4" w:rsidP="00E73BB4"/>
    <w:p w14:paraId="71C0E454" w14:textId="77777777" w:rsidR="00206082" w:rsidRDefault="00206082" w:rsidP="00E73BB4"/>
    <w:p w14:paraId="79D4BB48" w14:textId="30A5626D" w:rsidR="00616E34" w:rsidRDefault="00E73BB4" w:rsidP="00B14336">
      <w:pPr>
        <w:autoSpaceDE w:val="0"/>
        <w:spacing w:line="200" w:lineRule="atLeast"/>
      </w:pPr>
      <w:r>
        <w:t>Lina Džiaukštienė</w:t>
      </w:r>
      <w:r w:rsidR="00CC45EA">
        <w:t>,</w:t>
      </w:r>
      <w:r w:rsidR="00206082">
        <w:t xml:space="preserve"> </w:t>
      </w:r>
      <w:r w:rsidR="00935D57">
        <w:t>mob</w:t>
      </w:r>
      <w:r w:rsidR="00206082">
        <w:t>. 8 610 43</w:t>
      </w:r>
      <w:r w:rsidR="00B14336">
        <w:t> </w:t>
      </w:r>
      <w:r w:rsidR="00206082">
        <w:t>868</w:t>
      </w:r>
    </w:p>
    <w:p w14:paraId="0376E9E7" w14:textId="12B3192C" w:rsidR="00B14336" w:rsidRDefault="00B14336" w:rsidP="00B14336">
      <w:pPr>
        <w:autoSpaceDE w:val="0"/>
        <w:spacing w:line="200" w:lineRule="atLeast"/>
      </w:pPr>
    </w:p>
    <w:p w14:paraId="7BD96015" w14:textId="77777777" w:rsidR="00B14336" w:rsidRDefault="00B14336" w:rsidP="00B14336">
      <w:pPr>
        <w:autoSpaceDE w:val="0"/>
        <w:spacing w:line="200" w:lineRule="atLeast"/>
      </w:pPr>
    </w:p>
    <w:p w14:paraId="753E6B55" w14:textId="262A15C1" w:rsidR="00420FCD" w:rsidRDefault="00420FCD" w:rsidP="00441152">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t>LAZDIJŲ RAJONO SAVIVALDYBĖS TARYBOS SPRENDIMO „</w:t>
      </w:r>
      <w:r>
        <w:rPr>
          <w:b/>
          <w:szCs w:val="24"/>
        </w:rPr>
        <w:t xml:space="preserve">DĖL VIEŠOSIOS ĮSTAIGOS „LAZDIJŲ </w:t>
      </w:r>
      <w:r w:rsidR="00616E34">
        <w:rPr>
          <w:b/>
        </w:rPr>
        <w:t>SAVIVALDYBĖS PIRMINĖS SVEIKATOS PRIEŽIŪROS CENTRAS</w:t>
      </w:r>
      <w:r>
        <w:rPr>
          <w:b/>
          <w:noProof/>
          <w:szCs w:val="24"/>
        </w:rPr>
        <w:t xml:space="preserve">“ DIREKTORIAUS </w:t>
      </w:r>
      <w:r w:rsidR="00F340B3" w:rsidRPr="00F340B3">
        <w:rPr>
          <w:b/>
          <w:noProof/>
          <w:szCs w:val="24"/>
        </w:rPr>
        <w:t xml:space="preserve">MĖNESINIO DARBO UŽMOKESČIO  </w:t>
      </w:r>
      <w:r>
        <w:rPr>
          <w:b/>
          <w:noProof/>
          <w:szCs w:val="24"/>
        </w:rPr>
        <w:t>KINTAMOSIOS DALIES DYDŽIO NUSTATYMO</w:t>
      </w:r>
      <w:r>
        <w:rPr>
          <w:rFonts w:ascii="Times New Roman" w:hAnsi="Times New Roman"/>
          <w:b/>
          <w:bCs/>
          <w:noProof/>
          <w:color w:val="000000"/>
          <w:szCs w:val="24"/>
          <w:lang w:eastAsia="en-US"/>
        </w:rPr>
        <w:t>“</w:t>
      </w:r>
      <w:r>
        <w:rPr>
          <w:rFonts w:ascii="Times New Roman" w:hAnsi="Times New Roman"/>
          <w:b/>
          <w:bCs/>
          <w:color w:val="000000"/>
          <w:szCs w:val="24"/>
          <w:lang w:eastAsia="en-US"/>
        </w:rPr>
        <w:t xml:space="preserve"> PROJEKTO</w:t>
      </w:r>
    </w:p>
    <w:p w14:paraId="76A895A2" w14:textId="77777777" w:rsidR="00420FCD" w:rsidRDefault="00420FCD" w:rsidP="00441152">
      <w:pPr>
        <w:pStyle w:val="Antrats"/>
        <w:jc w:val="center"/>
        <w:rPr>
          <w:rFonts w:ascii="Times New Roman" w:hAnsi="Times New Roman"/>
          <w:b/>
          <w:bCs/>
          <w:color w:val="000000"/>
          <w:szCs w:val="24"/>
          <w:lang w:eastAsia="en-US"/>
        </w:rPr>
      </w:pPr>
      <w:r>
        <w:rPr>
          <w:rFonts w:ascii="Times New Roman" w:hAnsi="Times New Roman"/>
          <w:b/>
          <w:bCs/>
          <w:color w:val="000000"/>
          <w:szCs w:val="24"/>
          <w:lang w:eastAsia="en-US"/>
        </w:rPr>
        <w:t>AIŠKINAMASIS RAŠTAS</w:t>
      </w:r>
    </w:p>
    <w:p w14:paraId="3C816E80" w14:textId="77777777" w:rsidR="00420FCD" w:rsidRDefault="00420FCD" w:rsidP="00420FCD">
      <w:pPr>
        <w:pStyle w:val="Antrats"/>
        <w:spacing w:line="276" w:lineRule="auto"/>
        <w:jc w:val="center"/>
        <w:rPr>
          <w:rFonts w:ascii="Times New Roman" w:hAnsi="Times New Roman"/>
          <w:b/>
          <w:bCs/>
          <w:color w:val="000000"/>
          <w:szCs w:val="24"/>
          <w:lang w:eastAsia="en-US"/>
        </w:rPr>
      </w:pPr>
    </w:p>
    <w:p w14:paraId="4C78E7B6" w14:textId="77777777" w:rsidR="00420FCD" w:rsidRDefault="00420FCD" w:rsidP="00420FCD">
      <w:pPr>
        <w:pStyle w:val="Antrats"/>
        <w:spacing w:line="276" w:lineRule="auto"/>
        <w:jc w:val="center"/>
        <w:rPr>
          <w:rFonts w:ascii="Times New Roman" w:hAnsi="Times New Roman"/>
          <w:bCs/>
          <w:color w:val="000000"/>
          <w:szCs w:val="24"/>
          <w:lang w:eastAsia="en-US"/>
        </w:rPr>
      </w:pPr>
      <w:r>
        <w:rPr>
          <w:rFonts w:ascii="Times New Roman" w:hAnsi="Times New Roman"/>
          <w:bCs/>
          <w:color w:val="000000"/>
          <w:szCs w:val="24"/>
          <w:lang w:eastAsia="en-US"/>
        </w:rPr>
        <w:t>2021-05-17</w:t>
      </w:r>
    </w:p>
    <w:p w14:paraId="555E0855" w14:textId="77777777" w:rsidR="00420FCD" w:rsidRDefault="00420FCD" w:rsidP="00420FCD">
      <w:pPr>
        <w:pStyle w:val="Antrats"/>
        <w:spacing w:line="276" w:lineRule="auto"/>
        <w:jc w:val="center"/>
        <w:rPr>
          <w:rFonts w:ascii="Times New Roman" w:hAnsi="Times New Roman"/>
          <w:bCs/>
          <w:color w:val="000000"/>
          <w:szCs w:val="24"/>
          <w:lang w:eastAsia="en-US"/>
        </w:rPr>
      </w:pPr>
    </w:p>
    <w:p w14:paraId="13728F35" w14:textId="329F58FF" w:rsidR="00420FCD" w:rsidRDefault="00420FCD" w:rsidP="00590E0A">
      <w:pPr>
        <w:pStyle w:val="Antrats"/>
        <w:spacing w:line="360" w:lineRule="auto"/>
        <w:ind w:firstLine="567"/>
        <w:jc w:val="both"/>
        <w:rPr>
          <w:rFonts w:ascii="Times New Roman" w:hAnsi="Times New Roman"/>
          <w:bCs/>
          <w:color w:val="000000"/>
          <w:szCs w:val="24"/>
          <w:lang w:eastAsia="en-US"/>
        </w:rPr>
      </w:pPr>
      <w:r>
        <w:rPr>
          <w:lang w:eastAsia="en-US"/>
        </w:rPr>
        <w:t xml:space="preserve">Tarybos sprendimo projektas parengtas vadovaujantis </w:t>
      </w:r>
      <w:r w:rsidRPr="003B104F">
        <w:rPr>
          <w:lang w:eastAsia="en-US"/>
        </w:rPr>
        <w:t>Lietuvos Respublikos vietos savivaldos įstatymo 16 straipsnio 4 dalimi,</w:t>
      </w:r>
      <w:r w:rsidRPr="003B104F">
        <w:rPr>
          <w:color w:val="404040"/>
          <w:lang w:eastAsia="en-US"/>
        </w:rPr>
        <w:t xml:space="preserve"> </w:t>
      </w:r>
      <w:r w:rsidRPr="003B104F">
        <w:rPr>
          <w:lang w:eastAsia="en-US"/>
        </w:rPr>
        <w:t>Lietuvos Respublikos sveikatos priežiūros įstaigų įstatymo 15</w:t>
      </w:r>
      <w:r w:rsidRPr="003B104F">
        <w:rPr>
          <w:vertAlign w:val="superscript"/>
          <w:lang w:eastAsia="en-US"/>
        </w:rPr>
        <w:t>1</w:t>
      </w:r>
      <w:r w:rsidRPr="003B104F">
        <w:rPr>
          <w:lang w:eastAsia="en-US"/>
        </w:rPr>
        <w:t xml:space="preserve"> straipsniu, </w:t>
      </w:r>
      <w:r w:rsidRPr="003B104F">
        <w:rPr>
          <w:rFonts w:cs="TimesLT"/>
          <w:lang w:eastAsia="en-US"/>
        </w:rPr>
        <w:t>Lietuvos nacionalinės sveikatos sistemos viešųjų įstaigų vadovų ir jų pavaduotojų mėnesinio darbo užmokesčio kintamosios dalies dydžio nustatymo tvarkos aprašo, patvirtinto Lietuvos Respublikos sveikatos apsaugos ministro</w:t>
      </w:r>
      <w:r w:rsidR="007242A1">
        <w:rPr>
          <w:rFonts w:cs="TimesLT"/>
          <w:lang w:eastAsia="en-US"/>
        </w:rPr>
        <w:t xml:space="preserve"> </w:t>
      </w:r>
      <w:r w:rsidRPr="003B104F">
        <w:rPr>
          <w:rFonts w:cs="TimesLT"/>
          <w:lang w:eastAsia="en-US"/>
        </w:rPr>
        <w:t>2019 m. kovo 25 d. įsakymu Nr. V-361 „Dėl Lietuvos nacionalinės sveikatos sistemos viešųjų įstaigų vadovų ir jų pavaduotojų mėnesinio darbo užmokesčio kintamosios dalies dydžio nustatymo tvarkos aprašo patvirtinimo</w:t>
      </w:r>
      <w:r w:rsidRPr="003B104F">
        <w:rPr>
          <w:rFonts w:cs="TimesLT"/>
          <w:color w:val="000000"/>
          <w:lang w:eastAsia="en-US"/>
        </w:rPr>
        <w:t>“</w:t>
      </w:r>
      <w:r w:rsidRPr="003B104F">
        <w:rPr>
          <w:rFonts w:cs="TimesLT"/>
          <w:lang w:eastAsia="en-US"/>
        </w:rPr>
        <w:t>, 4 ir 6 punktais</w:t>
      </w:r>
      <w:r w:rsidRPr="003B104F">
        <w:rPr>
          <w:color w:val="000000"/>
          <w:lang w:eastAsia="en-US"/>
        </w:rPr>
        <w:t xml:space="preserve">, </w:t>
      </w:r>
      <w:r w:rsidRPr="003B104F">
        <w:rPr>
          <w:rFonts w:cs="TimesLT"/>
          <w:lang w:eastAsia="en-US"/>
        </w:rPr>
        <w:t>atsižvelg</w:t>
      </w:r>
      <w:r w:rsidR="00935D57">
        <w:rPr>
          <w:rFonts w:cs="TimesLT"/>
          <w:lang w:eastAsia="en-US"/>
        </w:rPr>
        <w:t>iant</w:t>
      </w:r>
      <w:r w:rsidRPr="003B104F">
        <w:rPr>
          <w:rFonts w:cs="TimesLT"/>
          <w:lang w:eastAsia="en-US"/>
        </w:rPr>
        <w:t xml:space="preserve"> į </w:t>
      </w:r>
      <w:r w:rsidRPr="003B104F">
        <w:rPr>
          <w:rFonts w:cs="TimesLT"/>
          <w:color w:val="000000"/>
          <w:lang w:eastAsia="en-US"/>
        </w:rPr>
        <w:t xml:space="preserve">Lietuvos nacionalinės sveikatos sistemos viešųjų ir biudžetinių įstaigų, teikiančių asmens sveikatos priežiūros paslaugas, veiklos rezultatų vertinimo rodiklių 2020 metų siektinas reikšmes, patvirtintas </w:t>
      </w:r>
      <w:r w:rsidRPr="003B104F">
        <w:rPr>
          <w:rFonts w:cs="TimesLT"/>
          <w:lang w:eastAsia="en-US"/>
        </w:rPr>
        <w:t xml:space="preserve">Lietuvos Respublikos sveikatos apsaugos ministro 2020 m. rugpjūčio 18 d. įsakymu Nr. V-1865 „Dėl  </w:t>
      </w:r>
      <w:r w:rsidRPr="003B104F">
        <w:rPr>
          <w:rFonts w:cs="TimesLT"/>
          <w:color w:val="000000"/>
          <w:lang w:eastAsia="en-US"/>
        </w:rPr>
        <w:t>Lietuvos nacionalinės sveikatos sistemos viešųjų ir biudžetinių įstaigų, teikiančių asmens sveikatos priežiūros paslaugas, veiklos rezultatų vertinimo rodiklių 2020 metų siektinų reikšmių</w:t>
      </w:r>
      <w:r w:rsidRPr="003B104F">
        <w:rPr>
          <w:rFonts w:cs="TimesLT"/>
          <w:lang w:eastAsia="en-US"/>
        </w:rPr>
        <w:t xml:space="preserve"> patvirtinimo“</w:t>
      </w:r>
      <w:r>
        <w:rPr>
          <w:rFonts w:cs="TimesLT"/>
          <w:lang w:eastAsia="en-US"/>
        </w:rPr>
        <w:t>.</w:t>
      </w:r>
    </w:p>
    <w:p w14:paraId="2CEC8E11" w14:textId="77777777" w:rsidR="00420FCD" w:rsidRPr="003B104F" w:rsidRDefault="00420FCD" w:rsidP="00506049">
      <w:pPr>
        <w:tabs>
          <w:tab w:val="left" w:pos="142"/>
          <w:tab w:val="left" w:pos="993"/>
        </w:tabs>
        <w:suppressAutoHyphens w:val="0"/>
        <w:spacing w:line="360" w:lineRule="auto"/>
        <w:ind w:firstLine="567"/>
        <w:jc w:val="both"/>
        <w:rPr>
          <w:b/>
          <w:lang w:eastAsia="lt-LT"/>
        </w:rPr>
      </w:pPr>
      <w:r w:rsidRPr="003B104F">
        <w:rPr>
          <w:b/>
          <w:lang w:eastAsia="lt-LT"/>
        </w:rPr>
        <w:t xml:space="preserve">Parengto projekto tikslas </w:t>
      </w:r>
    </w:p>
    <w:p w14:paraId="0A12E34B" w14:textId="43DD7BF4" w:rsidR="00420FCD" w:rsidRDefault="00420FCD" w:rsidP="00506049">
      <w:pPr>
        <w:suppressAutoHyphens w:val="0"/>
        <w:spacing w:line="360" w:lineRule="auto"/>
        <w:ind w:firstLine="567"/>
        <w:jc w:val="both"/>
        <w:rPr>
          <w:rFonts w:eastAsia="Calibri"/>
          <w:color w:val="000000"/>
          <w:lang w:eastAsia="x-none"/>
        </w:rPr>
      </w:pPr>
      <w:r w:rsidRPr="003B104F">
        <w:rPr>
          <w:lang w:eastAsia="en-US"/>
        </w:rPr>
        <w:t xml:space="preserve">Nustatyti VšĮ </w:t>
      </w:r>
      <w:r w:rsidR="007242A1">
        <w:rPr>
          <w:lang w:eastAsia="en-US"/>
        </w:rPr>
        <w:t>„</w:t>
      </w:r>
      <w:r>
        <w:rPr>
          <w:lang w:eastAsia="en-US"/>
        </w:rPr>
        <w:t>Lazdijų</w:t>
      </w:r>
      <w:r w:rsidRPr="003B104F">
        <w:rPr>
          <w:lang w:eastAsia="en-US"/>
        </w:rPr>
        <w:t xml:space="preserve"> </w:t>
      </w:r>
      <w:r>
        <w:rPr>
          <w:lang w:eastAsia="en-US"/>
        </w:rPr>
        <w:t>savivaldybės</w:t>
      </w:r>
      <w:r w:rsidRPr="003B104F">
        <w:rPr>
          <w:lang w:eastAsia="en-US"/>
        </w:rPr>
        <w:t xml:space="preserve"> pirminės sveikatos priežiūros centr</w:t>
      </w:r>
      <w:r>
        <w:rPr>
          <w:lang w:eastAsia="en-US"/>
        </w:rPr>
        <w:t>as“</w:t>
      </w:r>
      <w:r w:rsidR="00F456F2">
        <w:rPr>
          <w:lang w:eastAsia="en-US"/>
        </w:rPr>
        <w:t xml:space="preserve"> </w:t>
      </w:r>
      <w:r w:rsidRPr="003B104F">
        <w:rPr>
          <w:rFonts w:eastAsia="Calibri"/>
          <w:color w:val="000000"/>
          <w:lang w:eastAsia="x-none"/>
        </w:rPr>
        <w:t>vadovui nuo 2021 m. gegužės 1 d. iki 2022 m. balandžio 30 d. mėnesinio darbo užmokesčio kintamosios dalies dydį</w:t>
      </w:r>
      <w:r w:rsidR="00F456F2">
        <w:rPr>
          <w:rFonts w:eastAsia="Calibri"/>
          <w:color w:val="000000"/>
          <w:lang w:eastAsia="x-none"/>
        </w:rPr>
        <w:t>.</w:t>
      </w:r>
    </w:p>
    <w:p w14:paraId="11A661CE" w14:textId="77777777" w:rsidR="00420FCD" w:rsidRDefault="00420FCD" w:rsidP="00506049">
      <w:pPr>
        <w:suppressAutoHyphens w:val="0"/>
        <w:spacing w:line="360" w:lineRule="auto"/>
        <w:ind w:firstLine="567"/>
        <w:jc w:val="both"/>
        <w:rPr>
          <w:rFonts w:eastAsia="Calibri"/>
          <w:color w:val="000000"/>
          <w:lang w:eastAsia="x-none"/>
        </w:rPr>
      </w:pPr>
      <w:r w:rsidRPr="003B104F">
        <w:rPr>
          <w:lang w:eastAsia="en-US"/>
        </w:rPr>
        <w:t xml:space="preserve">Sprendimo įgyvendinimo laikas nuo 2021-05-01 iki 2022-04-30. </w:t>
      </w:r>
    </w:p>
    <w:p w14:paraId="3702E019" w14:textId="1B59AAEB" w:rsidR="00420FCD" w:rsidRPr="003B104F" w:rsidRDefault="00420FCD" w:rsidP="00AE74AC">
      <w:pPr>
        <w:suppressAutoHyphens w:val="0"/>
        <w:spacing w:line="360" w:lineRule="auto"/>
        <w:ind w:firstLine="567"/>
        <w:jc w:val="both"/>
        <w:rPr>
          <w:rFonts w:eastAsia="Calibri"/>
          <w:color w:val="000000"/>
          <w:lang w:eastAsia="x-none"/>
        </w:rPr>
      </w:pPr>
      <w:r w:rsidRPr="00FE3B74">
        <w:rPr>
          <w:rFonts w:eastAsia="Calibri"/>
          <w:b/>
          <w:bCs/>
          <w:color w:val="000000"/>
          <w:lang w:eastAsia="x-none"/>
        </w:rPr>
        <w:t>T</w:t>
      </w:r>
      <w:r w:rsidRPr="003B104F">
        <w:rPr>
          <w:b/>
          <w:bCs/>
          <w:lang w:eastAsia="lt-LT"/>
        </w:rPr>
        <w:t>e</w:t>
      </w:r>
      <w:r w:rsidRPr="003B104F">
        <w:rPr>
          <w:b/>
          <w:lang w:eastAsia="lt-LT"/>
        </w:rPr>
        <w:t>isinis pagrindimas</w:t>
      </w:r>
      <w:r>
        <w:rPr>
          <w:rFonts w:eastAsia="Calibri"/>
          <w:color w:val="000000"/>
          <w:lang w:eastAsia="x-none"/>
        </w:rPr>
        <w:t xml:space="preserve"> </w:t>
      </w:r>
      <w:r w:rsidR="00935D57">
        <w:rPr>
          <w:rFonts w:eastAsia="Calibri"/>
          <w:color w:val="000000"/>
          <w:lang w:eastAsia="x-none"/>
        </w:rPr>
        <w:t>–</w:t>
      </w:r>
      <w:r>
        <w:rPr>
          <w:rFonts w:eastAsia="Calibri"/>
          <w:color w:val="000000"/>
          <w:lang w:eastAsia="x-none"/>
        </w:rPr>
        <w:t xml:space="preserve"> </w:t>
      </w:r>
      <w:r w:rsidRPr="003B104F">
        <w:rPr>
          <w:bCs/>
          <w:iCs/>
          <w:szCs w:val="20"/>
          <w:lang w:eastAsia="en-US"/>
        </w:rPr>
        <w:t>Lietuvos Respublikos sveikatos priežiūros įstaigų įstatymo (toliau – Įstatymas) 15</w:t>
      </w:r>
      <w:r w:rsidRPr="003B104F">
        <w:rPr>
          <w:bCs/>
          <w:iCs/>
          <w:szCs w:val="20"/>
          <w:vertAlign w:val="superscript"/>
          <w:lang w:eastAsia="en-US"/>
        </w:rPr>
        <w:t>1</w:t>
      </w:r>
      <w:r w:rsidRPr="003B104F">
        <w:rPr>
          <w:bCs/>
          <w:iCs/>
          <w:szCs w:val="20"/>
          <w:lang w:eastAsia="en-US"/>
        </w:rPr>
        <w:t xml:space="preserve"> straipsnio 1 dalyje sakoma, kad sveikatos priežiūros viešųjų įstaigų vadovų mėnesinis darbo užmokestis susideda iš pastoviosios ir kintamosios darbo užmokesčio dalių. Pastovusis mėnesinio darbo užmokesčio dydis nustatomas Įstatymo nustatyta tvarka. Šio Įstatymo 15</w:t>
      </w:r>
      <w:r w:rsidRPr="003B104F">
        <w:rPr>
          <w:bCs/>
          <w:iCs/>
          <w:szCs w:val="20"/>
          <w:vertAlign w:val="superscript"/>
          <w:lang w:eastAsia="en-US"/>
        </w:rPr>
        <w:t>1</w:t>
      </w:r>
      <w:r w:rsidRPr="003B104F">
        <w:rPr>
          <w:bCs/>
          <w:iCs/>
          <w:szCs w:val="20"/>
          <w:lang w:eastAsia="en-US"/>
        </w:rPr>
        <w:t xml:space="preserve"> straipsnio 10 dalis nurodo, kad mėnesinio darbo užmokesčio kintamosios dalies dydis priklauso nuo praėjusių kalendorinių metų įstaigos veiklos rezultatų ir nustatomas vieniems metams. Įstaigų veiklos rezultatų vertinimo kiekybinių ir kokybinių rodiklių ir vadovaujančių darbuotojų mėnesinio darbo užmokesčio kintamosios dalies nustatymo tvarkos aprašą tvirtina Lietuvos Respublikos sveikatos apsaugos ministras. Visais atvejais mėnesinio darbo užmokesčio kintamosios dalies dydis negali viršyti 20 procentų vadovaujančiajam darbuotojui nustatyto mėnesinio darbo užmokesčio pastoviosios dalies dydžio.</w:t>
      </w:r>
    </w:p>
    <w:p w14:paraId="045BE4C5" w14:textId="77777777" w:rsidR="00420FCD" w:rsidRPr="003B104F" w:rsidRDefault="00420FCD" w:rsidP="00F13213">
      <w:pPr>
        <w:suppressAutoHyphens w:val="0"/>
        <w:spacing w:line="360" w:lineRule="auto"/>
        <w:ind w:firstLine="567"/>
        <w:jc w:val="both"/>
        <w:rPr>
          <w:lang w:eastAsia="lt-LT"/>
        </w:rPr>
      </w:pPr>
      <w:r w:rsidRPr="003B104F">
        <w:rPr>
          <w:lang w:eastAsia="lt-LT"/>
        </w:rPr>
        <w:lastRenderedPageBreak/>
        <w:t xml:space="preserve">Vadovaujantis </w:t>
      </w:r>
      <w:r w:rsidRPr="003B104F">
        <w:rPr>
          <w:color w:val="000000"/>
          <w:lang w:eastAsia="lt-LT"/>
        </w:rPr>
        <w:t xml:space="preserve">Lietuvos nacionalinės sveikatos sistemos viešųjų įstaigų vadovų ir jų pavaduotojų mėnesinio darbo užmokesčio kintamosios dalies dydžio nustatymo tvarkos aprašu, </w:t>
      </w:r>
      <w:r w:rsidRPr="003B104F">
        <w:rPr>
          <w:lang w:eastAsia="lt-LT"/>
        </w:rPr>
        <w:t xml:space="preserve">patvirtintu Lietuvos Respublikos sveikatos apsaugos ministro 2019 m. kovo 25 d. įsakymu Nr. V-361 „Dėl </w:t>
      </w:r>
      <w:r w:rsidRPr="003B104F">
        <w:rPr>
          <w:color w:val="000000"/>
          <w:lang w:eastAsia="lt-LT"/>
        </w:rPr>
        <w:t>Lietuvos nacionalinės sveikatos sistemos viešųjų įstaigų vadovų ir jų pavaduotojų mėnesinio darbo užmokesčio kintamosios dalies dydžio nustatymo tvarkos aprašo patvirtinimo“</w:t>
      </w:r>
      <w:r w:rsidRPr="003B104F">
        <w:rPr>
          <w:lang w:eastAsia="lt-LT"/>
        </w:rPr>
        <w:t xml:space="preserve"> (toliau – Aprašas), sprendimas dėl VšĮ</w:t>
      </w:r>
      <w:r>
        <w:rPr>
          <w:lang w:eastAsia="lt-LT"/>
        </w:rPr>
        <w:t xml:space="preserve"> ,,Lazdijų savivaldybės </w:t>
      </w:r>
      <w:r w:rsidRPr="003B104F">
        <w:rPr>
          <w:lang w:eastAsia="lt-LT"/>
        </w:rPr>
        <w:t>pirminės sveikatos priežiūros centr</w:t>
      </w:r>
      <w:r>
        <w:rPr>
          <w:lang w:eastAsia="lt-LT"/>
        </w:rPr>
        <w:t>as“</w:t>
      </w:r>
      <w:r w:rsidRPr="003B104F">
        <w:rPr>
          <w:lang w:eastAsia="lt-LT"/>
        </w:rPr>
        <w:t xml:space="preserve"> vadovo </w:t>
      </w:r>
      <w:r w:rsidRPr="003B104F">
        <w:rPr>
          <w:color w:val="000000"/>
          <w:lang w:eastAsia="lt-LT"/>
        </w:rPr>
        <w:t xml:space="preserve">mėnesinio darbo užmokesčio </w:t>
      </w:r>
      <w:r w:rsidRPr="003B104F">
        <w:rPr>
          <w:lang w:eastAsia="lt-LT"/>
        </w:rPr>
        <w:t>kintamosios dalies turi būti priimamas įvertinant įstaigos praėjusių metų veiklos rezultatų vertinimo rodiklių siektinų reikšmių įgyvendinimą.</w:t>
      </w:r>
    </w:p>
    <w:p w14:paraId="3C16A9B6" w14:textId="5AE13A84" w:rsidR="00112AA3" w:rsidRPr="00112AA3" w:rsidRDefault="00420FCD" w:rsidP="00112AA3">
      <w:pPr>
        <w:suppressAutoHyphens w:val="0"/>
        <w:spacing w:line="360" w:lineRule="auto"/>
        <w:ind w:firstLine="567"/>
        <w:jc w:val="both"/>
        <w:rPr>
          <w:color w:val="000000"/>
          <w:lang w:eastAsia="lt-LT"/>
        </w:rPr>
      </w:pPr>
      <w:r w:rsidRPr="003B104F">
        <w:rPr>
          <w:lang w:eastAsia="lt-LT"/>
        </w:rPr>
        <w:t xml:space="preserve">Vadovaujantis anksčiau minėtu Aprašu, įvertinama, ar </w:t>
      </w:r>
      <w:r w:rsidR="00935D57" w:rsidRPr="003B104F">
        <w:rPr>
          <w:color w:val="000000"/>
          <w:lang w:eastAsia="lt-LT"/>
        </w:rPr>
        <w:t xml:space="preserve">Lietuvos nacionalinės sveikatos sistemos </w:t>
      </w:r>
      <w:r w:rsidR="00935D57">
        <w:rPr>
          <w:color w:val="000000"/>
          <w:lang w:eastAsia="lt-LT"/>
        </w:rPr>
        <w:t xml:space="preserve"> (toliau – </w:t>
      </w:r>
      <w:r w:rsidRPr="003B104F">
        <w:rPr>
          <w:lang w:eastAsia="lt-LT"/>
        </w:rPr>
        <w:t>LNSS</w:t>
      </w:r>
      <w:r w:rsidR="00935D57">
        <w:rPr>
          <w:lang w:eastAsia="lt-LT"/>
        </w:rPr>
        <w:t>)</w:t>
      </w:r>
      <w:r w:rsidRPr="003B104F">
        <w:rPr>
          <w:lang w:eastAsia="lt-LT"/>
        </w:rPr>
        <w:t xml:space="preserve"> viešoji įstaiga praėjusiais metais pasiekė Lietuvos Respublikos sveikatos apsaugos ministro įstaigų grupei, kuriai priklauso LNSS viešoji įstaiga, patvirtintas LNSS viešųjų ir biudžetinių įstaigų, teikiančių asmens sveikatos priežiūros paslaugas, veiklos rezultatų vertinimo rodiklių siektinas reikšmes (toliau – siektina reikšmė), ir nustatomas kiekvieno Įstatymo 15</w:t>
      </w:r>
      <w:r w:rsidRPr="003B104F">
        <w:rPr>
          <w:vertAlign w:val="superscript"/>
          <w:lang w:eastAsia="lt-LT"/>
        </w:rPr>
        <w:t>2</w:t>
      </w:r>
      <w:r w:rsidRPr="003B104F">
        <w:rPr>
          <w:lang w:eastAsia="lt-LT"/>
        </w:rPr>
        <w:t xml:space="preserve"> straipsnio 1 ir 2 dalyse nurodyto rodiklio siektinos reikšmės įvykdymo vertinimo balas. </w:t>
      </w:r>
      <w:r w:rsidRPr="003B104F">
        <w:rPr>
          <w:color w:val="000000"/>
          <w:lang w:eastAsia="lt-LT"/>
        </w:rPr>
        <w:t xml:space="preserve">Balai sudedami ir nustatoma vadovo mėnesinio darbo užmokesčio kintamoji dalis. </w:t>
      </w:r>
      <w:bookmarkStart w:id="0" w:name="_Hlk72140106"/>
    </w:p>
    <w:p w14:paraId="1395B863" w14:textId="4D087EBA" w:rsidR="003B104F" w:rsidRPr="004D1E3F" w:rsidRDefault="00112AA3" w:rsidP="004D1E3F">
      <w:pPr>
        <w:suppressAutoHyphens w:val="0"/>
        <w:spacing w:line="360" w:lineRule="auto"/>
        <w:ind w:firstLine="567"/>
        <w:jc w:val="both"/>
        <w:rPr>
          <w:color w:val="000000"/>
          <w:lang w:eastAsia="en-US"/>
        </w:rPr>
      </w:pPr>
      <w:r w:rsidRPr="003B104F">
        <w:rPr>
          <w:rFonts w:eastAsia="Calibri"/>
          <w:lang w:eastAsia="en-US"/>
        </w:rPr>
        <w:t xml:space="preserve">VšĮ </w:t>
      </w:r>
      <w:r>
        <w:rPr>
          <w:rFonts w:eastAsia="Calibri"/>
          <w:lang w:eastAsia="en-US"/>
        </w:rPr>
        <w:t>,,Lazdijų savivaldybės</w:t>
      </w:r>
      <w:r w:rsidRPr="003B104F">
        <w:rPr>
          <w:rFonts w:eastAsia="Calibri"/>
          <w:lang w:eastAsia="en-US"/>
        </w:rPr>
        <w:t xml:space="preserve"> pirminės sveikatos priežiūros centr</w:t>
      </w:r>
      <w:r>
        <w:rPr>
          <w:rFonts w:eastAsia="Calibri"/>
          <w:lang w:eastAsia="en-US"/>
        </w:rPr>
        <w:t xml:space="preserve">as“ </w:t>
      </w:r>
      <w:r w:rsidRPr="003B104F">
        <w:rPr>
          <w:rFonts w:eastAsia="Calibri"/>
          <w:lang w:eastAsia="en-US"/>
        </w:rPr>
        <w:t xml:space="preserve">surinktų balų suma yra </w:t>
      </w:r>
      <w:r>
        <w:rPr>
          <w:rFonts w:eastAsia="Calibri"/>
          <w:lang w:eastAsia="en-US"/>
        </w:rPr>
        <w:t>50</w:t>
      </w:r>
      <w:r w:rsidR="00935D57">
        <w:rPr>
          <w:rFonts w:eastAsia="Calibri"/>
          <w:lang w:eastAsia="en-US"/>
        </w:rPr>
        <w:t xml:space="preserve"> (</w:t>
      </w:r>
      <w:r w:rsidR="00811340">
        <w:rPr>
          <w:rFonts w:eastAsia="Calibri"/>
          <w:lang w:eastAsia="en-US"/>
        </w:rPr>
        <w:t>lentelė pridedama)</w:t>
      </w:r>
      <w:r w:rsidRPr="003B104F">
        <w:rPr>
          <w:rFonts w:eastAsia="Calibri"/>
          <w:lang w:eastAsia="en-US"/>
        </w:rPr>
        <w:t>. P</w:t>
      </w:r>
      <w:r w:rsidRPr="003B104F">
        <w:rPr>
          <w:color w:val="000000"/>
          <w:lang w:eastAsia="en-US"/>
        </w:rPr>
        <w:t xml:space="preserve">agal Aprašo 4.2.4 papunktį nustatoma mėnesinio darbo užmokesčio kintamoji dalis, mėnesinio darbo užmokesčio pastoviosios dalies dydžio procentas – </w:t>
      </w:r>
      <w:r>
        <w:rPr>
          <w:color w:val="000000"/>
          <w:lang w:eastAsia="en-US"/>
        </w:rPr>
        <w:t>15.</w:t>
      </w:r>
    </w:p>
    <w:bookmarkEnd w:id="0"/>
    <w:p w14:paraId="3F9452C9" w14:textId="3838CF73" w:rsidR="003B104F" w:rsidRDefault="003B104F" w:rsidP="00E73BB4">
      <w:pPr>
        <w:autoSpaceDE w:val="0"/>
        <w:spacing w:line="200" w:lineRule="atLeast"/>
      </w:pPr>
    </w:p>
    <w:tbl>
      <w:tblPr>
        <w:tblW w:w="4992" w:type="pct"/>
        <w:jc w:val="center"/>
        <w:tblCellMar>
          <w:left w:w="10" w:type="dxa"/>
          <w:right w:w="10" w:type="dxa"/>
        </w:tblCellMar>
        <w:tblLook w:val="04A0" w:firstRow="1" w:lastRow="0" w:firstColumn="1" w:lastColumn="0" w:noHBand="0" w:noVBand="1"/>
      </w:tblPr>
      <w:tblGrid>
        <w:gridCol w:w="6606"/>
        <w:gridCol w:w="3340"/>
      </w:tblGrid>
      <w:tr w:rsidR="0047082C" w:rsidRPr="003B104F" w14:paraId="0894DCA6" w14:textId="77777777" w:rsidTr="007242A1">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EE891" w14:textId="77777777" w:rsidR="0047082C" w:rsidRPr="003B104F" w:rsidRDefault="0047082C" w:rsidP="00F36ECF">
            <w:pPr>
              <w:suppressAutoHyphens w:val="0"/>
              <w:spacing w:line="259" w:lineRule="auto"/>
              <w:jc w:val="center"/>
              <w:rPr>
                <w:rFonts w:eastAsia="Calibri"/>
                <w:lang w:eastAsia="en-US"/>
              </w:rPr>
            </w:pPr>
            <w:r w:rsidRPr="003B104F">
              <w:rPr>
                <w:b/>
                <w:color w:val="000000"/>
                <w:lang w:eastAsia="en-US"/>
              </w:rPr>
              <w:t>Mėnesinio darbo užmokesčio kintamoji dalis</w:t>
            </w:r>
            <w:r w:rsidRPr="003B104F">
              <w:rPr>
                <w:b/>
                <w:lang w:eastAsia="en-US"/>
              </w:rPr>
              <w:t>, mėnesinio darbo užmokesčio pastoviosios dalies dydžio procentai</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8ACCF2E" w14:textId="77777777" w:rsidR="0047082C" w:rsidRPr="003B104F" w:rsidRDefault="0047082C" w:rsidP="00F36ECF">
            <w:pPr>
              <w:suppressAutoHyphens w:val="0"/>
              <w:spacing w:line="259" w:lineRule="auto"/>
              <w:jc w:val="center"/>
              <w:rPr>
                <w:lang w:eastAsia="en-US"/>
              </w:rPr>
            </w:pPr>
            <w:r w:rsidRPr="003B104F">
              <w:rPr>
                <w:b/>
                <w:lang w:eastAsia="en-US"/>
              </w:rPr>
              <w:t>IV grupės įstaigos balai</w:t>
            </w:r>
          </w:p>
        </w:tc>
      </w:tr>
      <w:tr w:rsidR="0047082C" w:rsidRPr="003B104F" w14:paraId="78D7B2C7" w14:textId="77777777" w:rsidTr="007242A1">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E183FA" w14:textId="77777777" w:rsidR="0047082C" w:rsidRPr="003B104F" w:rsidRDefault="0047082C" w:rsidP="00F36ECF">
            <w:pPr>
              <w:suppressAutoHyphens w:val="0"/>
              <w:spacing w:line="259" w:lineRule="auto"/>
              <w:jc w:val="center"/>
              <w:rPr>
                <w:lang w:eastAsia="en-US"/>
              </w:rPr>
            </w:pPr>
            <w:r w:rsidRPr="003B104F">
              <w:rPr>
                <w:lang w:eastAsia="en-US"/>
              </w:rPr>
              <w:t>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390E616" w14:textId="77777777" w:rsidR="0047082C" w:rsidRPr="003B104F" w:rsidRDefault="0047082C" w:rsidP="00F36ECF">
            <w:pPr>
              <w:suppressAutoHyphens w:val="0"/>
              <w:spacing w:line="259" w:lineRule="auto"/>
              <w:jc w:val="center"/>
              <w:rPr>
                <w:lang w:eastAsia="en-US"/>
              </w:rPr>
            </w:pPr>
            <w:r w:rsidRPr="003B104F">
              <w:rPr>
                <w:lang w:eastAsia="en-US"/>
              </w:rPr>
              <w:t>Iki 19</w:t>
            </w:r>
          </w:p>
        </w:tc>
      </w:tr>
      <w:tr w:rsidR="0047082C" w:rsidRPr="003B104F" w14:paraId="3D44C3EC" w14:textId="77777777" w:rsidTr="007242A1">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5F285DD" w14:textId="77777777" w:rsidR="0047082C" w:rsidRPr="003B104F" w:rsidRDefault="0047082C" w:rsidP="00F36ECF">
            <w:pPr>
              <w:suppressAutoHyphens w:val="0"/>
              <w:spacing w:line="259" w:lineRule="auto"/>
              <w:jc w:val="center"/>
              <w:rPr>
                <w:lang w:eastAsia="en-US"/>
              </w:rPr>
            </w:pPr>
            <w:r w:rsidRPr="003B104F">
              <w:rPr>
                <w:lang w:eastAsia="en-US"/>
              </w:rPr>
              <w:t>10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40635A5" w14:textId="77777777" w:rsidR="0047082C" w:rsidRPr="003B104F" w:rsidRDefault="0047082C" w:rsidP="00F36ECF">
            <w:pPr>
              <w:suppressAutoHyphens w:val="0"/>
              <w:spacing w:line="259" w:lineRule="auto"/>
              <w:jc w:val="center"/>
              <w:rPr>
                <w:lang w:eastAsia="en-US"/>
              </w:rPr>
            </w:pPr>
            <w:r w:rsidRPr="003B104F">
              <w:rPr>
                <w:lang w:eastAsia="en-US"/>
              </w:rPr>
              <w:t>20–41</w:t>
            </w:r>
          </w:p>
        </w:tc>
      </w:tr>
      <w:tr w:rsidR="0047082C" w:rsidRPr="003B104F" w14:paraId="298725E3" w14:textId="77777777" w:rsidTr="007242A1">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1D0B6E" w14:textId="77777777" w:rsidR="0047082C" w:rsidRPr="003B104F" w:rsidRDefault="0047082C" w:rsidP="00F36ECF">
            <w:pPr>
              <w:suppressAutoHyphens w:val="0"/>
              <w:spacing w:line="259" w:lineRule="auto"/>
              <w:jc w:val="center"/>
              <w:rPr>
                <w:lang w:eastAsia="en-US"/>
              </w:rPr>
            </w:pPr>
            <w:r w:rsidRPr="003B104F">
              <w:rPr>
                <w:lang w:eastAsia="en-US"/>
              </w:rPr>
              <w:t>15</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4C3481" w14:textId="77777777" w:rsidR="0047082C" w:rsidRPr="003B104F" w:rsidRDefault="0047082C" w:rsidP="00F36ECF">
            <w:pPr>
              <w:suppressAutoHyphens w:val="0"/>
              <w:spacing w:line="259" w:lineRule="auto"/>
              <w:jc w:val="center"/>
              <w:rPr>
                <w:lang w:eastAsia="en-US"/>
              </w:rPr>
            </w:pPr>
            <w:r w:rsidRPr="003B104F">
              <w:rPr>
                <w:lang w:eastAsia="en-US"/>
              </w:rPr>
              <w:t>42–63</w:t>
            </w:r>
          </w:p>
        </w:tc>
      </w:tr>
      <w:tr w:rsidR="0047082C" w:rsidRPr="003B104F" w14:paraId="415FD6EA" w14:textId="77777777" w:rsidTr="007242A1">
        <w:trPr>
          <w:trHeight w:val="1"/>
          <w:jc w:val="center"/>
        </w:trPr>
        <w:tc>
          <w:tcPr>
            <w:tcW w:w="332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0C53408" w14:textId="77777777" w:rsidR="0047082C" w:rsidRPr="003B104F" w:rsidRDefault="0047082C" w:rsidP="00F36ECF">
            <w:pPr>
              <w:suppressAutoHyphens w:val="0"/>
              <w:spacing w:line="259" w:lineRule="auto"/>
              <w:jc w:val="center"/>
              <w:rPr>
                <w:lang w:eastAsia="en-US"/>
              </w:rPr>
            </w:pPr>
            <w:r w:rsidRPr="003B104F">
              <w:rPr>
                <w:lang w:eastAsia="en-US"/>
              </w:rPr>
              <w:t>20</w:t>
            </w:r>
          </w:p>
        </w:tc>
        <w:tc>
          <w:tcPr>
            <w:tcW w:w="1679"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869E415" w14:textId="77777777" w:rsidR="0047082C" w:rsidRPr="003B104F" w:rsidRDefault="0047082C" w:rsidP="00F36ECF">
            <w:pPr>
              <w:suppressAutoHyphens w:val="0"/>
              <w:spacing w:line="259" w:lineRule="auto"/>
              <w:jc w:val="center"/>
              <w:rPr>
                <w:lang w:eastAsia="en-US"/>
              </w:rPr>
            </w:pPr>
            <w:r w:rsidRPr="003B104F">
              <w:rPr>
                <w:lang w:eastAsia="en-US"/>
              </w:rPr>
              <w:t>64–85</w:t>
            </w:r>
          </w:p>
        </w:tc>
      </w:tr>
    </w:tbl>
    <w:p w14:paraId="57EF1CB8" w14:textId="0B2DA3C7" w:rsidR="003B104F" w:rsidRDefault="003B104F" w:rsidP="00E73BB4">
      <w:pPr>
        <w:autoSpaceDE w:val="0"/>
        <w:spacing w:line="200" w:lineRule="atLeast"/>
      </w:pPr>
    </w:p>
    <w:p w14:paraId="6499F0AE" w14:textId="398C9BE6" w:rsidR="00F55213" w:rsidRPr="00F456F2" w:rsidRDefault="00F55213" w:rsidP="00F52FD8">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Parengtas sprendimo projektas neprieštarauja galiojantiems teisės aktams.</w:t>
      </w:r>
    </w:p>
    <w:p w14:paraId="2E498AB6" w14:textId="20AFCE68" w:rsidR="00F90776" w:rsidRPr="00F456F2" w:rsidRDefault="00F55213" w:rsidP="007242A1">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Priėmus sprendimo projektą, neigiamų pasekmių nenumatoma.</w:t>
      </w:r>
      <w:r w:rsidR="00F90776" w:rsidRPr="00F456F2">
        <w:rPr>
          <w:rFonts w:asciiTheme="majorBidi" w:hAnsiTheme="majorBidi" w:cstheme="majorBidi"/>
          <w:sz w:val="24"/>
          <w:szCs w:val="24"/>
        </w:rPr>
        <w:t xml:space="preserve"> </w:t>
      </w:r>
      <w:r w:rsidRPr="00F456F2">
        <w:rPr>
          <w:rFonts w:asciiTheme="majorBidi" w:hAnsiTheme="majorBidi" w:cstheme="majorBidi"/>
          <w:sz w:val="24"/>
          <w:szCs w:val="24"/>
        </w:rPr>
        <w:t>Dėl sprendimo projekto pastabų ir pasiūlymų negauta.</w:t>
      </w:r>
    </w:p>
    <w:p w14:paraId="56F2BE53" w14:textId="525CCA17" w:rsidR="00F55213" w:rsidRPr="00F456F2" w:rsidRDefault="00F55213" w:rsidP="007242A1">
      <w:pPr>
        <w:pStyle w:val="Betarp"/>
        <w:spacing w:line="360" w:lineRule="auto"/>
        <w:ind w:firstLine="567"/>
        <w:jc w:val="both"/>
        <w:rPr>
          <w:rFonts w:asciiTheme="majorBidi" w:hAnsiTheme="majorBidi" w:cstheme="majorBidi"/>
          <w:sz w:val="24"/>
          <w:szCs w:val="24"/>
        </w:rPr>
      </w:pPr>
      <w:r w:rsidRPr="00F456F2">
        <w:rPr>
          <w:rFonts w:asciiTheme="majorBidi" w:hAnsiTheme="majorBidi" w:cstheme="majorBidi"/>
          <w:sz w:val="24"/>
          <w:szCs w:val="24"/>
        </w:rPr>
        <w:t xml:space="preserve">Sprendimo projektą parengė Lazdijų rajono savivaldybės administracijos </w:t>
      </w:r>
      <w:r w:rsidR="00E245A8" w:rsidRPr="00F456F2">
        <w:rPr>
          <w:rFonts w:asciiTheme="majorBidi" w:hAnsiTheme="majorBidi" w:cstheme="majorBidi"/>
          <w:sz w:val="24"/>
          <w:szCs w:val="24"/>
        </w:rPr>
        <w:t xml:space="preserve">Socialinės paramos ir sveikatos sk. vyr. specialistė </w:t>
      </w:r>
      <w:r w:rsidRPr="00F456F2">
        <w:rPr>
          <w:rFonts w:asciiTheme="majorBidi" w:hAnsiTheme="majorBidi" w:cstheme="majorBidi"/>
          <w:sz w:val="24"/>
          <w:szCs w:val="24"/>
        </w:rPr>
        <w:t xml:space="preserve"> Lina</w:t>
      </w:r>
      <w:r w:rsidR="00E245A8" w:rsidRPr="00F456F2">
        <w:rPr>
          <w:rFonts w:asciiTheme="majorBidi" w:hAnsiTheme="majorBidi" w:cstheme="majorBidi"/>
          <w:sz w:val="24"/>
          <w:szCs w:val="24"/>
        </w:rPr>
        <w:t xml:space="preserve"> </w:t>
      </w:r>
      <w:r w:rsidRPr="00F456F2">
        <w:rPr>
          <w:rFonts w:asciiTheme="majorBidi" w:hAnsiTheme="majorBidi" w:cstheme="majorBidi"/>
          <w:sz w:val="24"/>
          <w:szCs w:val="24"/>
        </w:rPr>
        <w:t>Džiaukštienė.</w:t>
      </w:r>
    </w:p>
    <w:p w14:paraId="25B311F8" w14:textId="77777777" w:rsidR="007242A1" w:rsidRDefault="007242A1" w:rsidP="007242A1">
      <w:pPr>
        <w:autoSpaceDE w:val="0"/>
        <w:spacing w:line="360" w:lineRule="auto"/>
        <w:jc w:val="both"/>
        <w:rPr>
          <w:rFonts w:asciiTheme="majorBidi" w:hAnsiTheme="majorBidi" w:cstheme="majorBidi"/>
          <w:noProof/>
        </w:rPr>
      </w:pPr>
    </w:p>
    <w:p w14:paraId="4C483FDE" w14:textId="51720BCB" w:rsidR="00F55213" w:rsidRPr="00F90776" w:rsidRDefault="00B722BE" w:rsidP="007242A1">
      <w:pPr>
        <w:autoSpaceDE w:val="0"/>
        <w:spacing w:line="360" w:lineRule="auto"/>
        <w:jc w:val="both"/>
        <w:rPr>
          <w:rFonts w:asciiTheme="majorBidi" w:hAnsiTheme="majorBidi" w:cstheme="majorBidi"/>
          <w:noProof/>
        </w:rPr>
      </w:pPr>
      <w:r w:rsidRPr="00F456F2">
        <w:rPr>
          <w:rFonts w:asciiTheme="majorBidi" w:hAnsiTheme="majorBidi" w:cstheme="majorBidi"/>
          <w:noProof/>
        </w:rPr>
        <w:t>Vyr. specialistė</w:t>
      </w:r>
      <w:r w:rsidR="00F55213" w:rsidRPr="00F456F2">
        <w:rPr>
          <w:rFonts w:asciiTheme="majorBidi" w:hAnsiTheme="majorBidi" w:cstheme="majorBidi"/>
          <w:noProof/>
        </w:rPr>
        <w:t xml:space="preserve">                                                                             </w:t>
      </w:r>
      <w:r w:rsidR="007242A1">
        <w:rPr>
          <w:rFonts w:asciiTheme="majorBidi" w:hAnsiTheme="majorBidi" w:cstheme="majorBidi"/>
          <w:noProof/>
        </w:rPr>
        <w:tab/>
      </w:r>
      <w:r w:rsidR="007242A1">
        <w:rPr>
          <w:rFonts w:asciiTheme="majorBidi" w:hAnsiTheme="majorBidi" w:cstheme="majorBidi"/>
          <w:noProof/>
        </w:rPr>
        <w:tab/>
        <w:t xml:space="preserve">       </w:t>
      </w:r>
      <w:r w:rsidR="00F55213" w:rsidRPr="00F456F2">
        <w:rPr>
          <w:rFonts w:asciiTheme="majorBidi" w:hAnsiTheme="majorBidi" w:cstheme="majorBidi"/>
          <w:noProof/>
        </w:rPr>
        <w:t>Lina Džiaukštienė</w:t>
      </w:r>
    </w:p>
    <w:p w14:paraId="32EDD113" w14:textId="77777777" w:rsidR="00F55213" w:rsidRDefault="00F55213" w:rsidP="00F55213">
      <w:pPr>
        <w:suppressAutoHyphens w:val="0"/>
        <w:jc w:val="both"/>
        <w:rPr>
          <w:lang w:eastAsia="lt-LT"/>
        </w:rPr>
      </w:pPr>
    </w:p>
    <w:p w14:paraId="3F21BDCE" w14:textId="77777777" w:rsidR="0039319A" w:rsidRDefault="0039319A" w:rsidP="00F55213">
      <w:pPr>
        <w:suppressAutoHyphens w:val="0"/>
        <w:jc w:val="both"/>
        <w:rPr>
          <w:lang w:eastAsia="lt-LT"/>
        </w:rPr>
      </w:pPr>
    </w:p>
    <w:p w14:paraId="74143EE1" w14:textId="77777777" w:rsidR="0039319A" w:rsidRDefault="0039319A" w:rsidP="00F55213">
      <w:pPr>
        <w:suppressAutoHyphens w:val="0"/>
        <w:jc w:val="both"/>
        <w:rPr>
          <w:lang w:eastAsia="lt-LT"/>
        </w:rPr>
      </w:pPr>
    </w:p>
    <w:p w14:paraId="40BC26C8" w14:textId="77777777" w:rsidR="0039319A" w:rsidRDefault="0039319A" w:rsidP="00F55213">
      <w:pPr>
        <w:suppressAutoHyphens w:val="0"/>
        <w:jc w:val="both"/>
        <w:rPr>
          <w:lang w:eastAsia="lt-LT"/>
        </w:rPr>
      </w:pPr>
    </w:p>
    <w:p w14:paraId="6BCA0C7C" w14:textId="77777777" w:rsidR="0039319A" w:rsidRDefault="0039319A" w:rsidP="00F55213">
      <w:pPr>
        <w:suppressAutoHyphens w:val="0"/>
        <w:jc w:val="both"/>
        <w:rPr>
          <w:lang w:eastAsia="lt-LT"/>
        </w:rPr>
      </w:pPr>
    </w:p>
    <w:p w14:paraId="65BCDAF7" w14:textId="77777777" w:rsidR="0039319A" w:rsidRDefault="0039319A" w:rsidP="00F55213">
      <w:pPr>
        <w:suppressAutoHyphens w:val="0"/>
        <w:jc w:val="both"/>
        <w:rPr>
          <w:lang w:eastAsia="lt-LT"/>
        </w:rPr>
      </w:pPr>
    </w:p>
    <w:p w14:paraId="584CB9F1" w14:textId="77777777" w:rsidR="0039319A" w:rsidRDefault="0039319A" w:rsidP="00F55213">
      <w:pPr>
        <w:suppressAutoHyphens w:val="0"/>
        <w:jc w:val="both"/>
        <w:rPr>
          <w:lang w:eastAsia="lt-LT"/>
        </w:rPr>
      </w:pPr>
    </w:p>
    <w:p w14:paraId="419B1BE7" w14:textId="77777777" w:rsidR="0039319A" w:rsidRDefault="0039319A" w:rsidP="00F55213">
      <w:pPr>
        <w:suppressAutoHyphens w:val="0"/>
        <w:jc w:val="both"/>
        <w:rPr>
          <w:lang w:eastAsia="lt-LT"/>
        </w:rPr>
      </w:pPr>
    </w:p>
    <w:p w14:paraId="33645FA8" w14:textId="77777777" w:rsidR="0039319A" w:rsidRDefault="0039319A" w:rsidP="00F55213">
      <w:pPr>
        <w:suppressAutoHyphens w:val="0"/>
        <w:jc w:val="both"/>
        <w:rPr>
          <w:lang w:eastAsia="lt-LT"/>
        </w:rPr>
      </w:pPr>
    </w:p>
    <w:p w14:paraId="6FB1DA41" w14:textId="77777777" w:rsidR="0039319A" w:rsidRDefault="0039319A" w:rsidP="00F55213">
      <w:pPr>
        <w:suppressAutoHyphens w:val="0"/>
        <w:jc w:val="both"/>
        <w:rPr>
          <w:lang w:eastAsia="lt-LT"/>
        </w:rPr>
      </w:pPr>
    </w:p>
    <w:p w14:paraId="7F00F354" w14:textId="150ED8BE" w:rsidR="0039319A" w:rsidRPr="0047082C" w:rsidRDefault="0039319A" w:rsidP="00F55213">
      <w:pPr>
        <w:suppressAutoHyphens w:val="0"/>
        <w:jc w:val="both"/>
        <w:rPr>
          <w:lang w:eastAsia="lt-LT"/>
        </w:rPr>
        <w:sectPr w:rsidR="0039319A" w:rsidRPr="0047082C" w:rsidSect="00B7672C">
          <w:pgSz w:w="12240" w:h="15840"/>
          <w:pgMar w:top="1134" w:right="567" w:bottom="426" w:left="1701" w:header="567" w:footer="567" w:gutter="0"/>
          <w:cols w:space="1296"/>
          <w:docGrid w:linePitch="360"/>
        </w:sectPr>
      </w:pPr>
    </w:p>
    <w:tbl>
      <w:tblPr>
        <w:tblW w:w="1376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39"/>
        <w:gridCol w:w="2551"/>
        <w:gridCol w:w="3828"/>
        <w:gridCol w:w="2126"/>
        <w:gridCol w:w="2097"/>
        <w:gridCol w:w="12"/>
      </w:tblGrid>
      <w:tr w:rsidR="003B104F" w:rsidRPr="003B104F" w14:paraId="049C4A6E" w14:textId="77777777" w:rsidTr="00EF3870">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6283DF11" w14:textId="77777777" w:rsidR="003B104F" w:rsidRPr="003B104F" w:rsidRDefault="003B104F" w:rsidP="003B104F">
            <w:pPr>
              <w:suppressAutoHyphens w:val="0"/>
              <w:jc w:val="center"/>
              <w:rPr>
                <w:b/>
                <w:lang w:eastAsia="en-US"/>
              </w:rPr>
            </w:pPr>
            <w:r w:rsidRPr="003B104F">
              <w:rPr>
                <w:b/>
                <w:lang w:eastAsia="en-US"/>
              </w:rPr>
              <w:lastRenderedPageBreak/>
              <w:t>Eil. Nr.</w:t>
            </w:r>
          </w:p>
        </w:tc>
        <w:tc>
          <w:tcPr>
            <w:tcW w:w="2439" w:type="dxa"/>
            <w:tcBorders>
              <w:top w:val="single" w:sz="4" w:space="0" w:color="000000"/>
              <w:left w:val="single" w:sz="4" w:space="0" w:color="000000"/>
              <w:bottom w:val="single" w:sz="4" w:space="0" w:color="000000"/>
              <w:right w:val="single" w:sz="4" w:space="0" w:color="000000"/>
            </w:tcBorders>
            <w:hideMark/>
          </w:tcPr>
          <w:p w14:paraId="78116B42" w14:textId="77777777" w:rsidR="003B104F" w:rsidRPr="003B104F" w:rsidRDefault="003B104F" w:rsidP="003B104F">
            <w:pPr>
              <w:suppressAutoHyphens w:val="0"/>
              <w:jc w:val="center"/>
              <w:rPr>
                <w:b/>
                <w:lang w:eastAsia="en-US"/>
              </w:rPr>
            </w:pPr>
            <w:r w:rsidRPr="003B104F">
              <w:rPr>
                <w:b/>
                <w:lang w:eastAsia="en-US"/>
              </w:rPr>
              <w:t>Veiklos užduotys</w:t>
            </w:r>
          </w:p>
        </w:tc>
        <w:tc>
          <w:tcPr>
            <w:tcW w:w="2551" w:type="dxa"/>
            <w:tcBorders>
              <w:top w:val="single" w:sz="4" w:space="0" w:color="000000"/>
              <w:left w:val="single" w:sz="4" w:space="0" w:color="000000"/>
              <w:bottom w:val="single" w:sz="4" w:space="0" w:color="000000"/>
              <w:right w:val="single" w:sz="4" w:space="0" w:color="000000"/>
            </w:tcBorders>
            <w:hideMark/>
          </w:tcPr>
          <w:p w14:paraId="4F4CCC3F" w14:textId="77777777" w:rsidR="003B104F" w:rsidRPr="003B104F" w:rsidRDefault="003B104F" w:rsidP="003B104F">
            <w:pPr>
              <w:suppressAutoHyphens w:val="0"/>
              <w:jc w:val="center"/>
              <w:rPr>
                <w:b/>
                <w:lang w:eastAsia="en-US"/>
              </w:rPr>
            </w:pPr>
            <w:r w:rsidRPr="003B104F">
              <w:rPr>
                <w:b/>
                <w:lang w:eastAsia="en-US"/>
              </w:rPr>
              <w:t>Veiklos vertinimo rodikliai</w:t>
            </w:r>
          </w:p>
          <w:p w14:paraId="50445DBC" w14:textId="77777777" w:rsidR="003B104F" w:rsidRPr="003B104F" w:rsidRDefault="003B104F" w:rsidP="003B104F">
            <w:pPr>
              <w:suppressAutoHyphens w:val="0"/>
              <w:jc w:val="center"/>
              <w:rPr>
                <w:b/>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14:paraId="69CCCEC2" w14:textId="77777777" w:rsidR="003B104F" w:rsidRPr="003B104F" w:rsidRDefault="003B104F" w:rsidP="003B104F">
            <w:pPr>
              <w:suppressAutoHyphens w:val="0"/>
              <w:jc w:val="center"/>
              <w:rPr>
                <w:b/>
                <w:lang w:eastAsia="en-US"/>
              </w:rPr>
            </w:pPr>
            <w:r w:rsidRPr="003B104F">
              <w:rPr>
                <w:b/>
                <w:lang w:eastAsia="en-US"/>
              </w:rPr>
              <w:t>Užduočių įvykdymo vertinimo kriterijai ir balai</w:t>
            </w:r>
          </w:p>
        </w:tc>
        <w:tc>
          <w:tcPr>
            <w:tcW w:w="2126" w:type="dxa"/>
            <w:tcBorders>
              <w:top w:val="single" w:sz="4" w:space="0" w:color="000000"/>
              <w:left w:val="single" w:sz="4" w:space="0" w:color="000000"/>
              <w:bottom w:val="single" w:sz="4" w:space="0" w:color="000000"/>
              <w:right w:val="single" w:sz="4" w:space="0" w:color="000000"/>
            </w:tcBorders>
          </w:tcPr>
          <w:p w14:paraId="7124E408" w14:textId="77777777" w:rsidR="003B104F" w:rsidRPr="003B104F" w:rsidRDefault="003B104F" w:rsidP="003B104F">
            <w:pPr>
              <w:suppressAutoHyphens w:val="0"/>
              <w:jc w:val="center"/>
              <w:rPr>
                <w:b/>
                <w:lang w:eastAsia="en-US"/>
              </w:rPr>
            </w:pPr>
            <w:r w:rsidRPr="003B104F">
              <w:rPr>
                <w:b/>
                <w:lang w:eastAsia="en-US"/>
              </w:rPr>
              <w:t>2020 metų rodiklių įvykdymas</w:t>
            </w:r>
          </w:p>
        </w:tc>
        <w:tc>
          <w:tcPr>
            <w:tcW w:w="2097" w:type="dxa"/>
            <w:tcBorders>
              <w:top w:val="single" w:sz="4" w:space="0" w:color="000000"/>
              <w:left w:val="single" w:sz="4" w:space="0" w:color="000000"/>
              <w:bottom w:val="single" w:sz="4" w:space="0" w:color="000000"/>
              <w:right w:val="single" w:sz="4" w:space="0" w:color="000000"/>
            </w:tcBorders>
          </w:tcPr>
          <w:p w14:paraId="2F4CF4E7" w14:textId="77777777" w:rsidR="003B104F" w:rsidRPr="003B104F" w:rsidRDefault="003B104F" w:rsidP="003B104F">
            <w:pPr>
              <w:suppressAutoHyphens w:val="0"/>
              <w:jc w:val="center"/>
              <w:rPr>
                <w:b/>
                <w:lang w:eastAsia="en-US"/>
              </w:rPr>
            </w:pPr>
            <w:r w:rsidRPr="003B104F">
              <w:rPr>
                <w:b/>
                <w:lang w:eastAsia="en-US"/>
              </w:rPr>
              <w:t>Vykdymo vertinimas</w:t>
            </w:r>
          </w:p>
          <w:p w14:paraId="365C0E45" w14:textId="77777777" w:rsidR="003B104F" w:rsidRPr="003B104F" w:rsidRDefault="003B104F" w:rsidP="003B104F">
            <w:pPr>
              <w:suppressAutoHyphens w:val="0"/>
              <w:jc w:val="center"/>
              <w:rPr>
                <w:b/>
                <w:lang w:eastAsia="en-US"/>
              </w:rPr>
            </w:pPr>
            <w:r w:rsidRPr="003B104F">
              <w:rPr>
                <w:b/>
                <w:lang w:eastAsia="en-US"/>
              </w:rPr>
              <w:t>balais</w:t>
            </w:r>
          </w:p>
        </w:tc>
      </w:tr>
      <w:tr w:rsidR="003B104F" w:rsidRPr="003B104F" w14:paraId="053BBC27" w14:textId="77777777" w:rsidTr="00EF3870">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7AE01DDF" w14:textId="77777777" w:rsidR="003B104F" w:rsidRPr="003B104F" w:rsidRDefault="003B104F" w:rsidP="003B104F">
            <w:pPr>
              <w:suppressAutoHyphens w:val="0"/>
              <w:jc w:val="center"/>
              <w:rPr>
                <w:b/>
                <w:lang w:eastAsia="en-US"/>
              </w:rPr>
            </w:pPr>
            <w:r w:rsidRPr="003B104F">
              <w:rPr>
                <w:b/>
                <w:lang w:eastAsia="en-US"/>
              </w:rPr>
              <w:t>1</w:t>
            </w:r>
          </w:p>
        </w:tc>
        <w:tc>
          <w:tcPr>
            <w:tcW w:w="2439" w:type="dxa"/>
            <w:tcBorders>
              <w:top w:val="single" w:sz="4" w:space="0" w:color="000000"/>
              <w:left w:val="single" w:sz="4" w:space="0" w:color="000000"/>
              <w:bottom w:val="single" w:sz="4" w:space="0" w:color="000000"/>
              <w:right w:val="single" w:sz="4" w:space="0" w:color="000000"/>
            </w:tcBorders>
            <w:vAlign w:val="center"/>
            <w:hideMark/>
          </w:tcPr>
          <w:p w14:paraId="02E6F1E5" w14:textId="77777777" w:rsidR="003B104F" w:rsidRPr="003B104F" w:rsidRDefault="003B104F" w:rsidP="003B104F">
            <w:pPr>
              <w:suppressAutoHyphens w:val="0"/>
              <w:jc w:val="center"/>
              <w:rPr>
                <w:lang w:eastAsia="en-US"/>
              </w:rPr>
            </w:pPr>
            <w:r w:rsidRPr="003B104F">
              <w:rPr>
                <w:lang w:eastAsia="en-US"/>
              </w:rPr>
              <w:t>2</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0DA97A9" w14:textId="77777777" w:rsidR="003B104F" w:rsidRPr="003B104F" w:rsidRDefault="003B104F" w:rsidP="003B104F">
            <w:pPr>
              <w:suppressAutoHyphens w:val="0"/>
              <w:jc w:val="center"/>
              <w:rPr>
                <w:lang w:eastAsia="en-US"/>
              </w:rPr>
            </w:pPr>
            <w:r w:rsidRPr="003B104F">
              <w:rPr>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hideMark/>
          </w:tcPr>
          <w:p w14:paraId="0CF91474" w14:textId="77777777" w:rsidR="003B104F" w:rsidRPr="003B104F" w:rsidRDefault="003B104F" w:rsidP="003B104F">
            <w:pPr>
              <w:suppressAutoHyphens w:val="0"/>
              <w:jc w:val="center"/>
              <w:rPr>
                <w:lang w:eastAsia="en-US"/>
              </w:rPr>
            </w:pPr>
            <w:r w:rsidRPr="003B104F">
              <w:rPr>
                <w:lang w:eastAsia="en-US"/>
              </w:rPr>
              <w:t>4</w:t>
            </w:r>
          </w:p>
        </w:tc>
        <w:tc>
          <w:tcPr>
            <w:tcW w:w="2126" w:type="dxa"/>
            <w:tcBorders>
              <w:top w:val="single" w:sz="4" w:space="0" w:color="000000"/>
              <w:left w:val="single" w:sz="4" w:space="0" w:color="000000"/>
              <w:bottom w:val="single" w:sz="4" w:space="0" w:color="000000"/>
              <w:right w:val="single" w:sz="4" w:space="0" w:color="000000"/>
            </w:tcBorders>
            <w:vAlign w:val="center"/>
          </w:tcPr>
          <w:p w14:paraId="4A925977" w14:textId="77777777" w:rsidR="003B104F" w:rsidRPr="003B104F" w:rsidRDefault="003B104F" w:rsidP="003B104F">
            <w:pPr>
              <w:suppressAutoHyphens w:val="0"/>
              <w:jc w:val="center"/>
              <w:rPr>
                <w:lang w:eastAsia="en-US"/>
              </w:rPr>
            </w:pPr>
            <w:r w:rsidRPr="003B104F">
              <w:rPr>
                <w:lang w:eastAsia="en-US"/>
              </w:rPr>
              <w:t>5</w:t>
            </w:r>
          </w:p>
        </w:tc>
        <w:tc>
          <w:tcPr>
            <w:tcW w:w="2097" w:type="dxa"/>
            <w:tcBorders>
              <w:top w:val="single" w:sz="4" w:space="0" w:color="000000"/>
              <w:left w:val="single" w:sz="4" w:space="0" w:color="000000"/>
              <w:bottom w:val="single" w:sz="4" w:space="0" w:color="000000"/>
              <w:right w:val="single" w:sz="4" w:space="0" w:color="000000"/>
            </w:tcBorders>
          </w:tcPr>
          <w:p w14:paraId="6B7F1454" w14:textId="77777777" w:rsidR="003B104F" w:rsidRPr="003B104F" w:rsidRDefault="003B104F" w:rsidP="003B104F">
            <w:pPr>
              <w:suppressAutoHyphens w:val="0"/>
              <w:jc w:val="center"/>
              <w:rPr>
                <w:lang w:eastAsia="en-US"/>
              </w:rPr>
            </w:pPr>
            <w:r w:rsidRPr="003B104F">
              <w:rPr>
                <w:lang w:eastAsia="en-US"/>
              </w:rPr>
              <w:t>6</w:t>
            </w:r>
          </w:p>
        </w:tc>
      </w:tr>
      <w:tr w:rsidR="003B104F" w:rsidRPr="003B104F" w14:paraId="4586D85B" w14:textId="77777777" w:rsidTr="002807E7">
        <w:trPr>
          <w:gridAfter w:val="1"/>
          <w:wAfter w:w="12" w:type="dxa"/>
        </w:trPr>
        <w:tc>
          <w:tcPr>
            <w:tcW w:w="13749" w:type="dxa"/>
            <w:gridSpan w:val="6"/>
            <w:tcBorders>
              <w:top w:val="single" w:sz="4" w:space="0" w:color="000000"/>
              <w:left w:val="single" w:sz="4" w:space="0" w:color="000000"/>
              <w:bottom w:val="single" w:sz="4" w:space="0" w:color="000000"/>
              <w:right w:val="single" w:sz="4" w:space="0" w:color="000000"/>
            </w:tcBorders>
          </w:tcPr>
          <w:p w14:paraId="5FADCB5B" w14:textId="77777777" w:rsidR="003B104F" w:rsidRPr="003B104F" w:rsidRDefault="003B104F" w:rsidP="003B104F">
            <w:pPr>
              <w:suppressAutoHyphens w:val="0"/>
              <w:jc w:val="center"/>
              <w:rPr>
                <w:b/>
                <w:lang w:eastAsia="en-US"/>
              </w:rPr>
            </w:pPr>
            <w:r w:rsidRPr="003B104F">
              <w:rPr>
                <w:b/>
                <w:lang w:eastAsia="en-US"/>
              </w:rPr>
              <w:t>Veiklos finansinių rezultatų vertinimo rodikliai</w:t>
            </w:r>
          </w:p>
          <w:p w14:paraId="295F3BD3" w14:textId="77777777" w:rsidR="003B104F" w:rsidRPr="003B104F" w:rsidRDefault="003B104F" w:rsidP="003B104F">
            <w:pPr>
              <w:suppressAutoHyphens w:val="0"/>
              <w:jc w:val="center"/>
              <w:rPr>
                <w:b/>
                <w:lang w:eastAsia="en-US"/>
              </w:rPr>
            </w:pPr>
          </w:p>
        </w:tc>
      </w:tr>
      <w:tr w:rsidR="003B104F" w:rsidRPr="003B104F" w14:paraId="77FF2697" w14:textId="77777777" w:rsidTr="00EF3870">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6126F891" w14:textId="77777777" w:rsidR="003B104F" w:rsidRPr="003B104F" w:rsidRDefault="003B104F" w:rsidP="003B104F">
            <w:pPr>
              <w:suppressAutoHyphens w:val="0"/>
              <w:jc w:val="center"/>
              <w:rPr>
                <w:b/>
                <w:lang w:eastAsia="en-US"/>
              </w:rPr>
            </w:pPr>
            <w:r w:rsidRPr="003B104F">
              <w:rPr>
                <w:b/>
                <w:lang w:eastAsia="en-US"/>
              </w:rPr>
              <w:t>1.</w:t>
            </w:r>
          </w:p>
        </w:tc>
        <w:tc>
          <w:tcPr>
            <w:tcW w:w="2439" w:type="dxa"/>
            <w:tcBorders>
              <w:top w:val="single" w:sz="4" w:space="0" w:color="000000"/>
              <w:left w:val="single" w:sz="4" w:space="0" w:color="000000"/>
              <w:bottom w:val="single" w:sz="4" w:space="0" w:color="000000"/>
              <w:right w:val="single" w:sz="4" w:space="0" w:color="000000"/>
            </w:tcBorders>
            <w:hideMark/>
          </w:tcPr>
          <w:p w14:paraId="2F1AC6E4" w14:textId="77777777" w:rsidR="003B104F" w:rsidRPr="003B104F" w:rsidRDefault="003B104F" w:rsidP="002F7E78">
            <w:pPr>
              <w:suppressAutoHyphens w:val="0"/>
              <w:rPr>
                <w:lang w:eastAsia="en-US"/>
              </w:rPr>
            </w:pPr>
            <w:r w:rsidRPr="003B104F">
              <w:rPr>
                <w:lang w:eastAsia="en-US"/>
              </w:rPr>
              <w:t>Įstaigos praėjusių metų veiklos rezultatų ataskaitoje nurodytas pajamų ir sąnaudų skirtumas (grynasis perviršis ar deficitas)</w:t>
            </w:r>
          </w:p>
        </w:tc>
        <w:tc>
          <w:tcPr>
            <w:tcW w:w="2551" w:type="dxa"/>
            <w:tcBorders>
              <w:top w:val="single" w:sz="4" w:space="0" w:color="000000"/>
              <w:left w:val="single" w:sz="4" w:space="0" w:color="000000"/>
              <w:bottom w:val="single" w:sz="4" w:space="0" w:color="000000"/>
              <w:right w:val="single" w:sz="4" w:space="0" w:color="000000"/>
            </w:tcBorders>
            <w:hideMark/>
          </w:tcPr>
          <w:p w14:paraId="314CE81A" w14:textId="77777777" w:rsidR="003B104F" w:rsidRPr="003B104F" w:rsidRDefault="003B104F" w:rsidP="003B104F">
            <w:pPr>
              <w:suppressAutoHyphens w:val="0"/>
              <w:ind w:left="1"/>
              <w:rPr>
                <w:rFonts w:ascii="Calibri" w:hAnsi="Calibri" w:cs="Calibri"/>
                <w:lang w:eastAsia="lt-LT"/>
              </w:rPr>
            </w:pPr>
            <w:r w:rsidRPr="003B104F">
              <w:rPr>
                <w:lang w:eastAsia="en-US"/>
              </w:rPr>
              <w:t xml:space="preserve">Būti nenuostolingai </w:t>
            </w:r>
          </w:p>
          <w:p w14:paraId="6E710E06" w14:textId="77777777" w:rsidR="003B104F" w:rsidRPr="003B104F" w:rsidRDefault="003B104F" w:rsidP="003B104F">
            <w:pPr>
              <w:suppressAutoHyphens w:val="0"/>
              <w:jc w:val="both"/>
              <w:rPr>
                <w:lang w:eastAsia="en-US"/>
              </w:rPr>
            </w:pPr>
          </w:p>
        </w:tc>
        <w:tc>
          <w:tcPr>
            <w:tcW w:w="3828" w:type="dxa"/>
            <w:tcBorders>
              <w:top w:val="single" w:sz="4" w:space="0" w:color="000000"/>
              <w:left w:val="single" w:sz="4" w:space="0" w:color="000000"/>
              <w:bottom w:val="single" w:sz="4" w:space="0" w:color="000000"/>
              <w:right w:val="single" w:sz="4" w:space="0" w:color="000000"/>
            </w:tcBorders>
            <w:hideMark/>
          </w:tcPr>
          <w:p w14:paraId="0234018E" w14:textId="77777777" w:rsidR="003B104F" w:rsidRPr="003B104F" w:rsidRDefault="003B104F" w:rsidP="003B104F">
            <w:pPr>
              <w:suppressAutoHyphens w:val="0"/>
              <w:ind w:left="1"/>
              <w:rPr>
                <w:lang w:eastAsia="en-US"/>
              </w:rPr>
            </w:pPr>
            <w:r w:rsidRPr="003B104F">
              <w:rPr>
                <w:lang w:eastAsia="en-US"/>
              </w:rPr>
              <w:t>Įvykdyta – 10 balų</w:t>
            </w:r>
          </w:p>
          <w:p w14:paraId="202C645A" w14:textId="77777777" w:rsidR="003B104F" w:rsidRPr="003B104F" w:rsidRDefault="003B104F" w:rsidP="003B104F">
            <w:pPr>
              <w:suppressAutoHyphens w:val="0"/>
              <w:ind w:left="1"/>
              <w:rPr>
                <w:lang w:eastAsia="en-US"/>
              </w:rPr>
            </w:pPr>
            <w:r w:rsidRPr="003B104F">
              <w:rPr>
                <w:lang w:eastAsia="en-US"/>
              </w:rPr>
              <w:t>Neįvykdyta dėl Įstatymo 15</w:t>
            </w:r>
            <w:r w:rsidRPr="003B104F">
              <w:rPr>
                <w:vertAlign w:val="superscript"/>
                <w:lang w:eastAsia="en-US"/>
              </w:rPr>
              <w:t>1</w:t>
            </w:r>
            <w:r w:rsidRPr="003B104F">
              <w:rPr>
                <w:lang w:eastAsia="en-US"/>
              </w:rPr>
              <w:t xml:space="preserve"> straipsnio 10 dalyje nurodytų priežasčių – 5 balai</w:t>
            </w:r>
          </w:p>
          <w:p w14:paraId="62129A47" w14:textId="77777777" w:rsidR="003B104F" w:rsidRPr="003B104F" w:rsidRDefault="003B104F" w:rsidP="003B104F">
            <w:pPr>
              <w:suppressAutoHyphens w:val="0"/>
              <w:ind w:left="1"/>
              <w:rPr>
                <w:lang w:eastAsia="en-US"/>
              </w:rPr>
            </w:pPr>
            <w:r w:rsidRPr="003B104F">
              <w:rPr>
                <w:lang w:eastAsia="en-US"/>
              </w:rPr>
              <w:t>Neįvykdyta dėl kitų priežasčių – mėnesinio darbo užmokesčio dalis nenustatoma, o vertinimas, ar LNSS viešoji įstaiga praėjusiais metais pasiekė kitų, nei nurodytas Įstatymo 15</w:t>
            </w:r>
            <w:r w:rsidRPr="003B104F">
              <w:rPr>
                <w:vertAlign w:val="superscript"/>
                <w:lang w:eastAsia="en-US"/>
              </w:rPr>
              <w:t xml:space="preserve">2 </w:t>
            </w:r>
            <w:r w:rsidRPr="003B104F">
              <w:rPr>
                <w:lang w:eastAsia="en-US"/>
              </w:rPr>
              <w:t>straipsnio 1 dalies 1 punkte, rodiklių siektinas reikšmes, neatliekamas.</w:t>
            </w:r>
          </w:p>
          <w:p w14:paraId="7EB56E81" w14:textId="77777777" w:rsidR="003B104F" w:rsidRPr="003B104F" w:rsidRDefault="003B104F" w:rsidP="003B104F">
            <w:pPr>
              <w:suppressAutoHyphens w:val="0"/>
              <w:ind w:left="1"/>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3696C798" w14:textId="77777777" w:rsidR="003B104F" w:rsidRDefault="003B104F" w:rsidP="003B104F">
            <w:pPr>
              <w:suppressAutoHyphens w:val="0"/>
              <w:rPr>
                <w:lang w:eastAsia="en-US"/>
              </w:rPr>
            </w:pPr>
            <w:r w:rsidRPr="003B104F">
              <w:rPr>
                <w:lang w:eastAsia="en-US"/>
              </w:rPr>
              <w:t>Nenuostolinga</w:t>
            </w:r>
          </w:p>
          <w:p w14:paraId="611B27DC" w14:textId="2C56AD9D" w:rsidR="006207AC" w:rsidRDefault="006207AC" w:rsidP="003B104F">
            <w:pPr>
              <w:suppressAutoHyphens w:val="0"/>
              <w:rPr>
                <w:lang w:eastAsia="en-US"/>
              </w:rPr>
            </w:pPr>
            <w:r>
              <w:rPr>
                <w:lang w:eastAsia="en-US"/>
              </w:rPr>
              <w:t>(Pasiekta reikšmė</w:t>
            </w:r>
          </w:p>
          <w:p w14:paraId="115D4D77" w14:textId="144F2F03" w:rsidR="006207AC" w:rsidRPr="003B104F" w:rsidRDefault="006207AC" w:rsidP="003B104F">
            <w:pPr>
              <w:suppressAutoHyphens w:val="0"/>
              <w:rPr>
                <w:lang w:eastAsia="en-US"/>
              </w:rPr>
            </w:pPr>
            <w:r>
              <w:rPr>
                <w:lang w:eastAsia="en-US"/>
              </w:rPr>
              <w:t xml:space="preserve">10509 </w:t>
            </w:r>
            <w:proofErr w:type="spellStart"/>
            <w:r>
              <w:rPr>
                <w:lang w:eastAsia="en-US"/>
              </w:rPr>
              <w:t>eur</w:t>
            </w:r>
            <w:proofErr w:type="spellEnd"/>
            <w:r>
              <w:rPr>
                <w:lang w:eastAsia="en-US"/>
              </w:rPr>
              <w:t>)</w:t>
            </w:r>
          </w:p>
        </w:tc>
        <w:tc>
          <w:tcPr>
            <w:tcW w:w="2097" w:type="dxa"/>
            <w:tcBorders>
              <w:top w:val="single" w:sz="4" w:space="0" w:color="000000"/>
              <w:left w:val="single" w:sz="4" w:space="0" w:color="000000"/>
              <w:bottom w:val="single" w:sz="4" w:space="0" w:color="000000"/>
              <w:right w:val="single" w:sz="4" w:space="0" w:color="000000"/>
            </w:tcBorders>
          </w:tcPr>
          <w:p w14:paraId="6D76C2A4" w14:textId="77777777" w:rsidR="003B104F" w:rsidRDefault="003B104F" w:rsidP="003B104F">
            <w:pPr>
              <w:suppressAutoHyphens w:val="0"/>
              <w:rPr>
                <w:lang w:eastAsia="en-US"/>
              </w:rPr>
            </w:pPr>
            <w:r w:rsidRPr="003B104F">
              <w:rPr>
                <w:lang w:eastAsia="en-US"/>
              </w:rPr>
              <w:t>10 balų</w:t>
            </w:r>
          </w:p>
          <w:p w14:paraId="437198C9" w14:textId="3F07775C" w:rsidR="00E079CE" w:rsidRPr="003B104F" w:rsidRDefault="00E079CE" w:rsidP="003B104F">
            <w:pPr>
              <w:suppressAutoHyphens w:val="0"/>
              <w:rPr>
                <w:lang w:eastAsia="en-US"/>
              </w:rPr>
            </w:pPr>
          </w:p>
        </w:tc>
      </w:tr>
      <w:tr w:rsidR="003B104F" w:rsidRPr="003B104F" w14:paraId="34316D07" w14:textId="77777777" w:rsidTr="00EF3870">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12786B51" w14:textId="77777777" w:rsidR="003B104F" w:rsidRPr="003B104F" w:rsidRDefault="003B104F" w:rsidP="003B104F">
            <w:pPr>
              <w:suppressAutoHyphens w:val="0"/>
              <w:jc w:val="center"/>
              <w:rPr>
                <w:b/>
                <w:lang w:eastAsia="en-US"/>
              </w:rPr>
            </w:pPr>
            <w:r w:rsidRPr="003B104F">
              <w:rPr>
                <w:b/>
                <w:lang w:eastAsia="en-US"/>
              </w:rPr>
              <w:t>2.</w:t>
            </w:r>
          </w:p>
        </w:tc>
        <w:tc>
          <w:tcPr>
            <w:tcW w:w="2439" w:type="dxa"/>
            <w:tcBorders>
              <w:top w:val="single" w:sz="4" w:space="0" w:color="000000"/>
              <w:left w:val="single" w:sz="4" w:space="0" w:color="000000"/>
              <w:bottom w:val="single" w:sz="4" w:space="0" w:color="000000"/>
              <w:right w:val="single" w:sz="4" w:space="0" w:color="000000"/>
            </w:tcBorders>
            <w:hideMark/>
          </w:tcPr>
          <w:p w14:paraId="30B9AAAA" w14:textId="77777777" w:rsidR="003B104F" w:rsidRPr="003B104F" w:rsidRDefault="003B104F" w:rsidP="003B104F">
            <w:pPr>
              <w:suppressAutoHyphens w:val="0"/>
              <w:rPr>
                <w:lang w:eastAsia="en-US"/>
              </w:rPr>
            </w:pPr>
            <w:r w:rsidRPr="003B104F">
              <w:rPr>
                <w:lang w:eastAsia="en-US"/>
              </w:rPr>
              <w:t>Įstaigos sąnaudų darbo užmokesčiui dalis</w:t>
            </w:r>
          </w:p>
        </w:tc>
        <w:tc>
          <w:tcPr>
            <w:tcW w:w="2551" w:type="dxa"/>
            <w:tcBorders>
              <w:top w:val="single" w:sz="4" w:space="0" w:color="000000"/>
              <w:left w:val="single" w:sz="4" w:space="0" w:color="000000"/>
              <w:bottom w:val="single" w:sz="4" w:space="0" w:color="000000"/>
              <w:right w:val="single" w:sz="4" w:space="0" w:color="000000"/>
            </w:tcBorders>
            <w:hideMark/>
          </w:tcPr>
          <w:p w14:paraId="5DD503FD" w14:textId="77777777" w:rsidR="003B104F" w:rsidRPr="003B104F" w:rsidRDefault="003B104F" w:rsidP="00C30ED2">
            <w:pPr>
              <w:suppressAutoHyphens w:val="0"/>
              <w:rPr>
                <w:lang w:eastAsia="en-US"/>
              </w:rPr>
            </w:pPr>
            <w:r w:rsidRPr="003B104F">
              <w:rPr>
                <w:lang w:eastAsia="en-US"/>
              </w:rPr>
              <w:t>Valstybės institucijoms skyrus papildomų Privalomojo sveikatos draudimo fondo (toliau – PSDF) biudžeto lėšų asmens sveikatos priežiūros paslaugoms apmokėti ir rekomendavus jas skirti sveikatos priežiūros specialistų darbo užmokesčiui didinti, ne mažiau kaip 80 proc. nurodytų lėšų panaudojamos darbo užmokesčiui didinti</w:t>
            </w:r>
          </w:p>
        </w:tc>
        <w:tc>
          <w:tcPr>
            <w:tcW w:w="3828" w:type="dxa"/>
            <w:tcBorders>
              <w:top w:val="single" w:sz="4" w:space="0" w:color="000000"/>
              <w:left w:val="single" w:sz="4" w:space="0" w:color="000000"/>
              <w:bottom w:val="single" w:sz="4" w:space="0" w:color="000000"/>
              <w:right w:val="single" w:sz="4" w:space="0" w:color="000000"/>
            </w:tcBorders>
            <w:hideMark/>
          </w:tcPr>
          <w:p w14:paraId="5006DEA5" w14:textId="77777777" w:rsidR="003B104F" w:rsidRPr="003B104F" w:rsidRDefault="003B104F" w:rsidP="003B104F">
            <w:pPr>
              <w:suppressAutoHyphens w:val="0"/>
              <w:jc w:val="both"/>
              <w:rPr>
                <w:lang w:eastAsia="en-US"/>
              </w:rPr>
            </w:pPr>
            <w:r w:rsidRPr="003B104F">
              <w:rPr>
                <w:lang w:eastAsia="en-US"/>
              </w:rPr>
              <w:t>Jei rodiklio pasiekta reikšmė lygi arba didesnė nei siektina reikšmė – 10 balų</w:t>
            </w:r>
          </w:p>
          <w:p w14:paraId="329842B3" w14:textId="77777777" w:rsidR="003B104F" w:rsidRPr="003B104F" w:rsidRDefault="003B104F" w:rsidP="003B104F">
            <w:pPr>
              <w:suppressAutoHyphens w:val="0"/>
              <w:jc w:val="both"/>
              <w:rPr>
                <w:lang w:eastAsia="en-US"/>
              </w:rPr>
            </w:pPr>
            <w:r w:rsidRPr="003B104F">
              <w:rPr>
                <w:lang w:eastAsia="en-US"/>
              </w:rPr>
              <w:t>Jei rodiklio pasiekta reikšmė mažesnė už siektiną reikšmę – 0 balų</w:t>
            </w:r>
          </w:p>
        </w:tc>
        <w:tc>
          <w:tcPr>
            <w:tcW w:w="2126" w:type="dxa"/>
            <w:tcBorders>
              <w:top w:val="single" w:sz="4" w:space="0" w:color="000000"/>
              <w:left w:val="single" w:sz="4" w:space="0" w:color="000000"/>
              <w:bottom w:val="single" w:sz="4" w:space="0" w:color="000000"/>
              <w:right w:val="single" w:sz="4" w:space="0" w:color="000000"/>
            </w:tcBorders>
          </w:tcPr>
          <w:p w14:paraId="16438FF1" w14:textId="77777777" w:rsidR="003B104F" w:rsidRPr="003B104F" w:rsidRDefault="003B104F" w:rsidP="003B104F">
            <w:pPr>
              <w:suppressAutoHyphens w:val="0"/>
              <w:rPr>
                <w:rFonts w:eastAsia="Calibri"/>
                <w:color w:val="000000"/>
                <w:lang w:eastAsia="en-US"/>
              </w:rPr>
            </w:pPr>
            <w:r w:rsidRPr="003B104F">
              <w:rPr>
                <w:rFonts w:eastAsia="Calibri"/>
                <w:color w:val="000000"/>
                <w:lang w:eastAsia="en-US"/>
              </w:rPr>
              <w:t xml:space="preserve">Įvykdyta. </w:t>
            </w:r>
          </w:p>
          <w:p w14:paraId="489BE4A3" w14:textId="50607B37" w:rsidR="003B104F" w:rsidRPr="003B104F" w:rsidRDefault="006207AC" w:rsidP="006207AC">
            <w:pPr>
              <w:suppressAutoHyphens w:val="0"/>
              <w:rPr>
                <w:lang w:eastAsia="en-US"/>
              </w:rPr>
            </w:pPr>
            <w:r>
              <w:rPr>
                <w:rFonts w:eastAsia="Calibri"/>
                <w:color w:val="000000"/>
                <w:lang w:eastAsia="en-US"/>
              </w:rPr>
              <w:t>155,3</w:t>
            </w:r>
            <w:r w:rsidR="00E85F0D">
              <w:rPr>
                <w:rFonts w:eastAsia="Calibri"/>
                <w:color w:val="000000"/>
                <w:lang w:eastAsia="en-US"/>
              </w:rPr>
              <w:t xml:space="preserve"> proc.</w:t>
            </w:r>
          </w:p>
        </w:tc>
        <w:tc>
          <w:tcPr>
            <w:tcW w:w="2097" w:type="dxa"/>
            <w:tcBorders>
              <w:top w:val="single" w:sz="4" w:space="0" w:color="000000"/>
              <w:left w:val="single" w:sz="4" w:space="0" w:color="000000"/>
              <w:bottom w:val="single" w:sz="4" w:space="0" w:color="000000"/>
              <w:right w:val="single" w:sz="4" w:space="0" w:color="000000"/>
            </w:tcBorders>
          </w:tcPr>
          <w:p w14:paraId="1F9F0FE4" w14:textId="77777777" w:rsidR="003B104F" w:rsidRPr="003B104F" w:rsidRDefault="003B104F" w:rsidP="003B104F">
            <w:pPr>
              <w:suppressAutoHyphens w:val="0"/>
              <w:rPr>
                <w:lang w:eastAsia="en-US"/>
              </w:rPr>
            </w:pPr>
            <w:r w:rsidRPr="003B104F">
              <w:rPr>
                <w:lang w:eastAsia="en-US"/>
              </w:rPr>
              <w:t>10 balų</w:t>
            </w:r>
          </w:p>
        </w:tc>
      </w:tr>
      <w:tr w:rsidR="003B104F" w:rsidRPr="003B104F" w14:paraId="614DEEE7" w14:textId="77777777" w:rsidTr="00EF3870">
        <w:trPr>
          <w:gridAfter w:val="1"/>
          <w:wAfter w:w="12" w:type="dxa"/>
        </w:trPr>
        <w:tc>
          <w:tcPr>
            <w:tcW w:w="708" w:type="dxa"/>
            <w:tcBorders>
              <w:top w:val="single" w:sz="4" w:space="0" w:color="000000"/>
              <w:left w:val="single" w:sz="4" w:space="0" w:color="000000"/>
              <w:bottom w:val="single" w:sz="4" w:space="0" w:color="000000"/>
              <w:right w:val="single" w:sz="4" w:space="0" w:color="000000"/>
            </w:tcBorders>
          </w:tcPr>
          <w:p w14:paraId="67307F28" w14:textId="77777777" w:rsidR="003B104F" w:rsidRPr="003B104F" w:rsidRDefault="003B104F" w:rsidP="003B104F">
            <w:pPr>
              <w:suppressAutoHyphens w:val="0"/>
              <w:jc w:val="center"/>
              <w:rPr>
                <w:b/>
                <w:lang w:eastAsia="en-US"/>
              </w:rPr>
            </w:pPr>
            <w:r w:rsidRPr="003B104F">
              <w:rPr>
                <w:b/>
                <w:lang w:eastAsia="en-US"/>
              </w:rPr>
              <w:t>3.</w:t>
            </w:r>
          </w:p>
        </w:tc>
        <w:tc>
          <w:tcPr>
            <w:tcW w:w="2439" w:type="dxa"/>
            <w:tcBorders>
              <w:top w:val="single" w:sz="4" w:space="0" w:color="000000"/>
              <w:left w:val="single" w:sz="4" w:space="0" w:color="000000"/>
              <w:bottom w:val="single" w:sz="4" w:space="0" w:color="000000"/>
              <w:right w:val="single" w:sz="4" w:space="0" w:color="000000"/>
            </w:tcBorders>
          </w:tcPr>
          <w:p w14:paraId="4A8B04A9" w14:textId="77777777" w:rsidR="003B104F" w:rsidRPr="003B104F" w:rsidRDefault="003B104F" w:rsidP="003B104F">
            <w:pPr>
              <w:suppressAutoHyphens w:val="0"/>
              <w:ind w:left="1"/>
              <w:rPr>
                <w:rFonts w:ascii="TimesLT" w:hAnsi="TimesLT" w:cs="TimesLT"/>
                <w:lang w:eastAsia="en-US"/>
              </w:rPr>
            </w:pPr>
            <w:r w:rsidRPr="003B104F">
              <w:rPr>
                <w:lang w:eastAsia="en-US"/>
              </w:rPr>
              <w:t>Įstaigos sąnaudų valdymo išlaidoms dalis</w:t>
            </w:r>
          </w:p>
        </w:tc>
        <w:tc>
          <w:tcPr>
            <w:tcW w:w="2551" w:type="dxa"/>
            <w:tcBorders>
              <w:top w:val="single" w:sz="4" w:space="0" w:color="000000"/>
              <w:left w:val="single" w:sz="4" w:space="0" w:color="000000"/>
              <w:bottom w:val="single" w:sz="4" w:space="0" w:color="000000"/>
              <w:right w:val="single" w:sz="4" w:space="0" w:color="000000"/>
            </w:tcBorders>
          </w:tcPr>
          <w:p w14:paraId="523EAD25" w14:textId="77777777" w:rsidR="003B104F" w:rsidRPr="003B104F" w:rsidRDefault="003B104F" w:rsidP="003B104F">
            <w:pPr>
              <w:suppressAutoHyphens w:val="0"/>
              <w:rPr>
                <w:lang w:eastAsia="en-US"/>
              </w:rPr>
            </w:pPr>
            <w:r w:rsidRPr="003B104F">
              <w:rPr>
                <w:lang w:eastAsia="en-US"/>
              </w:rPr>
              <w:t xml:space="preserve">Įstaigos sąnaudų valdymo išlaidoms dalis </w:t>
            </w:r>
            <w:r w:rsidRPr="003B104F">
              <w:rPr>
                <w:lang w:eastAsia="en-US"/>
              </w:rPr>
              <w:lastRenderedPageBreak/>
              <w:t>ne daugiau kaip 7,2 proc.</w:t>
            </w:r>
          </w:p>
        </w:tc>
        <w:tc>
          <w:tcPr>
            <w:tcW w:w="3828" w:type="dxa"/>
            <w:tcBorders>
              <w:top w:val="single" w:sz="4" w:space="0" w:color="000000"/>
              <w:left w:val="single" w:sz="4" w:space="0" w:color="000000"/>
              <w:bottom w:val="single" w:sz="4" w:space="0" w:color="000000"/>
              <w:right w:val="single" w:sz="4" w:space="0" w:color="000000"/>
            </w:tcBorders>
          </w:tcPr>
          <w:p w14:paraId="498557E8" w14:textId="77777777" w:rsidR="003B104F" w:rsidRPr="003B104F" w:rsidRDefault="003B104F" w:rsidP="003B104F">
            <w:pPr>
              <w:suppressAutoHyphens w:val="0"/>
              <w:ind w:left="1"/>
              <w:rPr>
                <w:lang w:eastAsia="en-US"/>
              </w:rPr>
            </w:pPr>
            <w:r w:rsidRPr="003B104F">
              <w:rPr>
                <w:lang w:eastAsia="en-US"/>
              </w:rPr>
              <w:lastRenderedPageBreak/>
              <w:t>Jei rodiklio pasiekta reikšmė mažesnė arba lygi siektinai reikšmei – 10 balų</w:t>
            </w:r>
          </w:p>
          <w:p w14:paraId="1B8A359A" w14:textId="77777777" w:rsidR="003B104F" w:rsidRPr="003B104F" w:rsidRDefault="003B104F" w:rsidP="003B104F">
            <w:pPr>
              <w:suppressAutoHyphens w:val="0"/>
              <w:ind w:left="1"/>
              <w:rPr>
                <w:lang w:eastAsia="en-US"/>
              </w:rPr>
            </w:pPr>
            <w:r w:rsidRPr="003B104F">
              <w:rPr>
                <w:lang w:eastAsia="en-US"/>
              </w:rPr>
              <w:lastRenderedPageBreak/>
              <w:t>Jei rodiklio pasiekta reikšmė didesnė už siektiną reikšmę – 0 balų</w:t>
            </w:r>
          </w:p>
          <w:p w14:paraId="20371204" w14:textId="77777777" w:rsidR="003B104F" w:rsidRPr="003B104F" w:rsidRDefault="003B104F" w:rsidP="003B104F">
            <w:pPr>
              <w:suppressAutoHyphens w:val="0"/>
              <w:rPr>
                <w:highlight w:val="yellow"/>
                <w:lang w:eastAsia="en-US"/>
              </w:rPr>
            </w:pPr>
          </w:p>
          <w:p w14:paraId="7BBAD859" w14:textId="77777777" w:rsidR="003B104F" w:rsidRPr="003B104F" w:rsidRDefault="003B104F" w:rsidP="003B104F">
            <w:pPr>
              <w:suppressAutoHyphens w:val="0"/>
              <w:rPr>
                <w:highlight w:val="yellow"/>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4A0AD7AD" w14:textId="647B0847" w:rsidR="003B104F" w:rsidRPr="003B104F" w:rsidRDefault="003B104F" w:rsidP="003B104F">
            <w:pPr>
              <w:suppressAutoHyphens w:val="0"/>
              <w:ind w:left="1"/>
              <w:rPr>
                <w:lang w:eastAsia="en-US"/>
              </w:rPr>
            </w:pPr>
            <w:r w:rsidRPr="003B104F">
              <w:rPr>
                <w:lang w:eastAsia="en-US"/>
              </w:rPr>
              <w:lastRenderedPageBreak/>
              <w:t xml:space="preserve">Valdymo sąnaudos </w:t>
            </w:r>
            <w:r w:rsidR="00C759D9">
              <w:rPr>
                <w:lang w:eastAsia="en-US"/>
              </w:rPr>
              <w:t>8,6</w:t>
            </w:r>
            <w:r w:rsidR="00E85F0D">
              <w:rPr>
                <w:lang w:eastAsia="en-US"/>
              </w:rPr>
              <w:t xml:space="preserve"> </w:t>
            </w:r>
            <w:r w:rsidRPr="003B104F">
              <w:rPr>
                <w:lang w:eastAsia="en-US"/>
              </w:rPr>
              <w:t>proc.</w:t>
            </w:r>
          </w:p>
          <w:p w14:paraId="1D00DFBE" w14:textId="77777777" w:rsidR="003B104F" w:rsidRPr="003B104F" w:rsidRDefault="003B104F" w:rsidP="003B104F">
            <w:pPr>
              <w:suppressAutoHyphens w:val="0"/>
              <w:rPr>
                <w:lang w:eastAsia="en-US"/>
              </w:rPr>
            </w:pPr>
          </w:p>
        </w:tc>
        <w:tc>
          <w:tcPr>
            <w:tcW w:w="2097" w:type="dxa"/>
            <w:tcBorders>
              <w:top w:val="single" w:sz="4" w:space="0" w:color="000000"/>
              <w:left w:val="single" w:sz="4" w:space="0" w:color="000000"/>
              <w:bottom w:val="single" w:sz="4" w:space="0" w:color="000000"/>
              <w:right w:val="single" w:sz="4" w:space="0" w:color="000000"/>
            </w:tcBorders>
          </w:tcPr>
          <w:p w14:paraId="459431F9" w14:textId="0405B66B" w:rsidR="003B104F" w:rsidRPr="003B104F" w:rsidRDefault="00C759D9" w:rsidP="003B104F">
            <w:pPr>
              <w:suppressAutoHyphens w:val="0"/>
              <w:rPr>
                <w:lang w:eastAsia="en-US"/>
              </w:rPr>
            </w:pPr>
            <w:r>
              <w:rPr>
                <w:lang w:eastAsia="en-US"/>
              </w:rPr>
              <w:t>0</w:t>
            </w:r>
            <w:r w:rsidR="003B104F" w:rsidRPr="003B104F">
              <w:rPr>
                <w:lang w:eastAsia="en-US"/>
              </w:rPr>
              <w:t xml:space="preserve"> balų</w:t>
            </w:r>
          </w:p>
        </w:tc>
      </w:tr>
      <w:tr w:rsidR="003B104F" w:rsidRPr="003B104F" w14:paraId="511FBF8A" w14:textId="77777777" w:rsidTr="00EF3870">
        <w:trPr>
          <w:gridAfter w:val="1"/>
          <w:wAfter w:w="12" w:type="dxa"/>
        </w:trPr>
        <w:tc>
          <w:tcPr>
            <w:tcW w:w="708" w:type="dxa"/>
            <w:tcBorders>
              <w:top w:val="single" w:sz="4" w:space="0" w:color="000000"/>
              <w:left w:val="single" w:sz="4" w:space="0" w:color="000000"/>
              <w:bottom w:val="single" w:sz="4" w:space="0" w:color="000000"/>
              <w:right w:val="single" w:sz="4" w:space="0" w:color="000000"/>
            </w:tcBorders>
            <w:hideMark/>
          </w:tcPr>
          <w:p w14:paraId="05D2FEC5" w14:textId="77777777" w:rsidR="003B104F" w:rsidRPr="003B104F" w:rsidRDefault="003B104F" w:rsidP="003B104F">
            <w:pPr>
              <w:suppressAutoHyphens w:val="0"/>
              <w:jc w:val="center"/>
              <w:rPr>
                <w:b/>
                <w:lang w:eastAsia="en-US"/>
              </w:rPr>
            </w:pPr>
            <w:r w:rsidRPr="003B104F">
              <w:rPr>
                <w:b/>
                <w:lang w:eastAsia="en-US"/>
              </w:rPr>
              <w:t>4.</w:t>
            </w:r>
          </w:p>
        </w:tc>
        <w:tc>
          <w:tcPr>
            <w:tcW w:w="2439" w:type="dxa"/>
            <w:tcBorders>
              <w:top w:val="single" w:sz="4" w:space="0" w:color="000000"/>
              <w:left w:val="single" w:sz="4" w:space="0" w:color="000000"/>
              <w:bottom w:val="single" w:sz="4" w:space="0" w:color="000000"/>
              <w:right w:val="single" w:sz="4" w:space="0" w:color="000000"/>
            </w:tcBorders>
            <w:hideMark/>
          </w:tcPr>
          <w:p w14:paraId="0A847FCC" w14:textId="77777777" w:rsidR="003B104F" w:rsidRPr="003B104F" w:rsidRDefault="003B104F" w:rsidP="003B104F">
            <w:pPr>
              <w:suppressAutoHyphens w:val="0"/>
              <w:rPr>
                <w:lang w:eastAsia="en-US"/>
              </w:rPr>
            </w:pPr>
            <w:r w:rsidRPr="003B104F">
              <w:rPr>
                <w:lang w:eastAsia="en-US"/>
              </w:rPr>
              <w:t>Įstaigos finansinių įsipareigojimų dalis nuo metinio įstaigos biudžeto</w:t>
            </w:r>
          </w:p>
        </w:tc>
        <w:tc>
          <w:tcPr>
            <w:tcW w:w="2551" w:type="dxa"/>
            <w:tcBorders>
              <w:top w:val="single" w:sz="4" w:space="0" w:color="000000"/>
              <w:left w:val="single" w:sz="4" w:space="0" w:color="000000"/>
              <w:bottom w:val="single" w:sz="4" w:space="0" w:color="000000"/>
              <w:right w:val="single" w:sz="4" w:space="0" w:color="000000"/>
            </w:tcBorders>
            <w:hideMark/>
          </w:tcPr>
          <w:p w14:paraId="18275961" w14:textId="77777777" w:rsidR="003B104F" w:rsidRPr="003B104F" w:rsidRDefault="003B104F" w:rsidP="003B104F">
            <w:pPr>
              <w:suppressAutoHyphens w:val="0"/>
              <w:rPr>
                <w:lang w:eastAsia="en-US"/>
              </w:rPr>
            </w:pPr>
            <w:r w:rsidRPr="003B104F">
              <w:rPr>
                <w:lang w:eastAsia="en-US"/>
              </w:rPr>
              <w:t>Įsipareigojimų koeficientas ne didesnis kaip 0,10</w:t>
            </w:r>
          </w:p>
        </w:tc>
        <w:tc>
          <w:tcPr>
            <w:tcW w:w="3828" w:type="dxa"/>
            <w:tcBorders>
              <w:top w:val="single" w:sz="4" w:space="0" w:color="000000"/>
              <w:left w:val="single" w:sz="4" w:space="0" w:color="000000"/>
              <w:bottom w:val="single" w:sz="4" w:space="0" w:color="000000"/>
              <w:right w:val="single" w:sz="4" w:space="0" w:color="000000"/>
            </w:tcBorders>
          </w:tcPr>
          <w:p w14:paraId="389C8E6B" w14:textId="77777777" w:rsidR="003B104F" w:rsidRPr="003B104F" w:rsidRDefault="003B104F" w:rsidP="003B104F">
            <w:pPr>
              <w:suppressAutoHyphens w:val="0"/>
              <w:ind w:left="1"/>
              <w:rPr>
                <w:lang w:eastAsia="en-US"/>
              </w:rPr>
            </w:pPr>
            <w:r w:rsidRPr="003B104F">
              <w:rPr>
                <w:lang w:eastAsia="en-US"/>
              </w:rPr>
              <w:t>Jei rodiklio pasiekta reikšmė mažesnė arba lygi siektinai reikšmei – 10 balų</w:t>
            </w:r>
          </w:p>
          <w:p w14:paraId="691070D7" w14:textId="77777777" w:rsidR="003B104F" w:rsidRPr="003B104F" w:rsidRDefault="003B104F" w:rsidP="003B104F">
            <w:pPr>
              <w:suppressAutoHyphens w:val="0"/>
              <w:ind w:left="1"/>
              <w:rPr>
                <w:lang w:eastAsia="en-US"/>
              </w:rPr>
            </w:pPr>
            <w:r w:rsidRPr="003B104F">
              <w:rPr>
                <w:lang w:eastAsia="en-US"/>
              </w:rPr>
              <w:t>Jei rodiklio pasiekta reikšmė didesnė už siektiną reikšmę – 0 balų</w:t>
            </w:r>
          </w:p>
        </w:tc>
        <w:tc>
          <w:tcPr>
            <w:tcW w:w="2126" w:type="dxa"/>
            <w:tcBorders>
              <w:top w:val="single" w:sz="4" w:space="0" w:color="000000"/>
              <w:left w:val="single" w:sz="4" w:space="0" w:color="000000"/>
              <w:bottom w:val="single" w:sz="4" w:space="0" w:color="000000"/>
              <w:right w:val="single" w:sz="4" w:space="0" w:color="000000"/>
            </w:tcBorders>
          </w:tcPr>
          <w:p w14:paraId="36C5DD5E" w14:textId="5EDC2881" w:rsidR="003B104F" w:rsidRPr="003B104F" w:rsidRDefault="003B104F" w:rsidP="003B104F">
            <w:pPr>
              <w:suppressAutoHyphens w:val="0"/>
              <w:rPr>
                <w:lang w:eastAsia="en-US"/>
              </w:rPr>
            </w:pPr>
            <w:r w:rsidRPr="003B104F">
              <w:rPr>
                <w:lang w:eastAsia="en-US"/>
              </w:rPr>
              <w:t>Rodiklis 0,</w:t>
            </w:r>
            <w:r w:rsidR="00624047">
              <w:rPr>
                <w:lang w:eastAsia="en-US"/>
              </w:rPr>
              <w:t>06</w:t>
            </w:r>
          </w:p>
          <w:p w14:paraId="5FCA4340" w14:textId="77777777" w:rsidR="003B104F" w:rsidRPr="003B104F" w:rsidRDefault="003B104F" w:rsidP="003B104F">
            <w:pPr>
              <w:suppressAutoHyphens w:val="0"/>
              <w:rPr>
                <w:lang w:eastAsia="en-US"/>
              </w:rPr>
            </w:pPr>
          </w:p>
        </w:tc>
        <w:tc>
          <w:tcPr>
            <w:tcW w:w="2097" w:type="dxa"/>
            <w:tcBorders>
              <w:top w:val="single" w:sz="4" w:space="0" w:color="000000"/>
              <w:left w:val="single" w:sz="4" w:space="0" w:color="000000"/>
              <w:bottom w:val="single" w:sz="4" w:space="0" w:color="000000"/>
              <w:right w:val="single" w:sz="4" w:space="0" w:color="000000"/>
            </w:tcBorders>
          </w:tcPr>
          <w:p w14:paraId="6D82E1DD" w14:textId="77777777" w:rsidR="003B104F" w:rsidRPr="003B104F" w:rsidRDefault="003B104F" w:rsidP="003B104F">
            <w:pPr>
              <w:suppressAutoHyphens w:val="0"/>
              <w:rPr>
                <w:lang w:eastAsia="en-US"/>
              </w:rPr>
            </w:pPr>
            <w:r w:rsidRPr="003B104F">
              <w:rPr>
                <w:lang w:eastAsia="en-US"/>
              </w:rPr>
              <w:t>10 balų</w:t>
            </w:r>
          </w:p>
        </w:tc>
      </w:tr>
      <w:tr w:rsidR="003B104F" w:rsidRPr="003B104F" w14:paraId="30D5DD88" w14:textId="77777777" w:rsidTr="00EF3870">
        <w:trPr>
          <w:gridAfter w:val="1"/>
          <w:wAfter w:w="12" w:type="dxa"/>
        </w:trPr>
        <w:tc>
          <w:tcPr>
            <w:tcW w:w="708" w:type="dxa"/>
            <w:tcBorders>
              <w:top w:val="single" w:sz="4" w:space="0" w:color="000000"/>
              <w:left w:val="single" w:sz="4" w:space="0" w:color="000000"/>
              <w:bottom w:val="single" w:sz="4" w:space="0" w:color="000000"/>
              <w:right w:val="single" w:sz="4" w:space="0" w:color="000000"/>
            </w:tcBorders>
          </w:tcPr>
          <w:p w14:paraId="4A03EC78" w14:textId="77777777" w:rsidR="003B104F" w:rsidRPr="003B104F" w:rsidRDefault="003B104F" w:rsidP="003B104F">
            <w:pPr>
              <w:suppressAutoHyphens w:val="0"/>
              <w:jc w:val="center"/>
              <w:rPr>
                <w:b/>
                <w:lang w:eastAsia="en-US"/>
              </w:rPr>
            </w:pPr>
            <w:r w:rsidRPr="003B104F">
              <w:rPr>
                <w:b/>
                <w:lang w:eastAsia="en-US"/>
              </w:rPr>
              <w:t>5.</w:t>
            </w:r>
          </w:p>
        </w:tc>
        <w:tc>
          <w:tcPr>
            <w:tcW w:w="2439" w:type="dxa"/>
            <w:tcBorders>
              <w:top w:val="single" w:sz="4" w:space="0" w:color="000000"/>
              <w:left w:val="single" w:sz="4" w:space="0" w:color="000000"/>
              <w:bottom w:val="single" w:sz="4" w:space="0" w:color="000000"/>
              <w:right w:val="single" w:sz="4" w:space="0" w:color="000000"/>
            </w:tcBorders>
          </w:tcPr>
          <w:p w14:paraId="1393A18C" w14:textId="77777777" w:rsidR="003B104F" w:rsidRPr="003B104F" w:rsidRDefault="003B104F" w:rsidP="003B104F">
            <w:pPr>
              <w:suppressAutoHyphens w:val="0"/>
              <w:ind w:right="7"/>
              <w:rPr>
                <w:lang w:eastAsia="lt-LT"/>
              </w:rPr>
            </w:pPr>
            <w:r w:rsidRPr="003B104F">
              <w:rPr>
                <w:lang w:eastAsia="en-US"/>
              </w:rPr>
              <w:t xml:space="preserve">Papildomų finansavimo šaltinių pritraukimas </w:t>
            </w:r>
          </w:p>
          <w:p w14:paraId="21A92531" w14:textId="77777777" w:rsidR="003B104F" w:rsidRPr="003B104F" w:rsidRDefault="003B104F" w:rsidP="003B104F">
            <w:pPr>
              <w:suppressAutoHyphens w:val="0"/>
              <w:rPr>
                <w:lang w:eastAsia="en-US"/>
              </w:rPr>
            </w:pPr>
          </w:p>
        </w:tc>
        <w:tc>
          <w:tcPr>
            <w:tcW w:w="2551" w:type="dxa"/>
            <w:tcBorders>
              <w:top w:val="single" w:sz="4" w:space="0" w:color="000000"/>
              <w:left w:val="single" w:sz="4" w:space="0" w:color="000000"/>
              <w:bottom w:val="single" w:sz="4" w:space="0" w:color="000000"/>
              <w:right w:val="single" w:sz="4" w:space="0" w:color="000000"/>
            </w:tcBorders>
          </w:tcPr>
          <w:p w14:paraId="71049E84" w14:textId="77777777" w:rsidR="003B104F" w:rsidRPr="003B104F" w:rsidRDefault="003B104F" w:rsidP="003B104F">
            <w:pPr>
              <w:suppressAutoHyphens w:val="0"/>
              <w:ind w:left="6"/>
              <w:rPr>
                <w:lang w:eastAsia="lt-LT"/>
              </w:rPr>
            </w:pPr>
            <w:r w:rsidRPr="003B104F">
              <w:rPr>
                <w:lang w:eastAsia="en-US"/>
              </w:rPr>
              <w:t>Nenustatoma</w:t>
            </w:r>
          </w:p>
          <w:p w14:paraId="5942265D" w14:textId="77777777" w:rsidR="003B104F" w:rsidRPr="003B104F" w:rsidRDefault="003B104F" w:rsidP="003B104F">
            <w:pPr>
              <w:suppressAutoHyphens w:val="0"/>
              <w:ind w:left="6"/>
              <w:jc w:val="center"/>
              <w:rPr>
                <w:lang w:eastAsia="en-US"/>
              </w:rPr>
            </w:pPr>
          </w:p>
          <w:p w14:paraId="59C693BA" w14:textId="77777777" w:rsidR="003B104F" w:rsidRPr="003B104F" w:rsidRDefault="003B104F" w:rsidP="003B104F">
            <w:pPr>
              <w:suppressAutoHyphens w:val="0"/>
              <w:rPr>
                <w:lang w:eastAsia="en-US"/>
              </w:rPr>
            </w:pPr>
          </w:p>
        </w:tc>
        <w:tc>
          <w:tcPr>
            <w:tcW w:w="3828" w:type="dxa"/>
            <w:tcBorders>
              <w:top w:val="single" w:sz="4" w:space="0" w:color="000000"/>
              <w:left w:val="single" w:sz="4" w:space="0" w:color="000000"/>
              <w:bottom w:val="single" w:sz="4" w:space="0" w:color="000000"/>
              <w:right w:val="single" w:sz="4" w:space="0" w:color="000000"/>
            </w:tcBorders>
          </w:tcPr>
          <w:p w14:paraId="321E2D86" w14:textId="77777777" w:rsidR="003B104F" w:rsidRPr="003B104F" w:rsidRDefault="003B104F" w:rsidP="003B104F">
            <w:pPr>
              <w:suppressAutoHyphens w:val="0"/>
              <w:ind w:left="6"/>
              <w:rPr>
                <w:lang w:eastAsia="en-US"/>
              </w:rPr>
            </w:pPr>
            <w:r w:rsidRPr="003B104F">
              <w:rPr>
                <w:lang w:eastAsia="en-US"/>
              </w:rPr>
              <w:t>Nenustatoma</w:t>
            </w:r>
          </w:p>
          <w:p w14:paraId="4AC5372F" w14:textId="77777777" w:rsidR="003B104F" w:rsidRPr="003B104F" w:rsidRDefault="003B104F" w:rsidP="003B104F">
            <w:pPr>
              <w:suppressAutoHyphens w:val="0"/>
              <w:rPr>
                <w:lang w:eastAsia="en-US"/>
              </w:rPr>
            </w:pPr>
          </w:p>
        </w:tc>
        <w:tc>
          <w:tcPr>
            <w:tcW w:w="2126" w:type="dxa"/>
            <w:tcBorders>
              <w:top w:val="single" w:sz="4" w:space="0" w:color="000000"/>
              <w:left w:val="single" w:sz="4" w:space="0" w:color="000000"/>
              <w:bottom w:val="single" w:sz="4" w:space="0" w:color="000000"/>
              <w:right w:val="single" w:sz="4" w:space="0" w:color="000000"/>
            </w:tcBorders>
          </w:tcPr>
          <w:p w14:paraId="0AE2E72F" w14:textId="77777777" w:rsidR="003B104F" w:rsidRPr="003B104F" w:rsidRDefault="003B104F" w:rsidP="003B104F">
            <w:pPr>
              <w:suppressAutoHyphens w:val="0"/>
              <w:ind w:left="6"/>
              <w:rPr>
                <w:lang w:eastAsia="en-US"/>
              </w:rPr>
            </w:pPr>
            <w:r w:rsidRPr="003B104F">
              <w:rPr>
                <w:lang w:eastAsia="en-US"/>
              </w:rPr>
              <w:t>Nevertinama</w:t>
            </w:r>
          </w:p>
          <w:p w14:paraId="3DCBB923" w14:textId="77777777" w:rsidR="003B104F" w:rsidRPr="003B104F" w:rsidRDefault="003B104F" w:rsidP="003B104F">
            <w:pPr>
              <w:suppressAutoHyphens w:val="0"/>
              <w:rPr>
                <w:lang w:eastAsia="en-US"/>
              </w:rPr>
            </w:pPr>
          </w:p>
        </w:tc>
        <w:tc>
          <w:tcPr>
            <w:tcW w:w="2097" w:type="dxa"/>
            <w:tcBorders>
              <w:top w:val="single" w:sz="4" w:space="0" w:color="000000"/>
              <w:left w:val="single" w:sz="4" w:space="0" w:color="000000"/>
              <w:bottom w:val="single" w:sz="4" w:space="0" w:color="000000"/>
              <w:right w:val="single" w:sz="4" w:space="0" w:color="000000"/>
            </w:tcBorders>
          </w:tcPr>
          <w:p w14:paraId="4B8A3CFF" w14:textId="77777777" w:rsidR="003B104F" w:rsidRPr="003B104F" w:rsidRDefault="003B104F" w:rsidP="003B104F">
            <w:pPr>
              <w:suppressAutoHyphens w:val="0"/>
              <w:ind w:left="6"/>
              <w:rPr>
                <w:lang w:eastAsia="en-US"/>
              </w:rPr>
            </w:pPr>
            <w:r w:rsidRPr="003B104F">
              <w:rPr>
                <w:lang w:eastAsia="en-US"/>
              </w:rPr>
              <w:t>Nevertinama</w:t>
            </w:r>
          </w:p>
          <w:p w14:paraId="1152CED8" w14:textId="77777777" w:rsidR="003B104F" w:rsidRPr="003B104F" w:rsidRDefault="003B104F" w:rsidP="003B104F">
            <w:pPr>
              <w:suppressAutoHyphens w:val="0"/>
              <w:rPr>
                <w:highlight w:val="yellow"/>
                <w:lang w:eastAsia="en-US"/>
              </w:rPr>
            </w:pPr>
          </w:p>
        </w:tc>
      </w:tr>
      <w:tr w:rsidR="003B104F" w:rsidRPr="003B104F" w14:paraId="21964725" w14:textId="77777777" w:rsidTr="007242A1">
        <w:trPr>
          <w:gridAfter w:val="1"/>
          <w:wAfter w:w="12" w:type="dxa"/>
          <w:trHeight w:val="480"/>
        </w:trPr>
        <w:tc>
          <w:tcPr>
            <w:tcW w:w="13749" w:type="dxa"/>
            <w:gridSpan w:val="6"/>
            <w:tcBorders>
              <w:top w:val="single" w:sz="4" w:space="0" w:color="auto"/>
              <w:left w:val="single" w:sz="4" w:space="0" w:color="000000"/>
              <w:bottom w:val="single" w:sz="4" w:space="0" w:color="auto"/>
              <w:right w:val="single" w:sz="4" w:space="0" w:color="000000"/>
            </w:tcBorders>
          </w:tcPr>
          <w:p w14:paraId="0157D515" w14:textId="77777777" w:rsidR="003B104F" w:rsidRPr="003B104F" w:rsidRDefault="003B104F" w:rsidP="003B104F">
            <w:pPr>
              <w:suppressAutoHyphens w:val="0"/>
              <w:jc w:val="center"/>
              <w:rPr>
                <w:b/>
                <w:highlight w:val="yellow"/>
                <w:lang w:eastAsia="en-US"/>
              </w:rPr>
            </w:pPr>
            <w:r w:rsidRPr="003B104F">
              <w:rPr>
                <w:b/>
                <w:lang w:eastAsia="en-US"/>
              </w:rPr>
              <w:t>Veiklos rezultatų vertinimo rodikliai</w:t>
            </w:r>
          </w:p>
        </w:tc>
      </w:tr>
      <w:tr w:rsidR="003B104F" w:rsidRPr="003B104F" w14:paraId="2978A823" w14:textId="77777777" w:rsidTr="00EF3870">
        <w:trPr>
          <w:gridAfter w:val="1"/>
          <w:wAfter w:w="12" w:type="dxa"/>
          <w:trHeight w:val="556"/>
        </w:trPr>
        <w:tc>
          <w:tcPr>
            <w:tcW w:w="708" w:type="dxa"/>
            <w:tcBorders>
              <w:top w:val="single" w:sz="4" w:space="0" w:color="auto"/>
              <w:left w:val="single" w:sz="4" w:space="0" w:color="000000"/>
              <w:bottom w:val="single" w:sz="4" w:space="0" w:color="auto"/>
              <w:right w:val="single" w:sz="4" w:space="0" w:color="000000"/>
            </w:tcBorders>
          </w:tcPr>
          <w:p w14:paraId="1D3418FB" w14:textId="77777777" w:rsidR="003B104F" w:rsidRPr="003B104F" w:rsidRDefault="003B104F" w:rsidP="003B104F">
            <w:pPr>
              <w:suppressAutoHyphens w:val="0"/>
              <w:jc w:val="center"/>
              <w:rPr>
                <w:b/>
                <w:lang w:eastAsia="en-US"/>
              </w:rPr>
            </w:pPr>
            <w:r w:rsidRPr="003B104F">
              <w:rPr>
                <w:b/>
                <w:lang w:eastAsia="en-US"/>
              </w:rPr>
              <w:t>1.</w:t>
            </w:r>
          </w:p>
        </w:tc>
        <w:tc>
          <w:tcPr>
            <w:tcW w:w="2439" w:type="dxa"/>
            <w:tcBorders>
              <w:top w:val="single" w:sz="4" w:space="0" w:color="auto"/>
              <w:left w:val="single" w:sz="4" w:space="0" w:color="000000"/>
              <w:bottom w:val="single" w:sz="4" w:space="0" w:color="auto"/>
              <w:right w:val="single" w:sz="4" w:space="0" w:color="000000"/>
            </w:tcBorders>
            <w:hideMark/>
          </w:tcPr>
          <w:p w14:paraId="72AF1F8C" w14:textId="77777777" w:rsidR="003B104F" w:rsidRPr="003B104F" w:rsidRDefault="003B104F" w:rsidP="003B104F">
            <w:pPr>
              <w:suppressAutoHyphens w:val="0"/>
              <w:spacing w:line="259" w:lineRule="auto"/>
              <w:rPr>
                <w:rFonts w:cs="TimesLT"/>
                <w:lang w:eastAsia="en-US"/>
              </w:rPr>
            </w:pPr>
            <w:r w:rsidRPr="003B104F">
              <w:rPr>
                <w:rFonts w:cs="TimesLT"/>
                <w:lang w:eastAsia="en-US"/>
              </w:rPr>
              <w:t>Pacientų pasitenkinimo įstaigos teikiamomis asmens sveikatos priežiūros paslaugomis (toliau – ASPP) lygis, tai yra pacientų teigiamai įvertintų įstaigoje suteiktų paslaugų skaičiaus dalis nuo visų per metus įstaigoje suteiktų asmens sveikatos priežiūros paslaugų skaičiaus pagal sveikatos apsaugos ministro nustatytas paslaugų grupes</w:t>
            </w:r>
          </w:p>
        </w:tc>
        <w:tc>
          <w:tcPr>
            <w:tcW w:w="2551" w:type="dxa"/>
            <w:tcBorders>
              <w:top w:val="single" w:sz="4" w:space="0" w:color="auto"/>
              <w:left w:val="single" w:sz="4" w:space="0" w:color="000000"/>
              <w:bottom w:val="single" w:sz="4" w:space="0" w:color="auto"/>
              <w:right w:val="single" w:sz="4" w:space="0" w:color="000000"/>
            </w:tcBorders>
          </w:tcPr>
          <w:p w14:paraId="435A358F" w14:textId="77777777" w:rsidR="003B104F" w:rsidRPr="003B104F" w:rsidRDefault="003B104F" w:rsidP="003B104F">
            <w:pPr>
              <w:suppressAutoHyphens w:val="0"/>
              <w:rPr>
                <w:lang w:eastAsia="en-US"/>
              </w:rPr>
            </w:pPr>
            <w:r w:rsidRPr="003B104F">
              <w:rPr>
                <w:lang w:eastAsia="en-US"/>
              </w:rPr>
              <w:t>Nenustatoma</w:t>
            </w:r>
          </w:p>
        </w:tc>
        <w:tc>
          <w:tcPr>
            <w:tcW w:w="3828" w:type="dxa"/>
            <w:tcBorders>
              <w:top w:val="single" w:sz="4" w:space="0" w:color="auto"/>
              <w:left w:val="single" w:sz="4" w:space="0" w:color="000000"/>
              <w:bottom w:val="single" w:sz="4" w:space="0" w:color="auto"/>
              <w:right w:val="single" w:sz="4" w:space="0" w:color="000000"/>
            </w:tcBorders>
            <w:hideMark/>
          </w:tcPr>
          <w:p w14:paraId="76C57C33" w14:textId="77777777" w:rsidR="003B104F" w:rsidRPr="003B104F" w:rsidRDefault="003B104F" w:rsidP="003B104F">
            <w:pPr>
              <w:suppressAutoHyphens w:val="0"/>
              <w:rPr>
                <w:highlight w:val="yellow"/>
                <w:lang w:eastAsia="en-US"/>
              </w:rPr>
            </w:pPr>
            <w:r w:rsidRPr="003B104F">
              <w:rPr>
                <w:lang w:eastAsia="en-US"/>
              </w:rPr>
              <w:t>Nenustatoma</w:t>
            </w:r>
          </w:p>
        </w:tc>
        <w:tc>
          <w:tcPr>
            <w:tcW w:w="2126" w:type="dxa"/>
            <w:tcBorders>
              <w:top w:val="single" w:sz="4" w:space="0" w:color="auto"/>
              <w:left w:val="single" w:sz="4" w:space="0" w:color="000000"/>
              <w:bottom w:val="single" w:sz="4" w:space="0" w:color="auto"/>
              <w:right w:val="single" w:sz="4" w:space="0" w:color="000000"/>
            </w:tcBorders>
          </w:tcPr>
          <w:p w14:paraId="113A94C9" w14:textId="77777777" w:rsidR="003B104F" w:rsidRPr="003B104F" w:rsidRDefault="003B104F" w:rsidP="003B104F">
            <w:pPr>
              <w:suppressAutoHyphens w:val="0"/>
              <w:ind w:left="6"/>
              <w:rPr>
                <w:lang w:eastAsia="en-US"/>
              </w:rPr>
            </w:pPr>
            <w:r w:rsidRPr="003B104F">
              <w:rPr>
                <w:lang w:eastAsia="en-US"/>
              </w:rPr>
              <w:t>Nevertinama</w:t>
            </w:r>
          </w:p>
          <w:p w14:paraId="0F6A97FF" w14:textId="77777777" w:rsidR="003B104F" w:rsidRPr="003B104F" w:rsidRDefault="003B104F" w:rsidP="003B104F">
            <w:pPr>
              <w:suppressAutoHyphens w:val="0"/>
              <w:rPr>
                <w:lang w:eastAsia="en-US"/>
              </w:rPr>
            </w:pPr>
          </w:p>
        </w:tc>
        <w:tc>
          <w:tcPr>
            <w:tcW w:w="2097" w:type="dxa"/>
            <w:tcBorders>
              <w:top w:val="single" w:sz="4" w:space="0" w:color="auto"/>
              <w:left w:val="single" w:sz="4" w:space="0" w:color="000000"/>
              <w:bottom w:val="single" w:sz="4" w:space="0" w:color="auto"/>
              <w:right w:val="single" w:sz="4" w:space="0" w:color="000000"/>
            </w:tcBorders>
          </w:tcPr>
          <w:p w14:paraId="0755D53A" w14:textId="77777777" w:rsidR="003B104F" w:rsidRPr="003B104F" w:rsidRDefault="003B104F" w:rsidP="003B104F">
            <w:pPr>
              <w:suppressAutoHyphens w:val="0"/>
              <w:ind w:left="6"/>
              <w:rPr>
                <w:lang w:eastAsia="en-US"/>
              </w:rPr>
            </w:pPr>
            <w:r w:rsidRPr="003B104F">
              <w:rPr>
                <w:lang w:eastAsia="en-US"/>
              </w:rPr>
              <w:t>Nevertinama</w:t>
            </w:r>
          </w:p>
          <w:p w14:paraId="02E1BF68" w14:textId="77777777" w:rsidR="003B104F" w:rsidRPr="003B104F" w:rsidRDefault="003B104F" w:rsidP="003B104F">
            <w:pPr>
              <w:suppressAutoHyphens w:val="0"/>
              <w:rPr>
                <w:lang w:eastAsia="en-US"/>
              </w:rPr>
            </w:pPr>
          </w:p>
        </w:tc>
      </w:tr>
      <w:tr w:rsidR="003B104F" w:rsidRPr="003B104F" w14:paraId="06D07C65" w14:textId="77777777" w:rsidTr="00EF3870">
        <w:trPr>
          <w:gridAfter w:val="1"/>
          <w:wAfter w:w="12" w:type="dxa"/>
        </w:trPr>
        <w:tc>
          <w:tcPr>
            <w:tcW w:w="708" w:type="dxa"/>
            <w:tcBorders>
              <w:top w:val="single" w:sz="4" w:space="0" w:color="auto"/>
              <w:left w:val="single" w:sz="4" w:space="0" w:color="auto"/>
              <w:right w:val="single" w:sz="4" w:space="0" w:color="auto"/>
            </w:tcBorders>
          </w:tcPr>
          <w:p w14:paraId="14D718C4" w14:textId="77777777" w:rsidR="003B104F" w:rsidRPr="003B104F" w:rsidRDefault="003B104F" w:rsidP="003B104F">
            <w:pPr>
              <w:suppressAutoHyphens w:val="0"/>
              <w:jc w:val="center"/>
              <w:rPr>
                <w:b/>
                <w:lang w:eastAsia="en-US"/>
              </w:rPr>
            </w:pPr>
            <w:r w:rsidRPr="003B104F">
              <w:rPr>
                <w:b/>
                <w:lang w:eastAsia="en-US"/>
              </w:rPr>
              <w:t>2.</w:t>
            </w:r>
          </w:p>
        </w:tc>
        <w:tc>
          <w:tcPr>
            <w:tcW w:w="2439" w:type="dxa"/>
            <w:tcBorders>
              <w:top w:val="single" w:sz="4" w:space="0" w:color="auto"/>
              <w:left w:val="single" w:sz="4" w:space="0" w:color="auto"/>
              <w:right w:val="single" w:sz="4" w:space="0" w:color="auto"/>
            </w:tcBorders>
          </w:tcPr>
          <w:p w14:paraId="1ADDDDB7" w14:textId="77777777" w:rsidR="003B104F" w:rsidRPr="003B104F" w:rsidRDefault="003B104F" w:rsidP="00652124">
            <w:pPr>
              <w:suppressAutoHyphens w:val="0"/>
              <w:ind w:right="21"/>
              <w:rPr>
                <w:rFonts w:cs="TimesLT"/>
                <w:lang w:eastAsia="en-US"/>
              </w:rPr>
            </w:pPr>
            <w:r w:rsidRPr="003B104F">
              <w:rPr>
                <w:rFonts w:cs="TimesLT"/>
                <w:lang w:eastAsia="en-US"/>
              </w:rPr>
              <w:t xml:space="preserve">Įstaigoje gautų pacientų skundų dėl įstaigoje suteiktų </w:t>
            </w:r>
            <w:r w:rsidRPr="003B104F">
              <w:rPr>
                <w:rFonts w:cs="TimesLT"/>
                <w:lang w:eastAsia="en-US"/>
              </w:rPr>
              <w:lastRenderedPageBreak/>
              <w:t xml:space="preserve">ASPP skaičius per metus ir pagrįstų skundų dalis </w:t>
            </w:r>
          </w:p>
          <w:p w14:paraId="4C8F6609" w14:textId="77777777" w:rsidR="003B104F" w:rsidRPr="003B104F" w:rsidRDefault="003B104F" w:rsidP="00652124">
            <w:pPr>
              <w:suppressAutoHyphens w:val="0"/>
              <w:ind w:right="21" w:firstLine="62"/>
              <w:rPr>
                <w:rFonts w:cs="TimesLT"/>
                <w:lang w:eastAsia="en-US"/>
              </w:rPr>
            </w:pPr>
          </w:p>
        </w:tc>
        <w:tc>
          <w:tcPr>
            <w:tcW w:w="2551" w:type="dxa"/>
            <w:tcBorders>
              <w:top w:val="single" w:sz="4" w:space="0" w:color="auto"/>
              <w:left w:val="single" w:sz="4" w:space="0" w:color="auto"/>
              <w:bottom w:val="single" w:sz="4" w:space="0" w:color="000000"/>
              <w:right w:val="single" w:sz="4" w:space="0" w:color="auto"/>
            </w:tcBorders>
          </w:tcPr>
          <w:p w14:paraId="344A35B8" w14:textId="77777777" w:rsidR="003B104F" w:rsidRPr="003B104F" w:rsidRDefault="003B104F" w:rsidP="003B104F">
            <w:pPr>
              <w:suppressAutoHyphens w:val="0"/>
              <w:ind w:right="21"/>
              <w:rPr>
                <w:b/>
                <w:lang w:eastAsia="en-US"/>
              </w:rPr>
            </w:pPr>
            <w:r w:rsidRPr="003B104F">
              <w:rPr>
                <w:lang w:eastAsia="en-US"/>
              </w:rPr>
              <w:lastRenderedPageBreak/>
              <w:t xml:space="preserve">Nenustatoma </w:t>
            </w:r>
          </w:p>
        </w:tc>
        <w:tc>
          <w:tcPr>
            <w:tcW w:w="3828" w:type="dxa"/>
            <w:tcBorders>
              <w:top w:val="single" w:sz="4" w:space="0" w:color="auto"/>
              <w:left w:val="single" w:sz="4" w:space="0" w:color="auto"/>
              <w:right w:val="single" w:sz="4" w:space="0" w:color="auto"/>
            </w:tcBorders>
          </w:tcPr>
          <w:p w14:paraId="1DFBB481" w14:textId="77777777" w:rsidR="003B104F" w:rsidRPr="003B104F" w:rsidRDefault="003B104F" w:rsidP="003B104F">
            <w:pPr>
              <w:suppressAutoHyphens w:val="0"/>
              <w:jc w:val="both"/>
              <w:rPr>
                <w:lang w:eastAsia="en-US"/>
              </w:rPr>
            </w:pPr>
            <w:r w:rsidRPr="003B104F">
              <w:rPr>
                <w:lang w:eastAsia="en-US"/>
              </w:rPr>
              <w:t>Nenustatoma</w:t>
            </w:r>
          </w:p>
          <w:p w14:paraId="5C48787A" w14:textId="77777777" w:rsidR="003B104F" w:rsidRPr="003B104F" w:rsidRDefault="003B104F" w:rsidP="003B104F">
            <w:pPr>
              <w:suppressAutoHyphens w:val="0"/>
              <w:rPr>
                <w:highlight w:val="yellow"/>
                <w:lang w:eastAsia="en-US"/>
              </w:rPr>
            </w:pPr>
          </w:p>
        </w:tc>
        <w:tc>
          <w:tcPr>
            <w:tcW w:w="2126" w:type="dxa"/>
            <w:tcBorders>
              <w:top w:val="single" w:sz="4" w:space="0" w:color="auto"/>
              <w:left w:val="single" w:sz="4" w:space="0" w:color="auto"/>
              <w:right w:val="single" w:sz="4" w:space="0" w:color="auto"/>
            </w:tcBorders>
          </w:tcPr>
          <w:p w14:paraId="6342C253" w14:textId="77777777" w:rsidR="003B104F" w:rsidRPr="003B104F" w:rsidRDefault="003B104F" w:rsidP="003B104F">
            <w:pPr>
              <w:suppressAutoHyphens w:val="0"/>
              <w:ind w:left="6"/>
              <w:rPr>
                <w:lang w:eastAsia="en-US"/>
              </w:rPr>
            </w:pPr>
            <w:r w:rsidRPr="003B104F">
              <w:rPr>
                <w:lang w:eastAsia="en-US"/>
              </w:rPr>
              <w:t>Nevertinama</w:t>
            </w:r>
          </w:p>
          <w:p w14:paraId="1325DA79" w14:textId="77777777" w:rsidR="003B104F" w:rsidRPr="003B104F" w:rsidRDefault="003B104F" w:rsidP="003B104F">
            <w:pPr>
              <w:suppressAutoHyphens w:val="0"/>
              <w:rPr>
                <w:lang w:eastAsia="en-US"/>
              </w:rPr>
            </w:pPr>
          </w:p>
        </w:tc>
        <w:tc>
          <w:tcPr>
            <w:tcW w:w="2097" w:type="dxa"/>
            <w:tcBorders>
              <w:top w:val="single" w:sz="4" w:space="0" w:color="auto"/>
              <w:left w:val="single" w:sz="4" w:space="0" w:color="auto"/>
              <w:right w:val="single" w:sz="4" w:space="0" w:color="auto"/>
            </w:tcBorders>
          </w:tcPr>
          <w:p w14:paraId="2E3B1226" w14:textId="77777777" w:rsidR="003B104F" w:rsidRPr="003B104F" w:rsidRDefault="003B104F" w:rsidP="003B104F">
            <w:pPr>
              <w:suppressAutoHyphens w:val="0"/>
              <w:ind w:left="6"/>
              <w:rPr>
                <w:lang w:eastAsia="en-US"/>
              </w:rPr>
            </w:pPr>
            <w:r w:rsidRPr="003B104F">
              <w:rPr>
                <w:lang w:eastAsia="en-US"/>
              </w:rPr>
              <w:t>Nevertinama</w:t>
            </w:r>
          </w:p>
          <w:p w14:paraId="2B340C81" w14:textId="77777777" w:rsidR="003B104F" w:rsidRPr="003B104F" w:rsidRDefault="003B104F" w:rsidP="003B104F">
            <w:pPr>
              <w:suppressAutoHyphens w:val="0"/>
              <w:rPr>
                <w:lang w:eastAsia="en-US"/>
              </w:rPr>
            </w:pPr>
          </w:p>
        </w:tc>
      </w:tr>
      <w:tr w:rsidR="003B104F" w:rsidRPr="003B104F" w14:paraId="51AEEC41" w14:textId="77777777" w:rsidTr="00EF3870">
        <w:trPr>
          <w:gridAfter w:val="1"/>
          <w:wAfter w:w="12" w:type="dxa"/>
          <w:trHeight w:val="2343"/>
        </w:trPr>
        <w:tc>
          <w:tcPr>
            <w:tcW w:w="708" w:type="dxa"/>
            <w:tcBorders>
              <w:top w:val="single" w:sz="4" w:space="0" w:color="auto"/>
              <w:left w:val="single" w:sz="4" w:space="0" w:color="auto"/>
              <w:right w:val="single" w:sz="4" w:space="0" w:color="auto"/>
            </w:tcBorders>
          </w:tcPr>
          <w:p w14:paraId="0740E5C4" w14:textId="77777777" w:rsidR="003B104F" w:rsidRPr="003B104F" w:rsidRDefault="003B104F" w:rsidP="003B104F">
            <w:pPr>
              <w:suppressAutoHyphens w:val="0"/>
              <w:jc w:val="center"/>
              <w:rPr>
                <w:b/>
                <w:lang w:eastAsia="en-US"/>
              </w:rPr>
            </w:pPr>
            <w:r w:rsidRPr="003B104F">
              <w:rPr>
                <w:b/>
                <w:lang w:eastAsia="en-US"/>
              </w:rPr>
              <w:t>3.</w:t>
            </w:r>
          </w:p>
        </w:tc>
        <w:tc>
          <w:tcPr>
            <w:tcW w:w="2439" w:type="dxa"/>
            <w:tcBorders>
              <w:top w:val="single" w:sz="4" w:space="0" w:color="auto"/>
              <w:left w:val="single" w:sz="4" w:space="0" w:color="auto"/>
              <w:right w:val="single" w:sz="4" w:space="0" w:color="auto"/>
            </w:tcBorders>
          </w:tcPr>
          <w:p w14:paraId="5FBB5715" w14:textId="77777777" w:rsidR="003B104F" w:rsidRPr="003B104F" w:rsidRDefault="003B104F" w:rsidP="00D76135">
            <w:pPr>
              <w:suppressAutoHyphens w:val="0"/>
              <w:ind w:right="21"/>
              <w:rPr>
                <w:lang w:eastAsia="en-US"/>
              </w:rPr>
            </w:pPr>
            <w:r w:rsidRPr="003B104F">
              <w:rPr>
                <w:rFonts w:cs="TimesLT"/>
                <w:lang w:eastAsia="en-US"/>
              </w:rPr>
              <w:t>Įstaigoje gautų pagrįstų skundų dalis nuo visų įstaigoje suteiktų ASPP skaičiaus per metus pagal sveikatos apsaugos ministro nustatytas paslaugų grupes</w:t>
            </w:r>
          </w:p>
        </w:tc>
        <w:tc>
          <w:tcPr>
            <w:tcW w:w="2551" w:type="dxa"/>
            <w:tcBorders>
              <w:top w:val="single" w:sz="4" w:space="0" w:color="auto"/>
              <w:left w:val="single" w:sz="4" w:space="0" w:color="auto"/>
              <w:bottom w:val="single" w:sz="4" w:space="0" w:color="000000"/>
              <w:right w:val="single" w:sz="4" w:space="0" w:color="auto"/>
            </w:tcBorders>
          </w:tcPr>
          <w:p w14:paraId="3108BA63" w14:textId="77777777" w:rsidR="003B104F" w:rsidRPr="003B104F" w:rsidRDefault="003B104F" w:rsidP="003B104F">
            <w:pPr>
              <w:suppressAutoHyphens w:val="0"/>
              <w:jc w:val="both"/>
              <w:rPr>
                <w:bCs/>
                <w:lang w:eastAsia="en-US"/>
              </w:rPr>
            </w:pPr>
            <w:r w:rsidRPr="003B104F">
              <w:rPr>
                <w:bCs/>
                <w:lang w:eastAsia="en-US"/>
              </w:rPr>
              <w:t>Nenustatoma</w:t>
            </w:r>
          </w:p>
        </w:tc>
        <w:tc>
          <w:tcPr>
            <w:tcW w:w="3828" w:type="dxa"/>
            <w:tcBorders>
              <w:top w:val="single" w:sz="4" w:space="0" w:color="auto"/>
              <w:left w:val="single" w:sz="4" w:space="0" w:color="auto"/>
              <w:right w:val="single" w:sz="4" w:space="0" w:color="auto"/>
            </w:tcBorders>
          </w:tcPr>
          <w:p w14:paraId="36E3482C" w14:textId="77777777" w:rsidR="003B104F" w:rsidRPr="003B104F" w:rsidRDefault="003B104F" w:rsidP="003B104F">
            <w:pPr>
              <w:suppressAutoHyphens w:val="0"/>
              <w:jc w:val="both"/>
              <w:rPr>
                <w:lang w:eastAsia="en-US"/>
              </w:rPr>
            </w:pPr>
            <w:r w:rsidRPr="003B104F">
              <w:rPr>
                <w:lang w:eastAsia="en-US"/>
              </w:rPr>
              <w:t>Nenustatoma</w:t>
            </w:r>
          </w:p>
          <w:p w14:paraId="4854A284" w14:textId="77777777" w:rsidR="003B104F" w:rsidRPr="003B104F" w:rsidRDefault="003B104F" w:rsidP="003B104F">
            <w:pPr>
              <w:suppressAutoHyphens w:val="0"/>
              <w:rPr>
                <w:lang w:eastAsia="en-US"/>
              </w:rPr>
            </w:pPr>
          </w:p>
        </w:tc>
        <w:tc>
          <w:tcPr>
            <w:tcW w:w="2126" w:type="dxa"/>
            <w:tcBorders>
              <w:top w:val="single" w:sz="4" w:space="0" w:color="auto"/>
              <w:left w:val="single" w:sz="4" w:space="0" w:color="auto"/>
              <w:right w:val="single" w:sz="4" w:space="0" w:color="auto"/>
            </w:tcBorders>
          </w:tcPr>
          <w:p w14:paraId="71EB7652" w14:textId="77777777" w:rsidR="003B104F" w:rsidRPr="003B104F" w:rsidRDefault="003B104F" w:rsidP="003B104F">
            <w:pPr>
              <w:suppressAutoHyphens w:val="0"/>
              <w:ind w:left="6"/>
              <w:rPr>
                <w:lang w:eastAsia="en-US"/>
              </w:rPr>
            </w:pPr>
            <w:r w:rsidRPr="003B104F">
              <w:rPr>
                <w:lang w:eastAsia="en-US"/>
              </w:rPr>
              <w:t>Nevertinama</w:t>
            </w:r>
          </w:p>
          <w:p w14:paraId="712715DB" w14:textId="77777777" w:rsidR="003B104F" w:rsidRPr="003B104F" w:rsidRDefault="003B104F" w:rsidP="003B104F">
            <w:pPr>
              <w:suppressAutoHyphens w:val="0"/>
              <w:rPr>
                <w:lang w:eastAsia="en-US"/>
              </w:rPr>
            </w:pPr>
          </w:p>
        </w:tc>
        <w:tc>
          <w:tcPr>
            <w:tcW w:w="2097" w:type="dxa"/>
            <w:tcBorders>
              <w:top w:val="single" w:sz="4" w:space="0" w:color="auto"/>
              <w:left w:val="single" w:sz="4" w:space="0" w:color="auto"/>
              <w:right w:val="single" w:sz="4" w:space="0" w:color="auto"/>
            </w:tcBorders>
          </w:tcPr>
          <w:p w14:paraId="037E6C52" w14:textId="77777777" w:rsidR="003B104F" w:rsidRPr="003B104F" w:rsidRDefault="003B104F" w:rsidP="003B104F">
            <w:pPr>
              <w:suppressAutoHyphens w:val="0"/>
              <w:ind w:left="6"/>
              <w:rPr>
                <w:lang w:eastAsia="en-US"/>
              </w:rPr>
            </w:pPr>
            <w:r w:rsidRPr="003B104F">
              <w:rPr>
                <w:lang w:eastAsia="en-US"/>
              </w:rPr>
              <w:t>Nevertinama</w:t>
            </w:r>
          </w:p>
          <w:p w14:paraId="240E3FB6" w14:textId="77777777" w:rsidR="003B104F" w:rsidRPr="003B104F" w:rsidRDefault="003B104F" w:rsidP="003B104F">
            <w:pPr>
              <w:suppressAutoHyphens w:val="0"/>
              <w:rPr>
                <w:lang w:eastAsia="en-US"/>
              </w:rPr>
            </w:pPr>
          </w:p>
        </w:tc>
      </w:tr>
      <w:tr w:rsidR="003B104F" w:rsidRPr="003B104F" w14:paraId="6E771A33" w14:textId="77777777" w:rsidTr="00EF3870">
        <w:trPr>
          <w:gridAfter w:val="1"/>
          <w:wAfter w:w="12" w:type="dxa"/>
        </w:trPr>
        <w:tc>
          <w:tcPr>
            <w:tcW w:w="708" w:type="dxa"/>
            <w:tcBorders>
              <w:top w:val="single" w:sz="4" w:space="0" w:color="auto"/>
              <w:left w:val="single" w:sz="4" w:space="0" w:color="auto"/>
              <w:right w:val="single" w:sz="4" w:space="0" w:color="auto"/>
            </w:tcBorders>
          </w:tcPr>
          <w:p w14:paraId="3EAA49DD" w14:textId="77777777" w:rsidR="003B104F" w:rsidRPr="003B104F" w:rsidRDefault="003B104F" w:rsidP="003B104F">
            <w:pPr>
              <w:suppressAutoHyphens w:val="0"/>
              <w:jc w:val="center"/>
              <w:rPr>
                <w:b/>
                <w:lang w:eastAsia="en-US"/>
              </w:rPr>
            </w:pPr>
            <w:r w:rsidRPr="003B104F">
              <w:rPr>
                <w:b/>
                <w:lang w:eastAsia="en-US"/>
              </w:rPr>
              <w:t>4.</w:t>
            </w:r>
          </w:p>
        </w:tc>
        <w:tc>
          <w:tcPr>
            <w:tcW w:w="2439" w:type="dxa"/>
            <w:tcBorders>
              <w:top w:val="single" w:sz="4" w:space="0" w:color="auto"/>
              <w:left w:val="single" w:sz="4" w:space="0" w:color="auto"/>
              <w:right w:val="single" w:sz="4" w:space="0" w:color="auto"/>
            </w:tcBorders>
          </w:tcPr>
          <w:p w14:paraId="25E06B5E" w14:textId="77777777" w:rsidR="003B104F" w:rsidRPr="003B104F" w:rsidRDefault="003B104F" w:rsidP="00D76135">
            <w:pPr>
              <w:suppressAutoHyphens w:val="0"/>
              <w:rPr>
                <w:lang w:eastAsia="en-US"/>
              </w:rPr>
            </w:pPr>
            <w:r w:rsidRPr="003B104F">
              <w:rPr>
                <w:lang w:eastAsia="en-US"/>
              </w:rPr>
              <w:t xml:space="preserve">Įstaigoje taikomos kovos su korupcija priemonės, numatytos </w:t>
            </w:r>
            <w:r w:rsidRPr="003B104F">
              <w:rPr>
                <w:rFonts w:cs="TimesLT"/>
                <w:lang w:eastAsia="en-US"/>
              </w:rPr>
              <w:t xml:space="preserve">sveikatos apsaugos </w:t>
            </w:r>
            <w:r w:rsidRPr="003B104F">
              <w:rPr>
                <w:lang w:eastAsia="en-US"/>
              </w:rPr>
              <w:t xml:space="preserve">ministro tvirtinamoje Sveikatos priežiūros srities korupcijos prevencijos programoje </w:t>
            </w:r>
          </w:p>
        </w:tc>
        <w:tc>
          <w:tcPr>
            <w:tcW w:w="2551" w:type="dxa"/>
            <w:tcBorders>
              <w:top w:val="single" w:sz="4" w:space="0" w:color="auto"/>
              <w:left w:val="single" w:sz="4" w:space="0" w:color="auto"/>
              <w:bottom w:val="single" w:sz="4" w:space="0" w:color="000000"/>
              <w:right w:val="single" w:sz="4" w:space="0" w:color="auto"/>
            </w:tcBorders>
          </w:tcPr>
          <w:p w14:paraId="2D83C4F3" w14:textId="77777777" w:rsidR="003B104F" w:rsidRPr="003B104F" w:rsidRDefault="003B104F" w:rsidP="003B104F">
            <w:pPr>
              <w:suppressAutoHyphens w:val="0"/>
              <w:rPr>
                <w:lang w:eastAsia="en-US"/>
              </w:rPr>
            </w:pPr>
            <w:r w:rsidRPr="003B104F">
              <w:rPr>
                <w:lang w:eastAsia="en-US"/>
              </w:rPr>
              <w:t>Asmens sveikatos priežiūros įstaiga (toliau – ASPĮ) įtraukta į Skaidrių asmens sveikatos priežiūros įstaigų sąrašą</w:t>
            </w:r>
          </w:p>
        </w:tc>
        <w:tc>
          <w:tcPr>
            <w:tcW w:w="3828" w:type="dxa"/>
            <w:tcBorders>
              <w:top w:val="single" w:sz="4" w:space="0" w:color="auto"/>
              <w:left w:val="single" w:sz="4" w:space="0" w:color="auto"/>
              <w:right w:val="single" w:sz="4" w:space="0" w:color="auto"/>
            </w:tcBorders>
          </w:tcPr>
          <w:p w14:paraId="332762EA" w14:textId="77777777" w:rsidR="003B104F" w:rsidRPr="003B104F" w:rsidRDefault="003B104F" w:rsidP="003B104F">
            <w:pPr>
              <w:suppressAutoHyphens w:val="0"/>
              <w:rPr>
                <w:lang w:eastAsia="en-US"/>
              </w:rPr>
            </w:pPr>
            <w:r w:rsidRPr="003B104F">
              <w:rPr>
                <w:lang w:eastAsia="en-US"/>
              </w:rPr>
              <w:t>Įtraukta į Skaidrių asmens sveikatos priežiūros įstaigų sąrašą – 15 balų</w:t>
            </w:r>
          </w:p>
          <w:p w14:paraId="090A6D2C" w14:textId="77777777" w:rsidR="003B104F" w:rsidRPr="003B104F" w:rsidRDefault="003B104F" w:rsidP="003B104F">
            <w:pPr>
              <w:suppressAutoHyphens w:val="0"/>
              <w:rPr>
                <w:lang w:eastAsia="en-US"/>
              </w:rPr>
            </w:pPr>
            <w:r w:rsidRPr="003B104F">
              <w:rPr>
                <w:lang w:eastAsia="en-US"/>
              </w:rPr>
              <w:t>Įtraukta į Kandidačių gauti skaidrios</w:t>
            </w:r>
            <w:r w:rsidRPr="003B104F">
              <w:rPr>
                <w:strike/>
                <w:lang w:eastAsia="en-US"/>
              </w:rPr>
              <w:t xml:space="preserve"> </w:t>
            </w:r>
            <w:r w:rsidRPr="003B104F">
              <w:rPr>
                <w:lang w:eastAsia="en-US"/>
              </w:rPr>
              <w:t>ASPĮ vardą sąrašą – 7 balai</w:t>
            </w:r>
          </w:p>
          <w:p w14:paraId="700AF35E" w14:textId="77777777" w:rsidR="003B104F" w:rsidRPr="003B104F" w:rsidRDefault="003B104F" w:rsidP="003B104F">
            <w:pPr>
              <w:suppressAutoHyphens w:val="0"/>
              <w:rPr>
                <w:lang w:eastAsia="en-US"/>
              </w:rPr>
            </w:pPr>
            <w:r w:rsidRPr="003B104F">
              <w:rPr>
                <w:lang w:eastAsia="en-US"/>
              </w:rPr>
              <w:t>Įstaiga įtraukta į ASPĮ, turinčių korupcijos rizikos veiksnių, sąrašą – 0 balų</w:t>
            </w:r>
          </w:p>
        </w:tc>
        <w:tc>
          <w:tcPr>
            <w:tcW w:w="2126" w:type="dxa"/>
            <w:tcBorders>
              <w:top w:val="single" w:sz="4" w:space="0" w:color="auto"/>
              <w:left w:val="single" w:sz="4" w:space="0" w:color="auto"/>
              <w:right w:val="single" w:sz="4" w:space="0" w:color="auto"/>
            </w:tcBorders>
          </w:tcPr>
          <w:p w14:paraId="6F275ACD" w14:textId="77777777" w:rsidR="003B104F" w:rsidRPr="003B104F" w:rsidRDefault="003B104F" w:rsidP="003B104F">
            <w:pPr>
              <w:suppressAutoHyphens w:val="0"/>
              <w:rPr>
                <w:lang w:eastAsia="en-US"/>
              </w:rPr>
            </w:pPr>
            <w:r w:rsidRPr="003B104F">
              <w:rPr>
                <w:lang w:eastAsia="en-US"/>
              </w:rPr>
              <w:t>Neįtraukta</w:t>
            </w:r>
          </w:p>
        </w:tc>
        <w:tc>
          <w:tcPr>
            <w:tcW w:w="2097" w:type="dxa"/>
            <w:tcBorders>
              <w:top w:val="single" w:sz="4" w:space="0" w:color="auto"/>
              <w:left w:val="single" w:sz="4" w:space="0" w:color="auto"/>
              <w:right w:val="single" w:sz="4" w:space="0" w:color="auto"/>
            </w:tcBorders>
          </w:tcPr>
          <w:p w14:paraId="53D35BD7" w14:textId="77777777" w:rsidR="003B104F" w:rsidRPr="003B104F" w:rsidRDefault="003B104F" w:rsidP="003B104F">
            <w:pPr>
              <w:suppressAutoHyphens w:val="0"/>
              <w:rPr>
                <w:lang w:eastAsia="en-US"/>
              </w:rPr>
            </w:pPr>
            <w:r w:rsidRPr="003B104F">
              <w:rPr>
                <w:lang w:eastAsia="en-US"/>
              </w:rPr>
              <w:t>0 balų</w:t>
            </w:r>
          </w:p>
        </w:tc>
      </w:tr>
      <w:tr w:rsidR="003B104F" w:rsidRPr="003B104F" w14:paraId="14725106" w14:textId="77777777" w:rsidTr="00EF3870">
        <w:trPr>
          <w:gridAfter w:val="1"/>
          <w:wAfter w:w="12" w:type="dxa"/>
          <w:trHeight w:val="1380"/>
        </w:trPr>
        <w:tc>
          <w:tcPr>
            <w:tcW w:w="708" w:type="dxa"/>
            <w:tcBorders>
              <w:top w:val="single" w:sz="4" w:space="0" w:color="auto"/>
              <w:left w:val="single" w:sz="4" w:space="0" w:color="auto"/>
              <w:bottom w:val="single" w:sz="4" w:space="0" w:color="000000"/>
              <w:right w:val="single" w:sz="4" w:space="0" w:color="auto"/>
            </w:tcBorders>
          </w:tcPr>
          <w:p w14:paraId="6A350139" w14:textId="77777777" w:rsidR="003B104F" w:rsidRPr="003B104F" w:rsidRDefault="003B104F" w:rsidP="003B104F">
            <w:pPr>
              <w:suppressAutoHyphens w:val="0"/>
              <w:jc w:val="center"/>
              <w:rPr>
                <w:b/>
                <w:lang w:eastAsia="en-US"/>
              </w:rPr>
            </w:pPr>
            <w:r w:rsidRPr="003B104F">
              <w:rPr>
                <w:b/>
                <w:lang w:eastAsia="en-US"/>
              </w:rPr>
              <w:t>5.</w:t>
            </w:r>
          </w:p>
        </w:tc>
        <w:tc>
          <w:tcPr>
            <w:tcW w:w="2439" w:type="dxa"/>
            <w:tcBorders>
              <w:top w:val="single" w:sz="4" w:space="0" w:color="auto"/>
              <w:left w:val="single" w:sz="4" w:space="0" w:color="auto"/>
              <w:bottom w:val="single" w:sz="4" w:space="0" w:color="auto"/>
              <w:right w:val="single" w:sz="4" w:space="0" w:color="auto"/>
            </w:tcBorders>
          </w:tcPr>
          <w:p w14:paraId="0E7CDABA" w14:textId="77777777" w:rsidR="003B104F" w:rsidRPr="003B104F" w:rsidRDefault="003B104F" w:rsidP="00D76135">
            <w:pPr>
              <w:suppressAutoHyphens w:val="0"/>
              <w:ind w:left="1" w:right="41"/>
              <w:rPr>
                <w:rFonts w:eastAsia="Calibri"/>
                <w:lang w:eastAsia="en-US"/>
              </w:rPr>
            </w:pPr>
            <w:r w:rsidRPr="003B104F">
              <w:rPr>
                <w:lang w:eastAsia="en-US"/>
              </w:rPr>
              <w:t xml:space="preserve">Informacinių technologijų diegimo ir plėtros lygis </w:t>
            </w:r>
          </w:p>
          <w:p w14:paraId="66DFBE13" w14:textId="77777777" w:rsidR="003B104F" w:rsidRPr="003B104F" w:rsidRDefault="003B104F" w:rsidP="00D76135">
            <w:pPr>
              <w:suppressAutoHyphens w:val="0"/>
              <w:rPr>
                <w:lang w:eastAsia="en-US"/>
              </w:rPr>
            </w:pPr>
            <w:r w:rsidRPr="003B104F">
              <w:rPr>
                <w:lang w:eastAsia="en-US"/>
              </w:rPr>
              <w:t>(pacientų elektroninės registracijos sistema, įstaigos interneto svetainės išsamumas, darbuotojų darbo krūvio apskaita, įstaigos dalyvavimo elektroninėje sveikatos sistemoje mastas)</w:t>
            </w:r>
          </w:p>
          <w:p w14:paraId="308BDB0F" w14:textId="77777777" w:rsidR="003B104F" w:rsidRPr="003B104F" w:rsidRDefault="003B104F" w:rsidP="003B104F">
            <w:pPr>
              <w:suppressAutoHyphens w:val="0"/>
              <w:rPr>
                <w:lang w:eastAsia="en-US"/>
              </w:rPr>
            </w:pPr>
          </w:p>
        </w:tc>
        <w:tc>
          <w:tcPr>
            <w:tcW w:w="2551" w:type="dxa"/>
            <w:tcBorders>
              <w:top w:val="single" w:sz="4" w:space="0" w:color="auto"/>
              <w:left w:val="single" w:sz="4" w:space="0" w:color="auto"/>
              <w:bottom w:val="single" w:sz="4" w:space="0" w:color="auto"/>
              <w:right w:val="single" w:sz="4" w:space="0" w:color="auto"/>
            </w:tcBorders>
          </w:tcPr>
          <w:p w14:paraId="005FA778" w14:textId="77777777" w:rsidR="003B104F" w:rsidRPr="003B104F" w:rsidRDefault="003B104F" w:rsidP="003B104F">
            <w:pPr>
              <w:tabs>
                <w:tab w:val="left" w:pos="295"/>
              </w:tabs>
              <w:suppressAutoHyphens w:val="0"/>
              <w:spacing w:line="252" w:lineRule="auto"/>
              <w:ind w:left="11"/>
              <w:jc w:val="both"/>
              <w:rPr>
                <w:rFonts w:eastAsia="Calibri"/>
                <w:lang w:eastAsia="en-US"/>
              </w:rPr>
            </w:pPr>
            <w:r w:rsidRPr="003B104F">
              <w:rPr>
                <w:rFonts w:eastAsia="Calibri"/>
                <w:lang w:eastAsia="en-US"/>
              </w:rPr>
              <w:t>1.</w:t>
            </w:r>
            <w:r w:rsidRPr="003B104F">
              <w:rPr>
                <w:rFonts w:eastAsia="Calibri"/>
                <w:lang w:eastAsia="en-US"/>
              </w:rPr>
              <w:tab/>
              <w:t>ASPĮ, išrašant e. receptus, vaistų sąveikų tikrinimo funkcionalumą naudoja visa apimtimi;</w:t>
            </w:r>
          </w:p>
          <w:p w14:paraId="70A851F9" w14:textId="77777777" w:rsidR="003B104F" w:rsidRPr="003B104F" w:rsidRDefault="003B104F" w:rsidP="003B104F">
            <w:pPr>
              <w:tabs>
                <w:tab w:val="left" w:pos="316"/>
              </w:tabs>
              <w:suppressAutoHyphens w:val="0"/>
              <w:rPr>
                <w:lang w:eastAsia="en-US"/>
              </w:rPr>
            </w:pPr>
            <w:r w:rsidRPr="003B104F">
              <w:rPr>
                <w:lang w:eastAsia="en-US"/>
              </w:rPr>
              <w:t>2.</w:t>
            </w:r>
            <w:r w:rsidRPr="003B104F">
              <w:rPr>
                <w:lang w:eastAsia="en-US"/>
              </w:rPr>
              <w:tab/>
            </w:r>
            <w:r w:rsidRPr="003B104F">
              <w:rPr>
                <w:rFonts w:eastAsia="Calibri"/>
                <w:lang w:eastAsia="en-US"/>
              </w:rPr>
              <w:t xml:space="preserve">ASPĮ yra </w:t>
            </w:r>
            <w:r w:rsidRPr="003B104F">
              <w:rPr>
                <w:lang w:eastAsia="en-US"/>
              </w:rPr>
              <w:t>Išankstinės pacientų registracijos informacinės sistemos (toliau – IPR IS) dalyvė</w:t>
            </w:r>
          </w:p>
          <w:p w14:paraId="045DC42F" w14:textId="77777777" w:rsidR="003B104F" w:rsidRPr="003B104F" w:rsidRDefault="003B104F" w:rsidP="003B104F">
            <w:pPr>
              <w:tabs>
                <w:tab w:val="left" w:pos="295"/>
              </w:tabs>
              <w:suppressAutoHyphens w:val="0"/>
              <w:spacing w:line="252" w:lineRule="auto"/>
              <w:jc w:val="both"/>
              <w:rPr>
                <w:rFonts w:eastAsia="Calibri"/>
                <w:lang w:eastAsia="en-US"/>
              </w:rPr>
            </w:pPr>
          </w:p>
          <w:p w14:paraId="1C3BF134" w14:textId="77777777" w:rsidR="003B104F" w:rsidRPr="003B104F" w:rsidRDefault="003B104F" w:rsidP="003B104F">
            <w:pPr>
              <w:suppressAutoHyphens w:val="0"/>
              <w:rPr>
                <w:sz w:val="20"/>
                <w:szCs w:val="20"/>
                <w:lang w:eastAsia="en-US"/>
              </w:rPr>
            </w:pPr>
          </w:p>
          <w:p w14:paraId="42A11F39" w14:textId="77777777" w:rsidR="003B104F" w:rsidRPr="003B104F" w:rsidRDefault="003B104F" w:rsidP="003B104F">
            <w:pPr>
              <w:suppressAutoHyphens w:val="0"/>
              <w:jc w:val="both"/>
              <w:rPr>
                <w:lang w:eastAsia="en-US"/>
              </w:rPr>
            </w:pPr>
          </w:p>
        </w:tc>
        <w:tc>
          <w:tcPr>
            <w:tcW w:w="3828" w:type="dxa"/>
            <w:tcBorders>
              <w:top w:val="single" w:sz="4" w:space="0" w:color="auto"/>
              <w:left w:val="single" w:sz="4" w:space="0" w:color="auto"/>
              <w:bottom w:val="single" w:sz="4" w:space="0" w:color="auto"/>
              <w:right w:val="single" w:sz="4" w:space="0" w:color="auto"/>
            </w:tcBorders>
          </w:tcPr>
          <w:p w14:paraId="3A37A48D" w14:textId="77777777" w:rsidR="003B104F" w:rsidRPr="003B104F" w:rsidRDefault="003B104F" w:rsidP="003B104F">
            <w:pPr>
              <w:suppressAutoHyphens w:val="0"/>
              <w:rPr>
                <w:lang w:eastAsia="en-US"/>
              </w:rPr>
            </w:pPr>
            <w:r w:rsidRPr="003B104F">
              <w:rPr>
                <w:lang w:eastAsia="en-US"/>
              </w:rPr>
              <w:t>Jei siektina reikšmė įvykdyta, taip pat jei pasiekta reikšmė yra lygi arba didesnė nei siektina reikšmė – 10 balų</w:t>
            </w:r>
          </w:p>
          <w:p w14:paraId="03B07CB5" w14:textId="77777777" w:rsidR="003B104F" w:rsidRPr="003B104F" w:rsidRDefault="003B104F" w:rsidP="003B104F">
            <w:pPr>
              <w:suppressAutoHyphens w:val="0"/>
              <w:rPr>
                <w:lang w:eastAsia="en-US"/>
              </w:rPr>
            </w:pPr>
            <w:r w:rsidRPr="003B104F">
              <w:rPr>
                <w:lang w:eastAsia="en-US"/>
              </w:rPr>
              <w:t>Jei siektina reikšmė neįvykdyta arba pasiekta reikšmė yra mažesnė nei siektina reikšmė – 0 balų.</w:t>
            </w:r>
          </w:p>
        </w:tc>
        <w:tc>
          <w:tcPr>
            <w:tcW w:w="2126" w:type="dxa"/>
            <w:tcBorders>
              <w:top w:val="single" w:sz="4" w:space="0" w:color="auto"/>
              <w:left w:val="single" w:sz="4" w:space="0" w:color="auto"/>
              <w:bottom w:val="single" w:sz="4" w:space="0" w:color="auto"/>
              <w:right w:val="single" w:sz="4" w:space="0" w:color="auto"/>
            </w:tcBorders>
          </w:tcPr>
          <w:p w14:paraId="24ACEA2C" w14:textId="77777777" w:rsidR="003B104F" w:rsidRPr="003B104F" w:rsidRDefault="003B104F" w:rsidP="003B104F">
            <w:pPr>
              <w:suppressAutoHyphens w:val="0"/>
              <w:rPr>
                <w:lang w:eastAsia="en-US"/>
              </w:rPr>
            </w:pPr>
            <w:r w:rsidRPr="003B104F">
              <w:rPr>
                <w:lang w:eastAsia="en-US"/>
              </w:rPr>
              <w:t>Naudoja visa</w:t>
            </w:r>
            <w:r w:rsidRPr="003B104F">
              <w:rPr>
                <w:strike/>
                <w:lang w:eastAsia="en-US"/>
              </w:rPr>
              <w:t xml:space="preserve"> </w:t>
            </w:r>
            <w:r w:rsidRPr="003B104F">
              <w:rPr>
                <w:lang w:eastAsia="en-US"/>
              </w:rPr>
              <w:t>apimtimi</w:t>
            </w:r>
          </w:p>
          <w:p w14:paraId="18A0593A" w14:textId="77777777" w:rsidR="003B104F" w:rsidRPr="003B104F" w:rsidRDefault="003B104F" w:rsidP="003B104F">
            <w:pPr>
              <w:suppressAutoHyphens w:val="0"/>
              <w:rPr>
                <w:lang w:eastAsia="en-US"/>
              </w:rPr>
            </w:pPr>
          </w:p>
          <w:p w14:paraId="5A8BC53C" w14:textId="77777777" w:rsidR="003B104F" w:rsidRPr="003B104F" w:rsidRDefault="003B104F" w:rsidP="003B104F">
            <w:pPr>
              <w:suppressAutoHyphens w:val="0"/>
              <w:rPr>
                <w:lang w:eastAsia="en-US"/>
              </w:rPr>
            </w:pPr>
          </w:p>
          <w:p w14:paraId="3F1A6D5B" w14:textId="77777777" w:rsidR="003B104F" w:rsidRPr="003B104F" w:rsidRDefault="003B104F" w:rsidP="003B104F">
            <w:pPr>
              <w:suppressAutoHyphens w:val="0"/>
              <w:rPr>
                <w:lang w:eastAsia="en-US"/>
              </w:rPr>
            </w:pPr>
          </w:p>
          <w:p w14:paraId="73E21EBC" w14:textId="77777777" w:rsidR="003B104F" w:rsidRPr="003B104F" w:rsidRDefault="003B104F" w:rsidP="003B104F">
            <w:pPr>
              <w:suppressAutoHyphens w:val="0"/>
              <w:rPr>
                <w:lang w:eastAsia="en-US"/>
              </w:rPr>
            </w:pPr>
          </w:p>
          <w:p w14:paraId="44C21AF7" w14:textId="77777777" w:rsidR="003B104F" w:rsidRPr="003B104F" w:rsidRDefault="003B104F" w:rsidP="001923CB">
            <w:pPr>
              <w:suppressAutoHyphens w:val="0"/>
              <w:rPr>
                <w:lang w:eastAsia="en-US"/>
              </w:rPr>
            </w:pPr>
            <w:r w:rsidRPr="003B104F">
              <w:rPr>
                <w:lang w:eastAsia="en-US"/>
              </w:rPr>
              <w:t>ASPĮ yra IPR IS dalyvė</w:t>
            </w:r>
          </w:p>
        </w:tc>
        <w:tc>
          <w:tcPr>
            <w:tcW w:w="2097" w:type="dxa"/>
            <w:tcBorders>
              <w:top w:val="single" w:sz="4" w:space="0" w:color="auto"/>
              <w:left w:val="single" w:sz="4" w:space="0" w:color="auto"/>
              <w:bottom w:val="single" w:sz="4" w:space="0" w:color="auto"/>
              <w:right w:val="single" w:sz="4" w:space="0" w:color="auto"/>
            </w:tcBorders>
          </w:tcPr>
          <w:p w14:paraId="65915B8E" w14:textId="77777777" w:rsidR="003B104F" w:rsidRPr="003B104F" w:rsidRDefault="003B104F" w:rsidP="003B104F">
            <w:pPr>
              <w:suppressAutoHyphens w:val="0"/>
              <w:rPr>
                <w:lang w:eastAsia="en-US"/>
              </w:rPr>
            </w:pPr>
            <w:r w:rsidRPr="003B104F">
              <w:rPr>
                <w:lang w:eastAsia="en-US"/>
              </w:rPr>
              <w:t>10 balų</w:t>
            </w:r>
          </w:p>
        </w:tc>
      </w:tr>
      <w:tr w:rsidR="003B104F" w:rsidRPr="003B104F" w14:paraId="141B34E7" w14:textId="77777777" w:rsidTr="00EF3870">
        <w:trPr>
          <w:gridAfter w:val="1"/>
          <w:wAfter w:w="12" w:type="dxa"/>
          <w:trHeight w:val="1380"/>
        </w:trPr>
        <w:tc>
          <w:tcPr>
            <w:tcW w:w="708" w:type="dxa"/>
            <w:tcBorders>
              <w:top w:val="single" w:sz="4" w:space="0" w:color="auto"/>
              <w:left w:val="single" w:sz="4" w:space="0" w:color="auto"/>
              <w:bottom w:val="single" w:sz="4" w:space="0" w:color="000000"/>
              <w:right w:val="single" w:sz="4" w:space="0" w:color="auto"/>
            </w:tcBorders>
          </w:tcPr>
          <w:p w14:paraId="009AFF04" w14:textId="77777777" w:rsidR="003B104F" w:rsidRPr="003B104F" w:rsidRDefault="003B104F" w:rsidP="003B104F">
            <w:pPr>
              <w:suppressAutoHyphens w:val="0"/>
              <w:jc w:val="center"/>
              <w:rPr>
                <w:b/>
                <w:lang w:eastAsia="en-US"/>
              </w:rPr>
            </w:pPr>
            <w:r w:rsidRPr="003B104F">
              <w:rPr>
                <w:b/>
                <w:lang w:eastAsia="en-US"/>
              </w:rPr>
              <w:lastRenderedPageBreak/>
              <w:t>6.</w:t>
            </w:r>
          </w:p>
        </w:tc>
        <w:tc>
          <w:tcPr>
            <w:tcW w:w="2439" w:type="dxa"/>
            <w:tcBorders>
              <w:top w:val="single" w:sz="4" w:space="0" w:color="auto"/>
              <w:left w:val="single" w:sz="4" w:space="0" w:color="auto"/>
              <w:bottom w:val="single" w:sz="4" w:space="0" w:color="auto"/>
              <w:right w:val="single" w:sz="4" w:space="0" w:color="auto"/>
            </w:tcBorders>
          </w:tcPr>
          <w:p w14:paraId="5535F9E5" w14:textId="77777777" w:rsidR="003B104F" w:rsidRPr="003B104F" w:rsidRDefault="003B104F" w:rsidP="003B104F">
            <w:pPr>
              <w:suppressAutoHyphens w:val="0"/>
              <w:rPr>
                <w:lang w:eastAsia="en-US"/>
              </w:rPr>
            </w:pPr>
            <w:r w:rsidRPr="003B104F">
              <w:rPr>
                <w:lang w:eastAsia="en-US"/>
              </w:rPr>
              <w:t>Įstaigoje suteiktų asmens sveikatos priežiūros paslaugų skaičius per ketvirtį ir per metus pagal sveikatos apsaugos ministro nustatytas paslaugų grupes</w:t>
            </w:r>
          </w:p>
        </w:tc>
        <w:tc>
          <w:tcPr>
            <w:tcW w:w="2551" w:type="dxa"/>
            <w:tcBorders>
              <w:top w:val="single" w:sz="4" w:space="0" w:color="auto"/>
              <w:left w:val="single" w:sz="4" w:space="0" w:color="auto"/>
              <w:bottom w:val="single" w:sz="4" w:space="0" w:color="auto"/>
              <w:right w:val="single" w:sz="4" w:space="0" w:color="auto"/>
            </w:tcBorders>
          </w:tcPr>
          <w:p w14:paraId="12C09DF0" w14:textId="77777777" w:rsidR="003B104F" w:rsidRPr="003B104F" w:rsidRDefault="003B104F" w:rsidP="003B104F">
            <w:pPr>
              <w:suppressAutoHyphens w:val="0"/>
              <w:jc w:val="both"/>
              <w:rPr>
                <w:lang w:eastAsia="en-US"/>
              </w:rPr>
            </w:pPr>
            <w:r w:rsidRPr="003B104F">
              <w:rPr>
                <w:lang w:eastAsia="en-US"/>
              </w:rPr>
              <w:t>Nenustatoma</w:t>
            </w:r>
          </w:p>
        </w:tc>
        <w:tc>
          <w:tcPr>
            <w:tcW w:w="3828" w:type="dxa"/>
            <w:tcBorders>
              <w:top w:val="single" w:sz="4" w:space="0" w:color="auto"/>
              <w:left w:val="single" w:sz="4" w:space="0" w:color="auto"/>
              <w:bottom w:val="single" w:sz="4" w:space="0" w:color="auto"/>
              <w:right w:val="single" w:sz="4" w:space="0" w:color="auto"/>
            </w:tcBorders>
          </w:tcPr>
          <w:p w14:paraId="0277B3AB" w14:textId="77777777" w:rsidR="003B104F" w:rsidRPr="003B104F" w:rsidRDefault="003B104F" w:rsidP="003B104F">
            <w:pPr>
              <w:suppressAutoHyphens w:val="0"/>
              <w:rPr>
                <w:lang w:eastAsia="en-US"/>
              </w:rPr>
            </w:pPr>
            <w:r w:rsidRPr="003B104F">
              <w:rPr>
                <w:lang w:eastAsia="en-US"/>
              </w:rPr>
              <w:t>Nenustatoma</w:t>
            </w:r>
          </w:p>
        </w:tc>
        <w:tc>
          <w:tcPr>
            <w:tcW w:w="2126" w:type="dxa"/>
            <w:tcBorders>
              <w:top w:val="single" w:sz="4" w:space="0" w:color="auto"/>
              <w:left w:val="single" w:sz="4" w:space="0" w:color="auto"/>
              <w:bottom w:val="single" w:sz="4" w:space="0" w:color="auto"/>
              <w:right w:val="single" w:sz="4" w:space="0" w:color="auto"/>
            </w:tcBorders>
          </w:tcPr>
          <w:p w14:paraId="4534526E" w14:textId="77777777" w:rsidR="003B104F" w:rsidRPr="003B104F" w:rsidRDefault="003B104F" w:rsidP="003B104F">
            <w:pPr>
              <w:suppressAutoHyphens w:val="0"/>
              <w:ind w:left="6"/>
              <w:rPr>
                <w:lang w:eastAsia="en-US"/>
              </w:rPr>
            </w:pPr>
            <w:r w:rsidRPr="003B104F">
              <w:rPr>
                <w:lang w:eastAsia="en-US"/>
              </w:rPr>
              <w:t>Nevertinama</w:t>
            </w:r>
          </w:p>
          <w:p w14:paraId="034B1F5B" w14:textId="77777777" w:rsidR="003B104F" w:rsidRPr="003B104F" w:rsidRDefault="003B104F" w:rsidP="003B104F">
            <w:pPr>
              <w:suppressAutoHyphens w:val="0"/>
              <w:rPr>
                <w:lang w:eastAsia="en-US"/>
              </w:rPr>
            </w:pPr>
          </w:p>
        </w:tc>
        <w:tc>
          <w:tcPr>
            <w:tcW w:w="2097" w:type="dxa"/>
            <w:tcBorders>
              <w:top w:val="single" w:sz="4" w:space="0" w:color="auto"/>
              <w:left w:val="single" w:sz="4" w:space="0" w:color="auto"/>
              <w:bottom w:val="single" w:sz="4" w:space="0" w:color="auto"/>
              <w:right w:val="single" w:sz="4" w:space="0" w:color="auto"/>
            </w:tcBorders>
          </w:tcPr>
          <w:p w14:paraId="73FEA4EC" w14:textId="77777777" w:rsidR="003B104F" w:rsidRPr="003B104F" w:rsidRDefault="003B104F" w:rsidP="003B104F">
            <w:pPr>
              <w:suppressAutoHyphens w:val="0"/>
              <w:ind w:left="6"/>
              <w:rPr>
                <w:lang w:eastAsia="en-US"/>
              </w:rPr>
            </w:pPr>
            <w:r w:rsidRPr="003B104F">
              <w:rPr>
                <w:lang w:eastAsia="en-US"/>
              </w:rPr>
              <w:t>Nevertinama</w:t>
            </w:r>
          </w:p>
          <w:p w14:paraId="0B09DACA" w14:textId="77777777" w:rsidR="003B104F" w:rsidRPr="003B104F" w:rsidRDefault="003B104F" w:rsidP="003B104F">
            <w:pPr>
              <w:suppressAutoHyphens w:val="0"/>
              <w:rPr>
                <w:lang w:eastAsia="en-US"/>
              </w:rPr>
            </w:pPr>
          </w:p>
        </w:tc>
      </w:tr>
      <w:tr w:rsidR="003B104F" w:rsidRPr="003B104F" w14:paraId="596AA9F5" w14:textId="77777777" w:rsidTr="00EF3870">
        <w:trPr>
          <w:gridAfter w:val="1"/>
          <w:wAfter w:w="12" w:type="dxa"/>
          <w:trHeight w:val="946"/>
        </w:trPr>
        <w:tc>
          <w:tcPr>
            <w:tcW w:w="708" w:type="dxa"/>
            <w:tcBorders>
              <w:top w:val="single" w:sz="4" w:space="0" w:color="auto"/>
              <w:left w:val="single" w:sz="4" w:space="0" w:color="auto"/>
              <w:bottom w:val="single" w:sz="4" w:space="0" w:color="000000"/>
              <w:right w:val="single" w:sz="4" w:space="0" w:color="auto"/>
            </w:tcBorders>
          </w:tcPr>
          <w:p w14:paraId="72C93A43" w14:textId="77777777" w:rsidR="003B104F" w:rsidRPr="003B104F" w:rsidRDefault="003B104F" w:rsidP="003B104F">
            <w:pPr>
              <w:suppressAutoHyphens w:val="0"/>
              <w:jc w:val="center"/>
              <w:rPr>
                <w:b/>
                <w:lang w:eastAsia="en-US"/>
              </w:rPr>
            </w:pPr>
            <w:r w:rsidRPr="003B104F">
              <w:rPr>
                <w:b/>
                <w:lang w:eastAsia="en-US"/>
              </w:rPr>
              <w:t>7.</w:t>
            </w:r>
          </w:p>
        </w:tc>
        <w:tc>
          <w:tcPr>
            <w:tcW w:w="2439" w:type="dxa"/>
            <w:tcBorders>
              <w:top w:val="single" w:sz="4" w:space="0" w:color="auto"/>
              <w:left w:val="single" w:sz="4" w:space="0" w:color="auto"/>
              <w:bottom w:val="single" w:sz="4" w:space="0" w:color="auto"/>
              <w:right w:val="single" w:sz="4" w:space="0" w:color="auto"/>
            </w:tcBorders>
          </w:tcPr>
          <w:p w14:paraId="2CCD0CF5" w14:textId="77777777" w:rsidR="003B104F" w:rsidRPr="003B104F" w:rsidRDefault="003B104F" w:rsidP="003B104F">
            <w:pPr>
              <w:suppressAutoHyphens w:val="0"/>
              <w:rPr>
                <w:lang w:eastAsia="en-US"/>
              </w:rPr>
            </w:pPr>
            <w:r w:rsidRPr="003B104F">
              <w:rPr>
                <w:lang w:eastAsia="en-US"/>
              </w:rPr>
              <w:t>Vidutinis laikas nuo paciento kreipimosi į įstaigą dėl asmens sveikatos priežiūros paslaugos suteikimo momento iki paskirto paslaugos gavimo laiko pagal sveikatos apsaugos ministro nustatytas paslaugų grupes</w:t>
            </w:r>
          </w:p>
        </w:tc>
        <w:tc>
          <w:tcPr>
            <w:tcW w:w="2551" w:type="dxa"/>
            <w:tcBorders>
              <w:top w:val="single" w:sz="4" w:space="0" w:color="auto"/>
              <w:left w:val="single" w:sz="4" w:space="0" w:color="auto"/>
              <w:bottom w:val="single" w:sz="4" w:space="0" w:color="auto"/>
              <w:right w:val="single" w:sz="4" w:space="0" w:color="auto"/>
            </w:tcBorders>
          </w:tcPr>
          <w:p w14:paraId="5176ED24" w14:textId="77777777" w:rsidR="003B104F" w:rsidRPr="003B104F" w:rsidRDefault="003B104F" w:rsidP="003B104F">
            <w:pPr>
              <w:suppressAutoHyphens w:val="0"/>
              <w:jc w:val="both"/>
              <w:rPr>
                <w:lang w:eastAsia="en-US"/>
              </w:rPr>
            </w:pPr>
            <w:r w:rsidRPr="003B104F">
              <w:rPr>
                <w:lang w:eastAsia="en-US"/>
              </w:rPr>
              <w:t>Nenustatoma</w:t>
            </w:r>
          </w:p>
        </w:tc>
        <w:tc>
          <w:tcPr>
            <w:tcW w:w="3828" w:type="dxa"/>
            <w:tcBorders>
              <w:top w:val="single" w:sz="4" w:space="0" w:color="auto"/>
              <w:left w:val="single" w:sz="4" w:space="0" w:color="auto"/>
              <w:bottom w:val="single" w:sz="4" w:space="0" w:color="auto"/>
              <w:right w:val="single" w:sz="4" w:space="0" w:color="auto"/>
            </w:tcBorders>
          </w:tcPr>
          <w:p w14:paraId="5A746B9F" w14:textId="77777777" w:rsidR="003B104F" w:rsidRPr="003B104F" w:rsidRDefault="003B104F" w:rsidP="003B104F">
            <w:pPr>
              <w:suppressAutoHyphens w:val="0"/>
              <w:rPr>
                <w:lang w:eastAsia="en-US"/>
              </w:rPr>
            </w:pPr>
            <w:r w:rsidRPr="003B104F">
              <w:rPr>
                <w:lang w:eastAsia="en-US"/>
              </w:rPr>
              <w:t>Nenustatoma</w:t>
            </w:r>
          </w:p>
        </w:tc>
        <w:tc>
          <w:tcPr>
            <w:tcW w:w="2126" w:type="dxa"/>
            <w:tcBorders>
              <w:top w:val="single" w:sz="4" w:space="0" w:color="auto"/>
              <w:left w:val="single" w:sz="4" w:space="0" w:color="auto"/>
              <w:bottom w:val="single" w:sz="4" w:space="0" w:color="auto"/>
              <w:right w:val="single" w:sz="4" w:space="0" w:color="auto"/>
            </w:tcBorders>
          </w:tcPr>
          <w:p w14:paraId="3F51A208" w14:textId="77777777" w:rsidR="003B104F" w:rsidRPr="003B104F" w:rsidRDefault="003B104F" w:rsidP="003B104F">
            <w:pPr>
              <w:suppressAutoHyphens w:val="0"/>
              <w:ind w:left="6"/>
              <w:rPr>
                <w:lang w:eastAsia="en-US"/>
              </w:rPr>
            </w:pPr>
            <w:r w:rsidRPr="003B104F">
              <w:rPr>
                <w:lang w:eastAsia="en-US"/>
              </w:rPr>
              <w:t>Nevertinama</w:t>
            </w:r>
          </w:p>
          <w:p w14:paraId="39C1DCA1" w14:textId="77777777" w:rsidR="003B104F" w:rsidRPr="003B104F" w:rsidRDefault="003B104F" w:rsidP="003B104F">
            <w:pPr>
              <w:suppressAutoHyphens w:val="0"/>
              <w:rPr>
                <w:lang w:eastAsia="en-US"/>
              </w:rPr>
            </w:pPr>
          </w:p>
        </w:tc>
        <w:tc>
          <w:tcPr>
            <w:tcW w:w="2097" w:type="dxa"/>
            <w:tcBorders>
              <w:top w:val="single" w:sz="4" w:space="0" w:color="auto"/>
              <w:left w:val="single" w:sz="4" w:space="0" w:color="auto"/>
              <w:bottom w:val="single" w:sz="4" w:space="0" w:color="auto"/>
              <w:right w:val="single" w:sz="4" w:space="0" w:color="auto"/>
            </w:tcBorders>
          </w:tcPr>
          <w:p w14:paraId="5D39F084" w14:textId="77777777" w:rsidR="003B104F" w:rsidRPr="003B104F" w:rsidRDefault="003B104F" w:rsidP="003B104F">
            <w:pPr>
              <w:suppressAutoHyphens w:val="0"/>
              <w:ind w:left="6"/>
              <w:rPr>
                <w:lang w:eastAsia="en-US"/>
              </w:rPr>
            </w:pPr>
            <w:r w:rsidRPr="003B104F">
              <w:rPr>
                <w:lang w:eastAsia="en-US"/>
              </w:rPr>
              <w:t>Nevertinama</w:t>
            </w:r>
          </w:p>
          <w:p w14:paraId="12CCE49A" w14:textId="77777777" w:rsidR="003B104F" w:rsidRPr="003B104F" w:rsidRDefault="003B104F" w:rsidP="003B104F">
            <w:pPr>
              <w:suppressAutoHyphens w:val="0"/>
              <w:rPr>
                <w:lang w:eastAsia="en-US"/>
              </w:rPr>
            </w:pPr>
          </w:p>
        </w:tc>
      </w:tr>
      <w:tr w:rsidR="003B104F" w:rsidRPr="003B104F" w14:paraId="15BE0CCC" w14:textId="77777777" w:rsidTr="00EF3870">
        <w:trPr>
          <w:gridAfter w:val="1"/>
          <w:wAfter w:w="12" w:type="dxa"/>
          <w:trHeight w:val="1380"/>
        </w:trPr>
        <w:tc>
          <w:tcPr>
            <w:tcW w:w="708" w:type="dxa"/>
            <w:tcBorders>
              <w:top w:val="single" w:sz="4" w:space="0" w:color="auto"/>
              <w:left w:val="single" w:sz="4" w:space="0" w:color="auto"/>
              <w:bottom w:val="single" w:sz="4" w:space="0" w:color="000000"/>
              <w:right w:val="single" w:sz="4" w:space="0" w:color="auto"/>
            </w:tcBorders>
          </w:tcPr>
          <w:p w14:paraId="6C06F6D1" w14:textId="77777777" w:rsidR="003B104F" w:rsidRPr="003B104F" w:rsidRDefault="003B104F" w:rsidP="003B104F">
            <w:pPr>
              <w:suppressAutoHyphens w:val="0"/>
              <w:jc w:val="center"/>
              <w:rPr>
                <w:b/>
                <w:lang w:eastAsia="en-US"/>
              </w:rPr>
            </w:pPr>
            <w:r w:rsidRPr="003B104F">
              <w:rPr>
                <w:b/>
                <w:lang w:eastAsia="en-US"/>
              </w:rPr>
              <w:t>8.</w:t>
            </w:r>
          </w:p>
        </w:tc>
        <w:tc>
          <w:tcPr>
            <w:tcW w:w="2439" w:type="dxa"/>
            <w:tcBorders>
              <w:top w:val="single" w:sz="4" w:space="0" w:color="auto"/>
              <w:left w:val="single" w:sz="4" w:space="0" w:color="auto"/>
              <w:bottom w:val="single" w:sz="4" w:space="0" w:color="auto"/>
              <w:right w:val="single" w:sz="4" w:space="0" w:color="auto"/>
            </w:tcBorders>
          </w:tcPr>
          <w:p w14:paraId="62378F75" w14:textId="77777777" w:rsidR="003B104F" w:rsidRPr="003B104F" w:rsidRDefault="003B104F" w:rsidP="0062755F">
            <w:pPr>
              <w:suppressAutoHyphens w:val="0"/>
              <w:rPr>
                <w:lang w:eastAsia="en-US"/>
              </w:rPr>
            </w:pPr>
            <w:r w:rsidRPr="003B104F">
              <w:rPr>
                <w:lang w:eastAsia="en-US"/>
              </w:rPr>
              <w:t>Įstaigoje dirbančių darbuotojų ir etatų skaičius ir įstaigoje suteiktų asmens sveikatos priežiūros paslaugų skaičius per metus</w:t>
            </w:r>
          </w:p>
        </w:tc>
        <w:tc>
          <w:tcPr>
            <w:tcW w:w="2551" w:type="dxa"/>
            <w:tcBorders>
              <w:top w:val="single" w:sz="4" w:space="0" w:color="auto"/>
              <w:left w:val="single" w:sz="4" w:space="0" w:color="auto"/>
              <w:bottom w:val="single" w:sz="4" w:space="0" w:color="auto"/>
              <w:right w:val="single" w:sz="4" w:space="0" w:color="auto"/>
            </w:tcBorders>
          </w:tcPr>
          <w:p w14:paraId="08876C20" w14:textId="77777777" w:rsidR="003B104F" w:rsidRPr="003B104F" w:rsidRDefault="003B104F" w:rsidP="003B104F">
            <w:pPr>
              <w:suppressAutoHyphens w:val="0"/>
              <w:rPr>
                <w:lang w:eastAsia="en-US"/>
              </w:rPr>
            </w:pPr>
            <w:r w:rsidRPr="003B104F">
              <w:rPr>
                <w:lang w:eastAsia="en-US"/>
              </w:rPr>
              <w:t>Nenustatoma</w:t>
            </w:r>
          </w:p>
        </w:tc>
        <w:tc>
          <w:tcPr>
            <w:tcW w:w="3828" w:type="dxa"/>
            <w:tcBorders>
              <w:top w:val="single" w:sz="4" w:space="0" w:color="auto"/>
              <w:left w:val="single" w:sz="4" w:space="0" w:color="auto"/>
              <w:bottom w:val="single" w:sz="4" w:space="0" w:color="auto"/>
              <w:right w:val="single" w:sz="4" w:space="0" w:color="auto"/>
            </w:tcBorders>
          </w:tcPr>
          <w:p w14:paraId="4E4BBB53" w14:textId="77777777" w:rsidR="003B104F" w:rsidRPr="003B104F" w:rsidRDefault="003B104F" w:rsidP="003B104F">
            <w:pPr>
              <w:suppressAutoHyphens w:val="0"/>
              <w:rPr>
                <w:highlight w:val="yellow"/>
                <w:lang w:eastAsia="en-US"/>
              </w:rPr>
            </w:pPr>
            <w:r w:rsidRPr="003B104F">
              <w:rPr>
                <w:lang w:eastAsia="en-US"/>
              </w:rPr>
              <w:t>Nenustatoma</w:t>
            </w:r>
          </w:p>
        </w:tc>
        <w:tc>
          <w:tcPr>
            <w:tcW w:w="2126" w:type="dxa"/>
            <w:tcBorders>
              <w:top w:val="single" w:sz="4" w:space="0" w:color="auto"/>
              <w:left w:val="single" w:sz="4" w:space="0" w:color="auto"/>
              <w:bottom w:val="single" w:sz="4" w:space="0" w:color="auto"/>
              <w:right w:val="single" w:sz="4" w:space="0" w:color="auto"/>
            </w:tcBorders>
          </w:tcPr>
          <w:p w14:paraId="4A5E45BB" w14:textId="77777777" w:rsidR="003B104F" w:rsidRPr="003B104F" w:rsidRDefault="003B104F" w:rsidP="003B104F">
            <w:pPr>
              <w:suppressAutoHyphens w:val="0"/>
              <w:ind w:left="6"/>
              <w:rPr>
                <w:lang w:eastAsia="en-US"/>
              </w:rPr>
            </w:pPr>
            <w:r w:rsidRPr="003B104F">
              <w:rPr>
                <w:lang w:eastAsia="en-US"/>
              </w:rPr>
              <w:t>Nevertinama</w:t>
            </w:r>
          </w:p>
          <w:p w14:paraId="1DA5E3F6" w14:textId="77777777" w:rsidR="003B104F" w:rsidRPr="003B104F" w:rsidRDefault="003B104F" w:rsidP="003B104F">
            <w:pPr>
              <w:suppressAutoHyphens w:val="0"/>
              <w:rPr>
                <w:lang w:eastAsia="en-US"/>
              </w:rPr>
            </w:pPr>
          </w:p>
        </w:tc>
        <w:tc>
          <w:tcPr>
            <w:tcW w:w="2097" w:type="dxa"/>
            <w:tcBorders>
              <w:top w:val="single" w:sz="4" w:space="0" w:color="auto"/>
              <w:left w:val="single" w:sz="4" w:space="0" w:color="auto"/>
              <w:bottom w:val="single" w:sz="4" w:space="0" w:color="auto"/>
              <w:right w:val="single" w:sz="4" w:space="0" w:color="auto"/>
            </w:tcBorders>
          </w:tcPr>
          <w:p w14:paraId="002723B8" w14:textId="77777777" w:rsidR="003B104F" w:rsidRPr="003B104F" w:rsidRDefault="003B104F" w:rsidP="003B104F">
            <w:pPr>
              <w:suppressAutoHyphens w:val="0"/>
              <w:ind w:left="6"/>
              <w:rPr>
                <w:lang w:eastAsia="en-US"/>
              </w:rPr>
            </w:pPr>
            <w:r w:rsidRPr="003B104F">
              <w:rPr>
                <w:lang w:eastAsia="en-US"/>
              </w:rPr>
              <w:t>Nevertinama</w:t>
            </w:r>
          </w:p>
          <w:p w14:paraId="78920B07" w14:textId="77777777" w:rsidR="003B104F" w:rsidRPr="003B104F" w:rsidRDefault="003B104F" w:rsidP="003B104F">
            <w:pPr>
              <w:suppressAutoHyphens w:val="0"/>
              <w:rPr>
                <w:lang w:eastAsia="en-US"/>
              </w:rPr>
            </w:pPr>
          </w:p>
        </w:tc>
      </w:tr>
      <w:tr w:rsidR="003B104F" w:rsidRPr="003B104F" w14:paraId="2FBFE612" w14:textId="77777777" w:rsidTr="002807E7">
        <w:tc>
          <w:tcPr>
            <w:tcW w:w="708" w:type="dxa"/>
            <w:tcBorders>
              <w:top w:val="single" w:sz="4" w:space="0" w:color="auto"/>
              <w:left w:val="single" w:sz="4" w:space="0" w:color="000000"/>
              <w:bottom w:val="single" w:sz="4" w:space="0" w:color="auto"/>
              <w:right w:val="single" w:sz="4" w:space="0" w:color="000000"/>
            </w:tcBorders>
          </w:tcPr>
          <w:p w14:paraId="36FDBCB6" w14:textId="77777777" w:rsidR="003B104F" w:rsidRPr="003B104F" w:rsidRDefault="003B104F" w:rsidP="003B104F">
            <w:pPr>
              <w:suppressAutoHyphens w:val="0"/>
              <w:jc w:val="center"/>
              <w:rPr>
                <w:b/>
                <w:lang w:eastAsia="en-US"/>
              </w:rPr>
            </w:pPr>
          </w:p>
        </w:tc>
        <w:tc>
          <w:tcPr>
            <w:tcW w:w="13053" w:type="dxa"/>
            <w:gridSpan w:val="6"/>
            <w:tcBorders>
              <w:top w:val="single" w:sz="4" w:space="0" w:color="auto"/>
              <w:left w:val="single" w:sz="4" w:space="0" w:color="000000"/>
              <w:bottom w:val="single" w:sz="4" w:space="0" w:color="auto"/>
              <w:right w:val="single" w:sz="4" w:space="0" w:color="000000"/>
            </w:tcBorders>
          </w:tcPr>
          <w:p w14:paraId="3F3D5A59" w14:textId="77777777" w:rsidR="003B104F" w:rsidRPr="003B104F" w:rsidRDefault="003B104F" w:rsidP="003B104F">
            <w:pPr>
              <w:suppressAutoHyphens w:val="0"/>
              <w:jc w:val="center"/>
              <w:rPr>
                <w:highlight w:val="yellow"/>
                <w:lang w:eastAsia="en-US"/>
              </w:rPr>
            </w:pPr>
            <w:r w:rsidRPr="003B104F">
              <w:rPr>
                <w:b/>
                <w:lang w:eastAsia="en-US"/>
              </w:rPr>
              <w:t>Papildomi veiklos rezultatų vertinimo rodikliai</w:t>
            </w:r>
          </w:p>
        </w:tc>
      </w:tr>
      <w:tr w:rsidR="003B104F" w:rsidRPr="003B104F" w14:paraId="30E31EEE" w14:textId="77777777" w:rsidTr="00EF3870">
        <w:tc>
          <w:tcPr>
            <w:tcW w:w="708" w:type="dxa"/>
            <w:tcBorders>
              <w:top w:val="single" w:sz="4" w:space="0" w:color="auto"/>
              <w:left w:val="single" w:sz="4" w:space="0" w:color="000000"/>
              <w:bottom w:val="single" w:sz="4" w:space="0" w:color="auto"/>
              <w:right w:val="single" w:sz="4" w:space="0" w:color="000000"/>
            </w:tcBorders>
          </w:tcPr>
          <w:p w14:paraId="6FE9FCEE" w14:textId="77777777" w:rsidR="003B104F" w:rsidRPr="003B104F" w:rsidRDefault="003B104F" w:rsidP="003B104F">
            <w:pPr>
              <w:suppressAutoHyphens w:val="0"/>
              <w:jc w:val="center"/>
              <w:rPr>
                <w:b/>
                <w:lang w:eastAsia="en-US"/>
              </w:rPr>
            </w:pPr>
            <w:r w:rsidRPr="003B104F">
              <w:rPr>
                <w:b/>
                <w:lang w:eastAsia="en-US"/>
              </w:rPr>
              <w:t>1.</w:t>
            </w:r>
          </w:p>
        </w:tc>
        <w:tc>
          <w:tcPr>
            <w:tcW w:w="2439" w:type="dxa"/>
            <w:tcBorders>
              <w:top w:val="single" w:sz="4" w:space="0" w:color="auto"/>
              <w:left w:val="single" w:sz="4" w:space="0" w:color="000000"/>
              <w:bottom w:val="single" w:sz="4" w:space="0" w:color="auto"/>
              <w:right w:val="single" w:sz="4" w:space="0" w:color="000000"/>
            </w:tcBorders>
          </w:tcPr>
          <w:p w14:paraId="7E991FBB" w14:textId="77777777" w:rsidR="003B104F" w:rsidRPr="003B104F" w:rsidRDefault="003B104F" w:rsidP="003B104F">
            <w:pPr>
              <w:suppressAutoHyphens w:val="0"/>
              <w:jc w:val="both"/>
              <w:rPr>
                <w:lang w:eastAsia="en-US"/>
              </w:rPr>
            </w:pPr>
            <w:r w:rsidRPr="003B104F">
              <w:rPr>
                <w:lang w:eastAsia="en-US"/>
              </w:rPr>
              <w:t>Absoliutaus likvidumo rodiklis</w:t>
            </w:r>
          </w:p>
        </w:tc>
        <w:tc>
          <w:tcPr>
            <w:tcW w:w="2551" w:type="dxa"/>
            <w:tcBorders>
              <w:left w:val="single" w:sz="4" w:space="0" w:color="000000"/>
              <w:right w:val="single" w:sz="4" w:space="0" w:color="000000"/>
            </w:tcBorders>
          </w:tcPr>
          <w:p w14:paraId="53635114" w14:textId="77777777" w:rsidR="003B104F" w:rsidRPr="003B104F" w:rsidRDefault="003B104F" w:rsidP="003B104F">
            <w:pPr>
              <w:suppressAutoHyphens w:val="0"/>
              <w:rPr>
                <w:lang w:eastAsia="en-US"/>
              </w:rPr>
            </w:pPr>
            <w:r w:rsidRPr="003B104F">
              <w:rPr>
                <w:lang w:eastAsia="en-US"/>
              </w:rPr>
              <w:t>Nuo 0,5 iki 1</w:t>
            </w:r>
          </w:p>
        </w:tc>
        <w:tc>
          <w:tcPr>
            <w:tcW w:w="3828" w:type="dxa"/>
            <w:tcBorders>
              <w:left w:val="single" w:sz="4" w:space="0" w:color="000000"/>
              <w:right w:val="single" w:sz="4" w:space="0" w:color="000000"/>
            </w:tcBorders>
          </w:tcPr>
          <w:p w14:paraId="242A47C1" w14:textId="77777777" w:rsidR="003B104F" w:rsidRPr="003B104F" w:rsidRDefault="003B104F" w:rsidP="003B104F">
            <w:pPr>
              <w:suppressAutoHyphens w:val="0"/>
              <w:spacing w:line="276" w:lineRule="auto"/>
              <w:rPr>
                <w:lang w:eastAsia="en-US"/>
              </w:rPr>
            </w:pPr>
            <w:r w:rsidRPr="003B104F">
              <w:rPr>
                <w:lang w:eastAsia="en-US"/>
              </w:rPr>
              <w:t>Jei rodiklio pasiekta reikšmė patenka į siektinos reikšmės intervalą – 10 balų</w:t>
            </w:r>
          </w:p>
          <w:p w14:paraId="050F88A4" w14:textId="77777777" w:rsidR="003B104F" w:rsidRPr="003B104F" w:rsidRDefault="003B104F" w:rsidP="003B104F">
            <w:pPr>
              <w:suppressAutoHyphens w:val="0"/>
              <w:spacing w:line="276" w:lineRule="auto"/>
              <w:rPr>
                <w:lang w:eastAsia="en-US"/>
              </w:rPr>
            </w:pPr>
            <w:r w:rsidRPr="003B104F">
              <w:rPr>
                <w:lang w:eastAsia="en-US"/>
              </w:rPr>
              <w:t>Jei rodiklio pasiekta reikšmė yra didesnė už viršutinę intervalo ribą – 5 balai</w:t>
            </w:r>
          </w:p>
          <w:p w14:paraId="3FF9A0AB" w14:textId="77777777" w:rsidR="003B104F" w:rsidRPr="003B104F" w:rsidRDefault="003B104F" w:rsidP="003B104F">
            <w:pPr>
              <w:suppressAutoHyphens w:val="0"/>
              <w:spacing w:line="276" w:lineRule="auto"/>
              <w:rPr>
                <w:lang w:eastAsia="en-US"/>
              </w:rPr>
            </w:pPr>
            <w:r w:rsidRPr="003B104F">
              <w:rPr>
                <w:lang w:eastAsia="en-US"/>
              </w:rPr>
              <w:lastRenderedPageBreak/>
              <w:t>Jei rodiklio pasiekta reikšmė yra mažesnė nei siektina reikšmė – 0 balų</w:t>
            </w:r>
          </w:p>
        </w:tc>
        <w:tc>
          <w:tcPr>
            <w:tcW w:w="2126" w:type="dxa"/>
            <w:tcBorders>
              <w:left w:val="single" w:sz="4" w:space="0" w:color="000000"/>
              <w:right w:val="single" w:sz="4" w:space="0" w:color="000000"/>
            </w:tcBorders>
          </w:tcPr>
          <w:p w14:paraId="66959696" w14:textId="11217225" w:rsidR="003B104F" w:rsidRPr="003B104F" w:rsidRDefault="003B104F" w:rsidP="003B104F">
            <w:pPr>
              <w:suppressAutoHyphens w:val="0"/>
              <w:spacing w:line="276" w:lineRule="auto"/>
              <w:rPr>
                <w:lang w:eastAsia="en-US"/>
              </w:rPr>
            </w:pPr>
            <w:r w:rsidRPr="003B104F">
              <w:rPr>
                <w:lang w:eastAsia="en-US"/>
              </w:rPr>
              <w:lastRenderedPageBreak/>
              <w:t xml:space="preserve">Rodiklis </w:t>
            </w:r>
            <w:r w:rsidR="0062755F">
              <w:rPr>
                <w:lang w:eastAsia="en-US"/>
              </w:rPr>
              <w:t>4,3</w:t>
            </w:r>
          </w:p>
          <w:p w14:paraId="13BEE9DD" w14:textId="77777777" w:rsidR="003B104F" w:rsidRPr="003B104F" w:rsidRDefault="003B104F" w:rsidP="003B104F">
            <w:pPr>
              <w:suppressAutoHyphens w:val="0"/>
              <w:rPr>
                <w:sz w:val="18"/>
                <w:szCs w:val="18"/>
                <w:lang w:eastAsia="en-US"/>
              </w:rPr>
            </w:pPr>
          </w:p>
          <w:p w14:paraId="1E1E6FF2" w14:textId="77777777" w:rsidR="003B104F" w:rsidRPr="003B104F" w:rsidRDefault="003B104F" w:rsidP="003B104F">
            <w:pPr>
              <w:suppressAutoHyphens w:val="0"/>
              <w:rPr>
                <w:lang w:eastAsia="en-US"/>
              </w:rPr>
            </w:pPr>
          </w:p>
        </w:tc>
        <w:tc>
          <w:tcPr>
            <w:tcW w:w="2109" w:type="dxa"/>
            <w:gridSpan w:val="2"/>
            <w:tcBorders>
              <w:left w:val="single" w:sz="4" w:space="0" w:color="000000"/>
              <w:right w:val="single" w:sz="4" w:space="0" w:color="000000"/>
            </w:tcBorders>
          </w:tcPr>
          <w:p w14:paraId="10B95449" w14:textId="65238DCA" w:rsidR="003B104F" w:rsidRPr="003B104F" w:rsidRDefault="0062755F" w:rsidP="003B104F">
            <w:pPr>
              <w:suppressAutoHyphens w:val="0"/>
              <w:rPr>
                <w:lang w:eastAsia="en-US"/>
              </w:rPr>
            </w:pPr>
            <w:r>
              <w:rPr>
                <w:lang w:eastAsia="en-US"/>
              </w:rPr>
              <w:t>10</w:t>
            </w:r>
            <w:r w:rsidR="003B104F" w:rsidRPr="003B104F">
              <w:rPr>
                <w:lang w:eastAsia="en-US"/>
              </w:rPr>
              <w:t xml:space="preserve"> bal</w:t>
            </w:r>
            <w:r>
              <w:rPr>
                <w:lang w:eastAsia="en-US"/>
              </w:rPr>
              <w:t>ų</w:t>
            </w:r>
          </w:p>
        </w:tc>
      </w:tr>
      <w:tr w:rsidR="003B104F" w:rsidRPr="003B104F" w14:paraId="1B647643" w14:textId="77777777" w:rsidTr="00EF3870">
        <w:tc>
          <w:tcPr>
            <w:tcW w:w="708" w:type="dxa"/>
            <w:tcBorders>
              <w:top w:val="single" w:sz="4" w:space="0" w:color="auto"/>
              <w:left w:val="single" w:sz="4" w:space="0" w:color="000000"/>
              <w:bottom w:val="single" w:sz="4" w:space="0" w:color="auto"/>
              <w:right w:val="single" w:sz="4" w:space="0" w:color="000000"/>
            </w:tcBorders>
          </w:tcPr>
          <w:p w14:paraId="142662F6" w14:textId="77777777" w:rsidR="003B104F" w:rsidRPr="003B104F" w:rsidRDefault="003B104F" w:rsidP="003B104F">
            <w:pPr>
              <w:suppressAutoHyphens w:val="0"/>
              <w:jc w:val="center"/>
              <w:rPr>
                <w:b/>
                <w:lang w:eastAsia="en-US"/>
              </w:rPr>
            </w:pPr>
            <w:r w:rsidRPr="003B104F">
              <w:rPr>
                <w:b/>
                <w:lang w:eastAsia="en-US"/>
              </w:rPr>
              <w:t>2.</w:t>
            </w:r>
          </w:p>
        </w:tc>
        <w:tc>
          <w:tcPr>
            <w:tcW w:w="2439" w:type="dxa"/>
            <w:tcBorders>
              <w:top w:val="single" w:sz="4" w:space="0" w:color="auto"/>
              <w:left w:val="single" w:sz="4" w:space="0" w:color="000000"/>
              <w:bottom w:val="single" w:sz="4" w:space="0" w:color="auto"/>
              <w:right w:val="single" w:sz="4" w:space="0" w:color="000000"/>
            </w:tcBorders>
          </w:tcPr>
          <w:p w14:paraId="1FAF2A52" w14:textId="77777777" w:rsidR="003B104F" w:rsidRPr="003B104F" w:rsidRDefault="003B104F" w:rsidP="003B104F">
            <w:pPr>
              <w:suppressAutoHyphens w:val="0"/>
              <w:jc w:val="both"/>
              <w:rPr>
                <w:lang w:eastAsia="en-US"/>
              </w:rPr>
            </w:pPr>
            <w:r w:rsidRPr="003B104F">
              <w:rPr>
                <w:lang w:eastAsia="en-US"/>
              </w:rPr>
              <w:t>Konsoliduotų viešųjų pirkimų skaičius</w:t>
            </w:r>
          </w:p>
        </w:tc>
        <w:tc>
          <w:tcPr>
            <w:tcW w:w="2551" w:type="dxa"/>
            <w:tcBorders>
              <w:left w:val="single" w:sz="4" w:space="0" w:color="000000"/>
              <w:bottom w:val="single" w:sz="4" w:space="0" w:color="auto"/>
              <w:right w:val="single" w:sz="4" w:space="0" w:color="000000"/>
            </w:tcBorders>
          </w:tcPr>
          <w:p w14:paraId="1DF7530C" w14:textId="77777777" w:rsidR="003B104F" w:rsidRPr="003B104F" w:rsidRDefault="003B104F" w:rsidP="003B104F">
            <w:pPr>
              <w:suppressAutoHyphens w:val="0"/>
              <w:rPr>
                <w:lang w:eastAsia="en-US"/>
              </w:rPr>
            </w:pPr>
            <w:r w:rsidRPr="003B104F">
              <w:rPr>
                <w:lang w:eastAsia="en-US"/>
              </w:rPr>
              <w:t>Ne mažiau kaip 1</w:t>
            </w:r>
          </w:p>
        </w:tc>
        <w:tc>
          <w:tcPr>
            <w:tcW w:w="3828" w:type="dxa"/>
            <w:tcBorders>
              <w:left w:val="single" w:sz="4" w:space="0" w:color="000000"/>
              <w:bottom w:val="single" w:sz="4" w:space="0" w:color="auto"/>
              <w:right w:val="single" w:sz="4" w:space="0" w:color="000000"/>
            </w:tcBorders>
          </w:tcPr>
          <w:p w14:paraId="3439C33C" w14:textId="77777777" w:rsidR="003B104F" w:rsidRPr="003B104F" w:rsidRDefault="003B104F" w:rsidP="003B104F">
            <w:pPr>
              <w:suppressAutoHyphens w:val="0"/>
              <w:rPr>
                <w:lang w:eastAsia="en-US"/>
              </w:rPr>
            </w:pPr>
            <w:r w:rsidRPr="003B104F">
              <w:rPr>
                <w:lang w:eastAsia="en-US"/>
              </w:rPr>
              <w:t>Jei rodiklio pasiekta reikšmė lygi arba didesnė nei rodiklio siektina reikšmė – 10 balų</w:t>
            </w:r>
          </w:p>
          <w:p w14:paraId="2703A067" w14:textId="77777777" w:rsidR="003B104F" w:rsidRPr="003B104F" w:rsidRDefault="003B104F" w:rsidP="003B104F">
            <w:pPr>
              <w:suppressAutoHyphens w:val="0"/>
              <w:rPr>
                <w:lang w:eastAsia="en-US"/>
              </w:rPr>
            </w:pPr>
            <w:r w:rsidRPr="003B104F">
              <w:rPr>
                <w:lang w:eastAsia="en-US"/>
              </w:rPr>
              <w:t>Jei rodiklio pasiekta reikšmė mažesnė nei siektina reikšmė – 0 balų.</w:t>
            </w:r>
          </w:p>
        </w:tc>
        <w:tc>
          <w:tcPr>
            <w:tcW w:w="2126" w:type="dxa"/>
            <w:tcBorders>
              <w:left w:val="single" w:sz="4" w:space="0" w:color="000000"/>
              <w:bottom w:val="single" w:sz="4" w:space="0" w:color="auto"/>
              <w:right w:val="single" w:sz="4" w:space="0" w:color="000000"/>
            </w:tcBorders>
          </w:tcPr>
          <w:p w14:paraId="512D4D75" w14:textId="36E72C1B" w:rsidR="003B104F" w:rsidRPr="003B104F" w:rsidRDefault="0079574B" w:rsidP="003B104F">
            <w:pPr>
              <w:suppressAutoHyphens w:val="0"/>
              <w:rPr>
                <w:lang w:eastAsia="en-US"/>
              </w:rPr>
            </w:pPr>
            <w:r>
              <w:rPr>
                <w:lang w:eastAsia="en-US"/>
              </w:rPr>
              <w:t>0</w:t>
            </w:r>
            <w:r w:rsidR="003B104F" w:rsidRPr="003B104F">
              <w:rPr>
                <w:lang w:eastAsia="en-US"/>
              </w:rPr>
              <w:t xml:space="preserve"> pirkim</w:t>
            </w:r>
            <w:r>
              <w:rPr>
                <w:lang w:eastAsia="en-US"/>
              </w:rPr>
              <w:t>ų</w:t>
            </w:r>
          </w:p>
        </w:tc>
        <w:tc>
          <w:tcPr>
            <w:tcW w:w="2109" w:type="dxa"/>
            <w:gridSpan w:val="2"/>
            <w:tcBorders>
              <w:left w:val="single" w:sz="4" w:space="0" w:color="000000"/>
              <w:bottom w:val="single" w:sz="4" w:space="0" w:color="auto"/>
              <w:right w:val="single" w:sz="4" w:space="0" w:color="000000"/>
            </w:tcBorders>
          </w:tcPr>
          <w:p w14:paraId="52016AA1" w14:textId="32E28C06" w:rsidR="003B104F" w:rsidRPr="003B104F" w:rsidRDefault="0079574B" w:rsidP="003B104F">
            <w:pPr>
              <w:suppressAutoHyphens w:val="0"/>
              <w:rPr>
                <w:lang w:eastAsia="en-US"/>
              </w:rPr>
            </w:pPr>
            <w:r>
              <w:rPr>
                <w:lang w:eastAsia="en-US"/>
              </w:rPr>
              <w:t>0</w:t>
            </w:r>
            <w:r w:rsidR="003B104F" w:rsidRPr="003B104F">
              <w:rPr>
                <w:lang w:eastAsia="en-US"/>
              </w:rPr>
              <w:t xml:space="preserve"> balų</w:t>
            </w:r>
          </w:p>
        </w:tc>
      </w:tr>
      <w:tr w:rsidR="003B104F" w:rsidRPr="003B104F" w14:paraId="79969586" w14:textId="77777777" w:rsidTr="00EF3870">
        <w:tc>
          <w:tcPr>
            <w:tcW w:w="708" w:type="dxa"/>
            <w:tcBorders>
              <w:top w:val="single" w:sz="4" w:space="0" w:color="auto"/>
              <w:left w:val="single" w:sz="4" w:space="0" w:color="000000"/>
              <w:bottom w:val="single" w:sz="4" w:space="0" w:color="auto"/>
              <w:right w:val="single" w:sz="4" w:space="0" w:color="000000"/>
            </w:tcBorders>
          </w:tcPr>
          <w:p w14:paraId="78199EA9" w14:textId="77777777" w:rsidR="003B104F" w:rsidRPr="003B104F" w:rsidRDefault="003B104F" w:rsidP="003B104F">
            <w:pPr>
              <w:suppressAutoHyphens w:val="0"/>
              <w:jc w:val="center"/>
              <w:rPr>
                <w:b/>
                <w:lang w:eastAsia="en-US"/>
              </w:rPr>
            </w:pPr>
          </w:p>
        </w:tc>
        <w:tc>
          <w:tcPr>
            <w:tcW w:w="2439" w:type="dxa"/>
            <w:tcBorders>
              <w:top w:val="single" w:sz="4" w:space="0" w:color="auto"/>
              <w:left w:val="single" w:sz="4" w:space="0" w:color="000000"/>
              <w:bottom w:val="single" w:sz="4" w:space="0" w:color="auto"/>
              <w:right w:val="single" w:sz="4" w:space="0" w:color="000000"/>
            </w:tcBorders>
          </w:tcPr>
          <w:p w14:paraId="09E8ADB0" w14:textId="77777777" w:rsidR="003B104F" w:rsidRPr="003B104F" w:rsidRDefault="003B104F" w:rsidP="003B104F">
            <w:pPr>
              <w:suppressAutoHyphens w:val="0"/>
              <w:jc w:val="both"/>
              <w:rPr>
                <w:lang w:eastAsia="en-US"/>
              </w:rPr>
            </w:pPr>
            <w:r w:rsidRPr="003B104F">
              <w:rPr>
                <w:lang w:eastAsia="en-US"/>
              </w:rPr>
              <w:t>Iš viso:</w:t>
            </w:r>
          </w:p>
        </w:tc>
        <w:tc>
          <w:tcPr>
            <w:tcW w:w="2551" w:type="dxa"/>
            <w:tcBorders>
              <w:left w:val="single" w:sz="4" w:space="0" w:color="000000"/>
              <w:bottom w:val="single" w:sz="4" w:space="0" w:color="auto"/>
              <w:right w:val="single" w:sz="4" w:space="0" w:color="000000"/>
            </w:tcBorders>
          </w:tcPr>
          <w:p w14:paraId="3E5BE8D1" w14:textId="77777777" w:rsidR="003B104F" w:rsidRPr="003B104F" w:rsidRDefault="003B104F" w:rsidP="003B104F">
            <w:pPr>
              <w:suppressAutoHyphens w:val="0"/>
              <w:rPr>
                <w:lang w:eastAsia="en-US"/>
              </w:rPr>
            </w:pPr>
          </w:p>
        </w:tc>
        <w:tc>
          <w:tcPr>
            <w:tcW w:w="3828" w:type="dxa"/>
            <w:tcBorders>
              <w:left w:val="single" w:sz="4" w:space="0" w:color="000000"/>
              <w:bottom w:val="single" w:sz="4" w:space="0" w:color="auto"/>
              <w:right w:val="single" w:sz="4" w:space="0" w:color="000000"/>
            </w:tcBorders>
          </w:tcPr>
          <w:p w14:paraId="66FF7663" w14:textId="77777777" w:rsidR="003B104F" w:rsidRPr="003B104F" w:rsidRDefault="003B104F" w:rsidP="003B104F">
            <w:pPr>
              <w:suppressAutoHyphens w:val="0"/>
              <w:rPr>
                <w:highlight w:val="yellow"/>
                <w:lang w:eastAsia="en-US"/>
              </w:rPr>
            </w:pPr>
          </w:p>
        </w:tc>
        <w:tc>
          <w:tcPr>
            <w:tcW w:w="2126" w:type="dxa"/>
            <w:tcBorders>
              <w:left w:val="single" w:sz="4" w:space="0" w:color="000000"/>
              <w:bottom w:val="single" w:sz="4" w:space="0" w:color="auto"/>
              <w:right w:val="single" w:sz="4" w:space="0" w:color="000000"/>
            </w:tcBorders>
          </w:tcPr>
          <w:p w14:paraId="716D9359" w14:textId="77777777" w:rsidR="003B104F" w:rsidRPr="003B104F" w:rsidRDefault="003B104F" w:rsidP="003B104F">
            <w:pPr>
              <w:keepNext/>
              <w:suppressAutoHyphens w:val="0"/>
              <w:rPr>
                <w:rFonts w:eastAsia="Calibri"/>
                <w:bCs/>
                <w:highlight w:val="yellow"/>
                <w:lang w:eastAsia="x-none"/>
              </w:rPr>
            </w:pPr>
          </w:p>
        </w:tc>
        <w:tc>
          <w:tcPr>
            <w:tcW w:w="2109" w:type="dxa"/>
            <w:gridSpan w:val="2"/>
            <w:tcBorders>
              <w:left w:val="single" w:sz="4" w:space="0" w:color="000000"/>
              <w:bottom w:val="single" w:sz="4" w:space="0" w:color="auto"/>
              <w:right w:val="single" w:sz="4" w:space="0" w:color="000000"/>
            </w:tcBorders>
          </w:tcPr>
          <w:p w14:paraId="13BA9FF1" w14:textId="2C8CD448" w:rsidR="003B104F" w:rsidRPr="003B104F" w:rsidRDefault="00EC0267" w:rsidP="003B104F">
            <w:pPr>
              <w:suppressAutoHyphens w:val="0"/>
              <w:rPr>
                <w:highlight w:val="yellow"/>
                <w:lang w:eastAsia="en-US"/>
              </w:rPr>
            </w:pPr>
            <w:r>
              <w:rPr>
                <w:lang w:eastAsia="en-US"/>
              </w:rPr>
              <w:t>50</w:t>
            </w:r>
            <w:r w:rsidR="003B104F" w:rsidRPr="003B104F">
              <w:rPr>
                <w:lang w:eastAsia="en-US"/>
              </w:rPr>
              <w:t xml:space="preserve"> bal</w:t>
            </w:r>
            <w:r>
              <w:rPr>
                <w:lang w:eastAsia="en-US"/>
              </w:rPr>
              <w:t>ų</w:t>
            </w:r>
          </w:p>
        </w:tc>
      </w:tr>
    </w:tbl>
    <w:p w14:paraId="2A113756" w14:textId="77777777" w:rsidR="003B104F" w:rsidRPr="003B104F" w:rsidRDefault="003B104F" w:rsidP="004C6C58">
      <w:pPr>
        <w:tabs>
          <w:tab w:val="left" w:pos="142"/>
          <w:tab w:val="left" w:pos="993"/>
        </w:tabs>
        <w:suppressAutoHyphens w:val="0"/>
        <w:jc w:val="both"/>
        <w:rPr>
          <w:rFonts w:eastAsia="Calibri"/>
          <w:lang w:eastAsia="en-US"/>
        </w:rPr>
        <w:sectPr w:rsidR="003B104F" w:rsidRPr="003B104F">
          <w:pgSz w:w="15840" w:h="12240" w:orient="landscape"/>
          <w:pgMar w:top="993" w:right="0" w:bottom="902" w:left="567" w:header="567" w:footer="567" w:gutter="0"/>
          <w:cols w:space="1296"/>
          <w:docGrid w:linePitch="360"/>
        </w:sectPr>
      </w:pPr>
    </w:p>
    <w:p w14:paraId="4FAB2A1A" w14:textId="77777777" w:rsidR="00AE4A1E" w:rsidRDefault="00AE4A1E" w:rsidP="00AE4A1E">
      <w:pPr>
        <w:autoSpaceDE w:val="0"/>
        <w:spacing w:line="200" w:lineRule="atLeast"/>
      </w:pPr>
      <w:bookmarkStart w:id="1" w:name="_Hlk72143555"/>
    </w:p>
    <w:p w14:paraId="094445BD" w14:textId="77777777" w:rsidR="00AE4A1E" w:rsidRDefault="00AE4A1E" w:rsidP="003B104F">
      <w:pPr>
        <w:suppressAutoHyphens w:val="0"/>
        <w:ind w:firstLine="567"/>
        <w:jc w:val="both"/>
        <w:rPr>
          <w:b/>
          <w:bCs/>
          <w:lang w:eastAsia="en-US"/>
        </w:rPr>
      </w:pPr>
    </w:p>
    <w:p w14:paraId="3637E49B" w14:textId="77777777" w:rsidR="00AE4A1E" w:rsidRDefault="00AE4A1E" w:rsidP="003B104F">
      <w:pPr>
        <w:suppressAutoHyphens w:val="0"/>
        <w:ind w:firstLine="567"/>
        <w:jc w:val="both"/>
        <w:rPr>
          <w:b/>
          <w:bCs/>
          <w:lang w:eastAsia="en-US"/>
        </w:rPr>
      </w:pPr>
    </w:p>
    <w:p w14:paraId="42FCEFBF" w14:textId="77777777" w:rsidR="00AE4A1E" w:rsidRDefault="00AE4A1E" w:rsidP="003B104F">
      <w:pPr>
        <w:suppressAutoHyphens w:val="0"/>
        <w:ind w:firstLine="567"/>
        <w:jc w:val="both"/>
        <w:rPr>
          <w:b/>
          <w:bCs/>
          <w:lang w:eastAsia="en-US"/>
        </w:rPr>
      </w:pPr>
    </w:p>
    <w:p w14:paraId="356965E6" w14:textId="77777777" w:rsidR="003B104F" w:rsidRPr="003B104F" w:rsidRDefault="003B104F" w:rsidP="003B104F">
      <w:pPr>
        <w:suppressAutoHyphens w:val="0"/>
        <w:ind w:firstLine="567"/>
        <w:jc w:val="both"/>
        <w:rPr>
          <w:lang w:eastAsia="en-US"/>
        </w:rPr>
      </w:pPr>
    </w:p>
    <w:p w14:paraId="2776E77F" w14:textId="77777777" w:rsidR="003B104F" w:rsidRPr="003B104F" w:rsidRDefault="003B104F" w:rsidP="003B104F">
      <w:pPr>
        <w:suppressAutoHyphens w:val="0"/>
        <w:ind w:firstLine="567"/>
        <w:jc w:val="both"/>
        <w:rPr>
          <w:lang w:eastAsia="en-US"/>
        </w:rPr>
      </w:pPr>
    </w:p>
    <w:p w14:paraId="4D867454" w14:textId="3A298B37" w:rsidR="003B104F" w:rsidRDefault="003B104F" w:rsidP="00E73BB4">
      <w:pPr>
        <w:autoSpaceDE w:val="0"/>
        <w:spacing w:line="200" w:lineRule="atLeast"/>
      </w:pPr>
    </w:p>
    <w:p w14:paraId="25D6B131" w14:textId="77777777" w:rsidR="00FE2045" w:rsidRDefault="00FE2045" w:rsidP="00FE2045"/>
    <w:bookmarkEnd w:id="1"/>
    <w:p w14:paraId="38586A43" w14:textId="77777777" w:rsidR="00FE2045" w:rsidRDefault="00FE2045" w:rsidP="00FE2045"/>
    <w:p w14:paraId="7F460D69" w14:textId="1A1B8540" w:rsidR="005148F8" w:rsidRPr="00F55213" w:rsidRDefault="00FE2045" w:rsidP="00F55213">
      <w:pPr>
        <w:rPr>
          <w:bCs/>
        </w:rPr>
      </w:pPr>
      <w:r>
        <w:t xml:space="preserve">                                       </w:t>
      </w:r>
    </w:p>
    <w:sectPr w:rsidR="005148F8" w:rsidRPr="00F5521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D49"/>
    <w:multiLevelType w:val="hybridMultilevel"/>
    <w:tmpl w:val="6A3E4054"/>
    <w:lvl w:ilvl="0" w:tplc="0C0ED3C4">
      <w:start w:val="1"/>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B4"/>
    <w:rsid w:val="0007414A"/>
    <w:rsid w:val="000B346B"/>
    <w:rsid w:val="00112AA3"/>
    <w:rsid w:val="0014238E"/>
    <w:rsid w:val="00147C75"/>
    <w:rsid w:val="001923CB"/>
    <w:rsid w:val="00206082"/>
    <w:rsid w:val="00217FC5"/>
    <w:rsid w:val="002C6091"/>
    <w:rsid w:val="002F7E78"/>
    <w:rsid w:val="003629AB"/>
    <w:rsid w:val="003648CE"/>
    <w:rsid w:val="00380347"/>
    <w:rsid w:val="0039319A"/>
    <w:rsid w:val="003B104F"/>
    <w:rsid w:val="003C17CC"/>
    <w:rsid w:val="003F23CA"/>
    <w:rsid w:val="00420FCD"/>
    <w:rsid w:val="00441152"/>
    <w:rsid w:val="0044683F"/>
    <w:rsid w:val="0047082C"/>
    <w:rsid w:val="004C1E54"/>
    <w:rsid w:val="004C6C58"/>
    <w:rsid w:val="004D1E3F"/>
    <w:rsid w:val="00506049"/>
    <w:rsid w:val="005148F8"/>
    <w:rsid w:val="005632A8"/>
    <w:rsid w:val="00590E0A"/>
    <w:rsid w:val="00616E34"/>
    <w:rsid w:val="006207AC"/>
    <w:rsid w:val="006238D4"/>
    <w:rsid w:val="00624047"/>
    <w:rsid w:val="0062755F"/>
    <w:rsid w:val="00652124"/>
    <w:rsid w:val="007242A1"/>
    <w:rsid w:val="0079574B"/>
    <w:rsid w:val="00811340"/>
    <w:rsid w:val="008129AF"/>
    <w:rsid w:val="00812F3E"/>
    <w:rsid w:val="00872C19"/>
    <w:rsid w:val="00874782"/>
    <w:rsid w:val="008A6FD7"/>
    <w:rsid w:val="008E332D"/>
    <w:rsid w:val="00935D57"/>
    <w:rsid w:val="00A01DFA"/>
    <w:rsid w:val="00AA5BC6"/>
    <w:rsid w:val="00AE4A1E"/>
    <w:rsid w:val="00AE74AC"/>
    <w:rsid w:val="00AF1D83"/>
    <w:rsid w:val="00B0182F"/>
    <w:rsid w:val="00B14336"/>
    <w:rsid w:val="00B722BE"/>
    <w:rsid w:val="00B7672C"/>
    <w:rsid w:val="00B93333"/>
    <w:rsid w:val="00BA2E0D"/>
    <w:rsid w:val="00C30ED2"/>
    <w:rsid w:val="00C759D9"/>
    <w:rsid w:val="00C83E1E"/>
    <w:rsid w:val="00CA3FDE"/>
    <w:rsid w:val="00CC45EA"/>
    <w:rsid w:val="00D04163"/>
    <w:rsid w:val="00D631EF"/>
    <w:rsid w:val="00D76135"/>
    <w:rsid w:val="00E079CE"/>
    <w:rsid w:val="00E245A8"/>
    <w:rsid w:val="00E46810"/>
    <w:rsid w:val="00E73BB4"/>
    <w:rsid w:val="00E85F0D"/>
    <w:rsid w:val="00EC0267"/>
    <w:rsid w:val="00EF1089"/>
    <w:rsid w:val="00EF3870"/>
    <w:rsid w:val="00F13213"/>
    <w:rsid w:val="00F340B3"/>
    <w:rsid w:val="00F456F2"/>
    <w:rsid w:val="00F52FD8"/>
    <w:rsid w:val="00F55213"/>
    <w:rsid w:val="00F6079E"/>
    <w:rsid w:val="00F82759"/>
    <w:rsid w:val="00F90776"/>
    <w:rsid w:val="00FD0EDE"/>
    <w:rsid w:val="00FE2045"/>
    <w:rsid w:val="00FE3B74"/>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F8995"/>
  <w15:chartTrackingRefBased/>
  <w15:docId w15:val="{F50A6C97-092C-41A3-8582-272E39FE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73BB4"/>
    <w:pPr>
      <w:suppressAutoHyphens/>
      <w:spacing w:after="0" w:line="240" w:lineRule="auto"/>
    </w:pPr>
    <w:rPr>
      <w:rFonts w:ascii="Times New Roman" w:eastAsia="Times New Roman" w:hAnsi="Times New Roman" w:cs="Times New Roman"/>
      <w:sz w:val="24"/>
      <w:szCs w:val="24"/>
      <w:lang w:eastAsia="ar-SA"/>
    </w:rPr>
  </w:style>
  <w:style w:type="paragraph" w:styleId="Antrat1">
    <w:name w:val="heading 1"/>
    <w:basedOn w:val="prastasis"/>
    <w:next w:val="prastasis"/>
    <w:link w:val="Antrat1Diagrama"/>
    <w:qFormat/>
    <w:rsid w:val="00FE2045"/>
    <w:pPr>
      <w:keepNext/>
      <w:suppressAutoHyphens w:val="0"/>
      <w:jc w:val="center"/>
      <w:outlineLvl w:val="0"/>
    </w:pPr>
    <w:rPr>
      <w:b/>
      <w:bCs/>
      <w:lang w:eastAsia="en-US"/>
    </w:rPr>
  </w:style>
  <w:style w:type="paragraph" w:styleId="Antrat3">
    <w:name w:val="heading 3"/>
    <w:basedOn w:val="prastasis"/>
    <w:next w:val="prastasis"/>
    <w:link w:val="Antrat3Diagrama"/>
    <w:qFormat/>
    <w:rsid w:val="00FE2045"/>
    <w:pPr>
      <w:keepNext/>
      <w:suppressAutoHyphens w:val="0"/>
      <w:jc w:val="center"/>
      <w:outlineLvl w:val="2"/>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semiHidden/>
    <w:unhideWhenUsed/>
    <w:rsid w:val="00E73BB4"/>
    <w:rPr>
      <w:color w:val="0563C1"/>
      <w:u w:val="single"/>
    </w:rPr>
  </w:style>
  <w:style w:type="paragraph" w:styleId="prastasiniatinklio">
    <w:name w:val="Normal (Web)"/>
    <w:basedOn w:val="prastasis"/>
    <w:uiPriority w:val="99"/>
    <w:semiHidden/>
    <w:unhideWhenUsed/>
    <w:rsid w:val="00E73BB4"/>
    <w:pPr>
      <w:suppressAutoHyphens w:val="0"/>
      <w:spacing w:before="100" w:beforeAutospacing="1" w:after="100" w:afterAutospacing="1"/>
    </w:pPr>
    <w:rPr>
      <w:lang w:eastAsia="lt-LT"/>
    </w:rPr>
  </w:style>
  <w:style w:type="paragraph" w:styleId="Antrats">
    <w:name w:val="header"/>
    <w:basedOn w:val="prastasis"/>
    <w:link w:val="AntratsDiagrama"/>
    <w:semiHidden/>
    <w:unhideWhenUsed/>
    <w:rsid w:val="00E73BB4"/>
    <w:pPr>
      <w:tabs>
        <w:tab w:val="center" w:pos="4819"/>
        <w:tab w:val="right" w:pos="9638"/>
      </w:tabs>
      <w:suppressAutoHyphens w:val="0"/>
    </w:pPr>
    <w:rPr>
      <w:rFonts w:ascii="TimesLT" w:hAnsi="TimesLT"/>
      <w:szCs w:val="20"/>
      <w:lang w:eastAsia="lt-LT"/>
    </w:rPr>
  </w:style>
  <w:style w:type="character" w:customStyle="1" w:styleId="AntratsDiagrama">
    <w:name w:val="Antraštės Diagrama"/>
    <w:basedOn w:val="Numatytasispastraiposriftas"/>
    <w:link w:val="Antrats"/>
    <w:uiPriority w:val="99"/>
    <w:semiHidden/>
    <w:rsid w:val="00E73BB4"/>
    <w:rPr>
      <w:rFonts w:ascii="TimesLT" w:eastAsia="Times New Roman" w:hAnsi="TimesLT" w:cs="Times New Roman"/>
      <w:sz w:val="24"/>
      <w:szCs w:val="20"/>
      <w:lang w:eastAsia="lt-LT"/>
    </w:rPr>
  </w:style>
  <w:style w:type="paragraph" w:styleId="Betarp">
    <w:name w:val="No Spacing"/>
    <w:uiPriority w:val="1"/>
    <w:qFormat/>
    <w:rsid w:val="00E73BB4"/>
    <w:pPr>
      <w:spacing w:after="0" w:line="240" w:lineRule="auto"/>
    </w:pPr>
    <w:rPr>
      <w:rFonts w:ascii="Calibri" w:eastAsia="Calibri" w:hAnsi="Calibri" w:cs="Times New Roman"/>
    </w:rPr>
  </w:style>
  <w:style w:type="paragraph" w:styleId="Sraopastraipa">
    <w:name w:val="List Paragraph"/>
    <w:basedOn w:val="prastasis"/>
    <w:uiPriority w:val="34"/>
    <w:qFormat/>
    <w:rsid w:val="00E73BB4"/>
    <w:pPr>
      <w:ind w:left="720"/>
      <w:contextualSpacing/>
    </w:pPr>
  </w:style>
  <w:style w:type="character" w:customStyle="1" w:styleId="Antrat1Diagrama">
    <w:name w:val="Antraštė 1 Diagrama"/>
    <w:basedOn w:val="Numatytasispastraiposriftas"/>
    <w:link w:val="Antrat1"/>
    <w:rsid w:val="00FE2045"/>
    <w:rPr>
      <w:rFonts w:ascii="Times New Roman" w:eastAsia="Times New Roman" w:hAnsi="Times New Roman" w:cs="Times New Roman"/>
      <w:b/>
      <w:bCs/>
      <w:sz w:val="24"/>
      <w:szCs w:val="24"/>
    </w:rPr>
  </w:style>
  <w:style w:type="character" w:customStyle="1" w:styleId="Antrat3Diagrama">
    <w:name w:val="Antraštė 3 Diagrama"/>
    <w:basedOn w:val="Numatytasispastraiposriftas"/>
    <w:link w:val="Antrat3"/>
    <w:rsid w:val="00FE2045"/>
    <w:rPr>
      <w:rFonts w:ascii="Times New Roman" w:eastAsia="Times New Roman" w:hAnsi="Times New Roman" w:cs="Times New Roman"/>
      <w:sz w:val="24"/>
      <w:szCs w:val="20"/>
    </w:rPr>
  </w:style>
  <w:style w:type="paragraph" w:styleId="Pagrindinistekstas">
    <w:name w:val="Body Text"/>
    <w:basedOn w:val="prastasis"/>
    <w:link w:val="PagrindinistekstasDiagrama"/>
    <w:semiHidden/>
    <w:rsid w:val="00FE2045"/>
    <w:pPr>
      <w:suppressAutoHyphens w:val="0"/>
      <w:jc w:val="both"/>
    </w:pPr>
    <w:rPr>
      <w:lang w:eastAsia="en-US"/>
    </w:rPr>
  </w:style>
  <w:style w:type="character" w:customStyle="1" w:styleId="PagrindinistekstasDiagrama">
    <w:name w:val="Pagrindinis tekstas Diagrama"/>
    <w:basedOn w:val="Numatytasispastraiposriftas"/>
    <w:link w:val="Pagrindinistekstas"/>
    <w:semiHidden/>
    <w:rsid w:val="00FE2045"/>
    <w:rPr>
      <w:rFonts w:ascii="Times New Roman" w:eastAsia="Times New Roman" w:hAnsi="Times New Roman" w:cs="Times New Roman"/>
      <w:sz w:val="24"/>
      <w:szCs w:val="24"/>
    </w:rPr>
  </w:style>
  <w:style w:type="paragraph" w:customStyle="1" w:styleId="StiliusPrie12ptPo12pt">
    <w:name w:val="Stilius Prieš:  12 pt Po:  12 pt"/>
    <w:basedOn w:val="prastasis"/>
    <w:rsid w:val="00B93333"/>
    <w:pPr>
      <w:suppressAutoHyphens w:val="0"/>
      <w:spacing w:before="240" w:after="240"/>
    </w:pPr>
    <w:rPr>
      <w:szCs w:val="20"/>
      <w:lang w:eastAsia="en-US"/>
    </w:rPr>
  </w:style>
  <w:style w:type="paragraph" w:customStyle="1" w:styleId="bodytext">
    <w:name w:val="bodytext"/>
    <w:basedOn w:val="prastasis"/>
    <w:rsid w:val="00B93333"/>
    <w:pPr>
      <w:suppressAutoHyphens w:val="0"/>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286170">
      <w:bodyDiv w:val="1"/>
      <w:marLeft w:val="0"/>
      <w:marRight w:val="0"/>
      <w:marTop w:val="0"/>
      <w:marBottom w:val="0"/>
      <w:divBdr>
        <w:top w:val="none" w:sz="0" w:space="0" w:color="auto"/>
        <w:left w:val="none" w:sz="0" w:space="0" w:color="auto"/>
        <w:bottom w:val="none" w:sz="0" w:space="0" w:color="auto"/>
        <w:right w:val="none" w:sz="0" w:space="0" w:color="auto"/>
      </w:divBdr>
    </w:div>
    <w:div w:id="586383170">
      <w:bodyDiv w:val="1"/>
      <w:marLeft w:val="0"/>
      <w:marRight w:val="0"/>
      <w:marTop w:val="0"/>
      <w:marBottom w:val="0"/>
      <w:divBdr>
        <w:top w:val="none" w:sz="0" w:space="0" w:color="auto"/>
        <w:left w:val="none" w:sz="0" w:space="0" w:color="auto"/>
        <w:bottom w:val="none" w:sz="0" w:space="0" w:color="auto"/>
        <w:right w:val="none" w:sz="0" w:space="0" w:color="auto"/>
      </w:divBdr>
    </w:div>
    <w:div w:id="139716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7929</Words>
  <Characters>4520</Characters>
  <Application>Microsoft Office Word</Application>
  <DocSecurity>0</DocSecurity>
  <Lines>37</Lines>
  <Paragraphs>24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Dziaukstiene</dc:creator>
  <cp:keywords/>
  <dc:description/>
  <cp:lastModifiedBy>Laima Jauniskiene</cp:lastModifiedBy>
  <cp:revision>2</cp:revision>
  <dcterms:created xsi:type="dcterms:W3CDTF">2021-05-20T16:21:00Z</dcterms:created>
  <dcterms:modified xsi:type="dcterms:W3CDTF">2021-05-20T16:21:00Z</dcterms:modified>
</cp:coreProperties>
</file>